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jc w:val="center"/>
        <w:spacing w:after="0" w:line="232" w:lineRule="auto"/>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820" w:right="2360" w:hanging="3812"/>
        <w:spacing w:after="0" w:line="566" w:lineRule="auto"/>
        <w:tabs>
          <w:tab w:leader="none" w:pos="57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October 1, 2023</w:t>
      </w:r>
    </w:p>
    <w:p>
      <w:pPr>
        <w:spacing w:after="0" w:line="266" w:lineRule="exact"/>
        <w:rPr>
          <w:sz w:val="24"/>
          <w:szCs w:val="24"/>
          <w:color w:val="auto"/>
        </w:rPr>
      </w:pPr>
    </w:p>
    <w:p>
      <w:pPr>
        <w:ind w:left="3480" w:right="2360" w:hanging="3472"/>
        <w:spacing w:after="0" w:line="510" w:lineRule="auto"/>
        <w:tabs>
          <w:tab w:leader="none" w:pos="5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spacing w:after="0" w:line="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478" w:right="339" w:bottom="1440" w:gutter="0" w:footer="0" w:header="0"/>
        </w:sectPr>
      </w:pPr>
    </w:p>
    <w:p>
      <w:pPr>
        <w:spacing w:after="0" w:line="188"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9" w:lineRule="exact"/>
        <w:rPr>
          <w:sz w:val="24"/>
          <w:szCs w:val="24"/>
          <w:color w:val="auto"/>
        </w:rPr>
      </w:pPr>
    </w:p>
    <w:p>
      <w:pPr>
        <w:sectPr>
          <w:pgSz w:w="11900" w:h="16838" w:orient="portrait"/>
          <w:cols w:equalWidth="0" w:num="2">
            <w:col w:w="7280" w:space="720"/>
            <w:col w:w="3240"/>
          </w:cols>
          <w:pgMar w:left="320" w:top="478"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5" w:lineRule="exact"/>
        <w:rPr>
          <w:sz w:val="24"/>
          <w:szCs w:val="24"/>
          <w:color w:val="auto"/>
        </w:rPr>
      </w:pPr>
    </w:p>
    <w:p>
      <w:pPr>
        <w:sectPr>
          <w:pgSz w:w="11900" w:h="16838" w:orient="portrait"/>
          <w:cols w:equalWidth="0" w:num="2">
            <w:col w:w="6680" w:space="720"/>
            <w:col w:w="3840"/>
          </w:cols>
          <w:pgMar w:left="320" w:top="478"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72"/>
        </w:trPr>
        <w:tc>
          <w:tcPr>
            <w:tcW w:w="3720" w:type="dxa"/>
            <w:vAlign w:val="bottom"/>
          </w:tcPr>
          <w:p>
            <w:pPr>
              <w:jc w:val="center"/>
              <w:spacing w:after="0" w:line="172"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72"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72" w:lineRule="exact"/>
              <w:rPr>
                <w:sz w:val="20"/>
                <w:szCs w:val="20"/>
                <w:color w:val="auto"/>
              </w:rPr>
            </w:pPr>
            <w:r>
              <w:rPr>
                <w:rFonts w:ascii="Arial" w:cs="Arial" w:eastAsia="Arial" w:hAnsi="Arial"/>
                <w:sz w:val="16"/>
                <w:szCs w:val="16"/>
                <w:color w:val="auto"/>
              </w:rPr>
              <w:t>New York Stock Exchange</w:t>
            </w:r>
          </w:p>
        </w:tc>
      </w:tr>
      <w:tr>
        <w:trPr>
          <w:trHeight w:val="207"/>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85"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34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9"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There were 118,566,872 shares of Common Stock, including 1,093,750 restricted earn-out shares, par value $0.0001 per share, issued and outstanding as of November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60" w:type="dxa"/>
            <w:vAlign w:val="bottom"/>
            <w:gridSpan w:val="16"/>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3"/>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60" w:type="dxa"/>
            <w:vAlign w:val="bottom"/>
            <w:gridSpan w:val="16"/>
          </w:tcPr>
          <w:p>
            <w:pPr>
              <w:spacing w:after="0"/>
              <w:rPr>
                <w:sz w:val="20"/>
                <w:szCs w:val="20"/>
                <w:color w:val="auto"/>
              </w:rPr>
            </w:pPr>
            <w:r>
              <w:rPr>
                <w:rFonts w:ascii="Arial" w:cs="Arial" w:eastAsia="Arial" w:hAnsi="Arial"/>
                <w:sz w:val="18"/>
                <w:szCs w:val="18"/>
                <w:color w:val="0000EE"/>
              </w:rPr>
              <w:t>PART I – FINANCIAL INFORMATION</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3"/>
          </w:tcPr>
          <w:p>
            <w:pPr>
              <w:spacing w:after="0"/>
              <w:rPr>
                <w:sz w:val="15"/>
                <w:szCs w:val="15"/>
                <w:color w:val="auto"/>
              </w:rPr>
            </w:pPr>
          </w:p>
        </w:tc>
        <w:tc>
          <w:tcPr>
            <w:tcW w:w="7860" w:type="dxa"/>
            <w:vAlign w:val="bottom"/>
            <w:gridSpan w:val="5"/>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5"/>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5"/>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40" w:type="dxa"/>
            <w:vAlign w:val="bottom"/>
            <w:gridSpan w:val="9"/>
          </w:tcPr>
          <w:p>
            <w:pPr>
              <w:spacing w:after="0"/>
              <w:rPr>
                <w:sz w:val="20"/>
                <w:szCs w:val="20"/>
                <w:color w:val="auto"/>
              </w:rPr>
            </w:pPr>
            <w:r>
              <w:rPr>
                <w:rFonts w:ascii="Arial" w:cs="Arial" w:eastAsia="Arial" w:hAnsi="Arial"/>
                <w:sz w:val="18"/>
                <w:szCs w:val="18"/>
                <w:color w:val="0000EE"/>
                <w:w w:val="96"/>
              </w:rPr>
              <w:t>Item 4. Controls and Procedures</w:t>
            </w:r>
          </w:p>
        </w:tc>
        <w:tc>
          <w:tcPr>
            <w:tcW w:w="2820" w:type="dxa"/>
            <w:vAlign w:val="bottom"/>
            <w:gridSpan w:val="4"/>
          </w:tcPr>
          <w:p>
            <w:pPr>
              <w:spacing w:after="0"/>
              <w:rPr>
                <w:sz w:val="24"/>
                <w:szCs w:val="24"/>
                <w:color w:val="auto"/>
              </w:rPr>
            </w:pPr>
          </w:p>
        </w:tc>
        <w:tc>
          <w:tcPr>
            <w:tcW w:w="5500" w:type="dxa"/>
            <w:vAlign w:val="bottom"/>
            <w:gridSpan w:val="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860" w:type="dxa"/>
            <w:vAlign w:val="bottom"/>
            <w:gridSpan w:val="16"/>
          </w:tcPr>
          <w:p>
            <w:pPr>
              <w:spacing w:after="0"/>
              <w:rPr>
                <w:sz w:val="20"/>
                <w:szCs w:val="20"/>
                <w:color w:val="auto"/>
              </w:rPr>
            </w:pPr>
            <w:r>
              <w:rPr>
                <w:rFonts w:ascii="Arial" w:cs="Arial" w:eastAsia="Arial" w:hAnsi="Arial"/>
                <w:sz w:val="18"/>
                <w:szCs w:val="18"/>
                <w:color w:val="0000EE"/>
              </w:rPr>
              <w:t>PART II – OTHER INFORMATION</w:t>
            </w:r>
          </w:p>
        </w:tc>
        <w:tc>
          <w:tcPr>
            <w:tcW w:w="380" w:type="dxa"/>
            <w:vAlign w:val="bottom"/>
            <w:gridSpan w:val="3"/>
            <w:vMerge w:val="restart"/>
          </w:tcPr>
          <w:p>
            <w:pPr>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120" w:type="dxa"/>
            <w:vAlign w:val="bottom"/>
            <w:gridSpan w:val="6"/>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80" w:type="dxa"/>
            <w:vAlign w:val="bottom"/>
            <w:gridSpan w:val="5"/>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gridSpan w:val="2"/>
          </w:tcPr>
          <w:p>
            <w:pPr>
              <w:spacing w:after="0"/>
              <w:rPr>
                <w:sz w:val="24"/>
                <w:szCs w:val="24"/>
                <w:color w:val="auto"/>
              </w:rPr>
            </w:pPr>
          </w:p>
        </w:tc>
        <w:tc>
          <w:tcPr>
            <w:tcW w:w="8720" w:type="dxa"/>
            <w:vAlign w:val="bottom"/>
            <w:gridSpan w:val="9"/>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6"/>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80" w:type="dxa"/>
            <w:vAlign w:val="bottom"/>
            <w:gridSpan w:val="3"/>
          </w:tcPr>
          <w:p>
            <w:pPr>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3.</w:t>
            </w:r>
          </w:p>
        </w:tc>
        <w:tc>
          <w:tcPr>
            <w:tcW w:w="4920" w:type="dxa"/>
            <w:vAlign w:val="bottom"/>
            <w:gridSpan w:val="13"/>
          </w:tcPr>
          <w:p>
            <w:pPr>
              <w:ind w:left="20"/>
              <w:spacing w:after="0"/>
              <w:rPr>
                <w:sz w:val="20"/>
                <w:szCs w:val="20"/>
                <w:color w:val="auto"/>
              </w:rPr>
            </w:pPr>
            <w:r>
              <w:rPr>
                <w:rFonts w:ascii="Arial" w:cs="Arial" w:eastAsia="Arial" w:hAnsi="Arial"/>
                <w:sz w:val="18"/>
                <w:szCs w:val="18"/>
                <w:color w:val="0000EE"/>
              </w:rPr>
              <w:t>Defaults Upon Senior Securities.</w:t>
            </w:r>
          </w:p>
        </w:tc>
        <w:tc>
          <w:tcPr>
            <w:tcW w:w="5360" w:type="dxa"/>
            <w:vAlign w:val="bottom"/>
            <w:gridSpan w:val="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4.</w:t>
            </w:r>
          </w:p>
        </w:tc>
        <w:tc>
          <w:tcPr>
            <w:tcW w:w="1960" w:type="dxa"/>
            <w:vAlign w:val="bottom"/>
            <w:gridSpan w:val="8"/>
          </w:tcPr>
          <w:p>
            <w:pPr>
              <w:ind w:left="20"/>
              <w:spacing w:after="0"/>
              <w:rPr>
                <w:sz w:val="20"/>
                <w:szCs w:val="20"/>
                <w:color w:val="auto"/>
              </w:rPr>
            </w:pPr>
            <w:r>
              <w:rPr>
                <w:rFonts w:ascii="Arial" w:cs="Arial" w:eastAsia="Arial" w:hAnsi="Arial"/>
                <w:sz w:val="18"/>
                <w:szCs w:val="18"/>
                <w:color w:val="0000EE"/>
                <w:w w:val="98"/>
              </w:rPr>
              <w:t>Mine Safety Disclosures</w:t>
            </w:r>
          </w:p>
        </w:tc>
        <w:tc>
          <w:tcPr>
            <w:tcW w:w="660" w:type="dxa"/>
            <w:vAlign w:val="bottom"/>
            <w:gridSpan w:val="3"/>
          </w:tcPr>
          <w:p>
            <w:pPr>
              <w:spacing w:after="0"/>
              <w:rPr>
                <w:sz w:val="24"/>
                <w:szCs w:val="24"/>
                <w:color w:val="auto"/>
              </w:rPr>
            </w:pPr>
          </w:p>
        </w:tc>
        <w:tc>
          <w:tcPr>
            <w:tcW w:w="7660" w:type="dxa"/>
            <w:vAlign w:val="bottom"/>
            <w:gridSpan w:val="4"/>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5.</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w w:val="99"/>
              </w:rPr>
              <w:t>Other Information.</w:t>
            </w:r>
          </w:p>
        </w:tc>
        <w:tc>
          <w:tcPr>
            <w:tcW w:w="480" w:type="dxa"/>
            <w:vAlign w:val="bottom"/>
            <w:gridSpan w:val="3"/>
          </w:tcPr>
          <w:p>
            <w:pPr>
              <w:spacing w:after="0"/>
              <w:rPr>
                <w:sz w:val="24"/>
                <w:szCs w:val="24"/>
                <w:color w:val="auto"/>
              </w:rPr>
            </w:pPr>
          </w:p>
        </w:tc>
        <w:tc>
          <w:tcPr>
            <w:tcW w:w="8320" w:type="dxa"/>
            <w:vAlign w:val="bottom"/>
            <w:gridSpan w:val="7"/>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80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rPr>
              <w:t>Exhibits.</w:t>
            </w:r>
          </w:p>
        </w:tc>
        <w:tc>
          <w:tcPr>
            <w:tcW w:w="8800" w:type="dxa"/>
            <w:vAlign w:val="bottom"/>
            <w:gridSpan w:val="10"/>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580" w:type="dxa"/>
            <w:vAlign w:val="bottom"/>
            <w:gridSpan w:val="1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9580" w:type="dxa"/>
            <w:vAlign w:val="bottom"/>
            <w:gridSpan w:val="1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40</w:t>
            </w:r>
          </w:p>
        </w:tc>
        <w:tc>
          <w:tcPr>
            <w:tcW w:w="0" w:type="dxa"/>
            <w:vAlign w:val="bottom"/>
          </w:tcPr>
          <w:p>
            <w:pPr>
              <w:spacing w:after="0"/>
              <w:rPr>
                <w:sz w:val="1"/>
                <w:szCs w:val="1"/>
                <w:color w:val="auto"/>
              </w:rPr>
            </w:pPr>
          </w:p>
        </w:tc>
      </w:tr>
      <w:tr>
        <w:trPr>
          <w:trHeight w:val="426"/>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700" w:type="dxa"/>
            <w:vAlign w:val="bottom"/>
            <w:gridSpan w:val="13"/>
          </w:tcPr>
          <w:p>
            <w:pPr>
              <w:jc w:val="right"/>
              <w:ind w:right="2060"/>
              <w:spacing w:after="0"/>
              <w:rPr>
                <w:sz w:val="20"/>
                <w:szCs w:val="20"/>
                <w:color w:val="auto"/>
              </w:rPr>
            </w:pPr>
            <w:r>
              <w:rPr>
                <w:rFonts w:ascii="Arial" w:cs="Arial" w:eastAsia="Arial" w:hAnsi="Arial"/>
                <w:sz w:val="18"/>
                <w:szCs w:val="18"/>
                <w:color w:val="auto"/>
              </w:rPr>
              <w:t>2</w:t>
            </w:r>
          </w:p>
        </w:tc>
        <w:tc>
          <w:tcPr>
            <w:tcW w:w="3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78" w:lineRule="exact"/>
        <w:rPr>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59"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Israel and surrounding areas, the possible expansion of such conflicts and potential geopolitical consequences), the interruption from catastrophic events and problems such as terrorism, and public health crises;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38"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security breaches, cyber-attacks, or other cybersecurity threats or incidents, or the failure of any key information technology systems;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3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its business, including laws and regulations related to environmental health and safety;</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3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59"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2022, as filed with the U.S. Securities and Exchange Commission (the "SEC") on March 15, 2023, in Part II. Item 1A of this Quarterly Report on Form 10-Q, and/or as disclosed in any subsequent filings with the SEC.</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1400" w:type="dxa"/>
            <w:vAlign w:val="bottom"/>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color w:val="auto"/>
              </w:rPr>
              <w:t>(in thousands, except share data)</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400" w:type="dxa"/>
            <w:vAlign w:val="bottom"/>
          </w:tcPr>
          <w:p>
            <w:pPr>
              <w:spacing w:after="0"/>
              <w:rPr>
                <w:sz w:val="19"/>
                <w:szCs w:val="19"/>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(unaudited)</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1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0"/>
              <w:spacing w:after="0" w:line="183"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15"/>
        </w:trPr>
        <w:tc>
          <w:tcPr>
            <w:tcW w:w="14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October 1,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1400" w:type="dxa"/>
            <w:vAlign w:val="bottom"/>
            <w:shd w:val="clear" w:color="auto" w:fill="CCEEFF"/>
          </w:tcPr>
          <w:p>
            <w:pPr>
              <w:spacing w:after="0"/>
              <w:rPr>
                <w:sz w:val="17"/>
                <w:szCs w:val="17"/>
                <w:color w:val="auto"/>
              </w:rPr>
            </w:pPr>
          </w:p>
        </w:tc>
        <w:tc>
          <w:tcPr>
            <w:tcW w:w="6600" w:type="dxa"/>
            <w:vAlign w:val="bottom"/>
            <w:shd w:val="clear" w:color="auto" w:fill="CCEEFF"/>
          </w:tcPr>
          <w:p>
            <w:pPr>
              <w:jc w:val="center"/>
              <w:ind w:right="1430"/>
              <w:spacing w:after="0" w:line="196" w:lineRule="exact"/>
              <w:rPr>
                <w:sz w:val="20"/>
                <w:szCs w:val="20"/>
                <w:color w:val="auto"/>
              </w:rPr>
            </w:pPr>
            <w:r>
              <w:rPr>
                <w:rFonts w:ascii="Arial" w:cs="Arial" w:eastAsia="Arial" w:hAnsi="Arial"/>
                <w:sz w:val="18"/>
                <w:szCs w:val="18"/>
                <w:b w:val="1"/>
                <w:bCs w:val="1"/>
                <w:color w:val="auto"/>
                <w:w w:val="99"/>
              </w:rPr>
              <w:t>ASSETS</w:t>
            </w: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36,833</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26,150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$1,852 and $1,550 respectively</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47,083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207,161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233,573</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13,283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304,667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324,963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48,026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52,181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419,056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418,121</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413,774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424,855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29,522</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1,219,123</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1,249,642</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6600" w:type="dxa"/>
            <w:vAlign w:val="bottom"/>
            <w:shd w:val="clear" w:color="auto" w:fill="CCEEFF"/>
          </w:tcPr>
          <w:p>
            <w:pPr>
              <w:jc w:val="center"/>
              <w:ind w:right="143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39,762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44,948</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5,994</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42,225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43,317</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6,571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88,882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101,259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603,507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643,563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4,272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Earn-out liability</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49,774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58,390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operating lease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26,006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24,992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781,222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833,652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(Refer to Note 18 - Commitments and Contingencies)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8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1, 2023 and December 31, 2022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0"/>
        </w:trPr>
        <w:tc>
          <w:tcPr>
            <w:tcW w:w="8000" w:type="dxa"/>
            <w:vAlign w:val="bottom"/>
            <w:gridSpan w:val="2"/>
          </w:tcPr>
          <w:p>
            <w:pPr>
              <w:spacing w:after="0" w:line="189" w:lineRule="exact"/>
              <w:rPr>
                <w:sz w:val="20"/>
                <w:szCs w:val="20"/>
                <w:color w:val="auto"/>
              </w:rPr>
            </w:pPr>
            <w:r>
              <w:rPr>
                <w:rFonts w:ascii="Arial" w:cs="Arial" w:eastAsia="Arial" w:hAnsi="Arial"/>
                <w:sz w:val="18"/>
                <w:szCs w:val="18"/>
                <w:color w:val="auto"/>
              </w:rPr>
              <w:t>Common stock, $0.0001 par value, 550,000,000 shares authorized, 117,473,122 and 117,147,997</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shares issued and outstanding on October 1, 2023 and December 31, 2022, respectively</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372,158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368,122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(944)</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66,778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437,901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415,990</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1,219,123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1,249,642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2"/>
        </w:trPr>
        <w:tc>
          <w:tcPr>
            <w:tcW w:w="140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260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HOLLEY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8620" w:type="dxa"/>
            <w:vAlign w:val="bottom"/>
            <w:gridSpan w:val="11"/>
          </w:tcPr>
          <w:p>
            <w:pPr>
              <w:jc w:val="center"/>
              <w:ind w:right="80"/>
              <w:spacing w:after="0"/>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600" w:type="dxa"/>
            <w:vAlign w:val="bottom"/>
            <w:gridSpan w:val="4"/>
          </w:tcPr>
          <w:p>
            <w:pPr>
              <w:jc w:val="center"/>
              <w:ind w:right="780"/>
              <w:spacing w:after="0" w:line="202" w:lineRule="exact"/>
              <w:rPr>
                <w:sz w:val="20"/>
                <w:szCs w:val="20"/>
                <w:color w:val="auto"/>
              </w:rPr>
            </w:pPr>
            <w:r>
              <w:rPr>
                <w:rFonts w:ascii="Arial" w:cs="Arial" w:eastAsia="Arial" w:hAnsi="Arial"/>
                <w:sz w:val="18"/>
                <w:szCs w:val="18"/>
                <w:color w:val="auto"/>
                <w:w w:val="99"/>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00" w:type="dxa"/>
            <w:vAlign w:val="bottom"/>
            <w:gridSpan w:val="4"/>
          </w:tcPr>
          <w:p>
            <w:pPr>
              <w:jc w:val="center"/>
              <w:ind w:right="780"/>
              <w:spacing w:after="0"/>
              <w:rPr>
                <w:sz w:val="20"/>
                <w:szCs w:val="20"/>
                <w:color w:val="auto"/>
              </w:rPr>
            </w:pPr>
            <w:r>
              <w:rPr>
                <w:rFonts w:ascii="Arial" w:cs="Arial" w:eastAsia="Arial" w:hAnsi="Arial"/>
                <w:sz w:val="18"/>
                <w:szCs w:val="18"/>
                <w:color w:val="auto"/>
                <w:w w:val="98"/>
              </w:rPr>
              <w:t>(unaudited)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color w:val="auto"/>
              </w:rPr>
              <w:t>For the thirty-nine weeks</w:t>
            </w:r>
          </w:p>
        </w:tc>
      </w:tr>
      <w:tr>
        <w:trPr>
          <w:trHeight w:val="215"/>
        </w:trPr>
        <w:tc>
          <w:tcPr>
            <w:tcW w:w="1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720" w:type="dxa"/>
            <w:vAlign w:val="bottom"/>
            <w:gridSpan w:val="6"/>
          </w:tcPr>
          <w:p>
            <w:pPr>
              <w:jc w:val="right"/>
              <w:ind w:right="30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420" w:type="dxa"/>
            <w:vAlign w:val="bottom"/>
            <w:gridSpan w:val="5"/>
          </w:tcPr>
          <w:p>
            <w:pPr>
              <w:jc w:val="right"/>
              <w:ind w:right="1080"/>
              <w:spacing w:after="0"/>
              <w:rPr>
                <w:sz w:val="20"/>
                <w:szCs w:val="20"/>
                <w:color w:val="auto"/>
              </w:rPr>
            </w:pPr>
            <w:r>
              <w:rPr>
                <w:rFonts w:ascii="Arial" w:cs="Arial" w:eastAsia="Arial" w:hAnsi="Arial"/>
                <w:sz w:val="18"/>
                <w:szCs w:val="18"/>
                <w:color w:val="auto"/>
              </w:rPr>
              <w:t>ended</w:t>
            </w:r>
          </w:p>
        </w:tc>
      </w:tr>
      <w:tr>
        <w:trPr>
          <w:trHeight w:val="183"/>
        </w:trPr>
        <w:tc>
          <w:tcPr>
            <w:tcW w:w="14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400"/>
              <w:spacing w:after="0" w:line="183" w:lineRule="exact"/>
              <w:rPr>
                <w:sz w:val="20"/>
                <w:szCs w:val="20"/>
                <w:color w:val="auto"/>
              </w:rPr>
            </w:pPr>
            <w:r>
              <w:rPr>
                <w:rFonts w:ascii="Arial" w:cs="Arial" w:eastAsia="Arial" w:hAnsi="Arial"/>
                <w:sz w:val="18"/>
                <w:szCs w:val="18"/>
                <w:color w:val="auto"/>
                <w:w w:val="99"/>
              </w:rPr>
              <w:t>October 1,</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99"/>
              </w:rPr>
              <w:t>October 2,</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20"/>
              <w:spacing w:after="0" w:line="183" w:lineRule="exact"/>
              <w:rPr>
                <w:sz w:val="20"/>
                <w:szCs w:val="20"/>
                <w:color w:val="auto"/>
              </w:rPr>
            </w:pPr>
            <w:r>
              <w:rPr>
                <w:rFonts w:ascii="Arial" w:cs="Arial" w:eastAsia="Arial" w:hAnsi="Arial"/>
                <w:sz w:val="18"/>
                <w:szCs w:val="18"/>
                <w:color w:val="auto"/>
                <w:w w:val="99"/>
              </w:rPr>
              <w:t>October 1,</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r>
      <w:tr>
        <w:trPr>
          <w:trHeight w:val="215"/>
        </w:trPr>
        <w:tc>
          <w:tcPr>
            <w:tcW w:w="1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156,530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154,775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503,997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534,250</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98,156</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106,383</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308,162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327,849</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58,374</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48,392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195,835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206,401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28,880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31,921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87,998</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102,532</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18,935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22,396</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3,687</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3,662</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11,040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10,985</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1,266</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2,106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3,247</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 (income)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594</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39,054</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45,330</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120,587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142,149</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19,320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75,248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64,252</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2,064</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(30,171)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5,516</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(51,112)</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(7,429)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(9,282)</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13,712</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10,428</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41,909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26,780</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non-operating expense (income)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16,476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(27,172)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49,514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(33,614)</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2,844</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30,234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25,734</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97,866</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7,756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8,866</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b w:val="1"/>
                <w:bCs w:val="1"/>
                <w:color w:val="auto"/>
              </w:rPr>
              <w:t>Net income</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752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31,579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17,978</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89,000</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516</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1,258</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6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8"/>
                <w:szCs w:val="18"/>
                <w:b w:val="1"/>
                <w:bCs w:val="1"/>
                <w:color w:val="auto"/>
              </w:rPr>
              <w:t>Total comprehensive income</w:t>
            </w:r>
          </w:p>
        </w:tc>
        <w:tc>
          <w:tcPr>
            <w:tcW w:w="1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32,095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17,875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90,258</w:t>
            </w:r>
          </w:p>
        </w:tc>
      </w:tr>
      <w:tr>
        <w:trPr>
          <w:trHeight w:val="183"/>
        </w:trPr>
        <w:tc>
          <w:tcPr>
            <w:tcW w:w="476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7"/>
              </w:rPr>
              <w:t>117,397,069</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117,119,609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117,256,959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116,636,906</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119,245,956</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117,138,134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118,119,501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117,273,613</w:t>
            </w:r>
          </w:p>
        </w:tc>
      </w:tr>
      <w:tr>
        <w:trPr>
          <w:trHeight w:val="202"/>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0.76</w:t>
            </w: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bl>
    <w:p>
      <w:pPr>
        <w:spacing w:after="0" w:line="153"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14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8620" w:type="dxa"/>
            <w:vAlign w:val="bottom"/>
            <w:gridSpan w:val="18"/>
          </w:tcPr>
          <w:p>
            <w:pPr>
              <w:jc w:val="center"/>
              <w:ind w:right="16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gridSpan w:val="10"/>
          </w:tcPr>
          <w:p>
            <w:pPr>
              <w:jc w:val="center"/>
              <w:ind w:left="73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6"/>
          </w:tcPr>
          <w:p>
            <w:pPr>
              <w:jc w:val="center"/>
              <w:ind w:right="6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40" w:type="dxa"/>
            <w:vAlign w:val="bottom"/>
            <w:gridSpan w:val="6"/>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Retained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83" w:lineRule="exact"/>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83" w:lineRule="exact"/>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320" w:type="dxa"/>
            <w:vAlign w:val="bottom"/>
            <w:gridSpan w:val="3"/>
          </w:tcPr>
          <w:p>
            <w:pPr>
              <w:spacing w:after="0" w:line="202" w:lineRule="exact"/>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Gain (Loss)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115,805,639</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329,705</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(24,974)</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304,487</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16,858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16,858</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Issuance of vested Earn-Out Shares</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1,093,750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14,689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at April 3, 2022</w:t>
            </w: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116,899,389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347,556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(8,116)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339,437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40,563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Warrants exercised</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33,333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July 3, 2022</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116,932,722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351,422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32,447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384,367</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31,579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90"/>
        </w:trPr>
        <w:tc>
          <w:tcPr>
            <w:tcW w:w="32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90"/>
        </w:trPr>
        <w:tc>
          <w:tcPr>
            <w:tcW w:w="32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215,275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October 2, 2022</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117,147,997</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353,245</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64,026</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418,285</w:t>
            </w:r>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2022</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117,147,997</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368,122</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48,800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415,990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0"/>
        </w:trPr>
        <w:tc>
          <w:tcPr>
            <w:tcW w:w="32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0"/>
        </w:trPr>
        <w:tc>
          <w:tcPr>
            <w:tcW w:w="32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April 2, 2023</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117,172,216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368,482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53,047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420,398</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12,979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90"/>
        </w:trPr>
        <w:tc>
          <w:tcPr>
            <w:tcW w:w="32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0"/>
        </w:trPr>
        <w:tc>
          <w:tcPr>
            <w:tcW w:w="32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77,638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July 2, 2023</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117,249,854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370,249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66,026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435,416</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0"/>
        </w:trPr>
        <w:tc>
          <w:tcPr>
            <w:tcW w:w="32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190"/>
        </w:trPr>
        <w:tc>
          <w:tcPr>
            <w:tcW w:w="32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223,268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October 1, 2023</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117,473,122</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372,158</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66,778</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437,901</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1400" w:type="dxa"/>
            <w:vAlign w:val="bottom"/>
            <w:tcBorders>
              <w:top w:val="single" w:sz="8" w:color="0000EE"/>
            </w:tcBorders>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82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9"/>
              </w:rPr>
              <w:t>(in thousands)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3040" w:type="dxa"/>
            <w:vAlign w:val="bottom"/>
            <w:gridSpan w:val="6"/>
            <w:vMerge w:val="restart"/>
          </w:tcPr>
          <w:p>
            <w:pPr>
              <w:jc w:val="right"/>
              <w:ind w:right="420"/>
              <w:spacing w:after="0"/>
              <w:rPr>
                <w:sz w:val="20"/>
                <w:szCs w:val="20"/>
                <w:color w:val="auto"/>
              </w:rPr>
            </w:pPr>
            <w:r>
              <w:rPr>
                <w:rFonts w:ascii="Arial" w:cs="Arial" w:eastAsia="Arial" w:hAnsi="Arial"/>
                <w:sz w:val="18"/>
                <w:szCs w:val="18"/>
                <w:color w:val="auto"/>
              </w:rPr>
              <w:t>For the thirty-nine weeks ended</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600" w:type="dxa"/>
            <w:vAlign w:val="bottom"/>
            <w:tcBorders>
              <w:top w:val="single" w:sz="8" w:color="auto"/>
            </w:tcBorders>
            <w:gridSpan w:val="3"/>
          </w:tcPr>
          <w:p>
            <w:pPr>
              <w:jc w:val="right"/>
              <w:ind w:right="220"/>
              <w:spacing w:after="0" w:line="196" w:lineRule="exact"/>
              <w:rPr>
                <w:sz w:val="20"/>
                <w:szCs w:val="20"/>
                <w:color w:val="auto"/>
              </w:rPr>
            </w:pPr>
            <w:r>
              <w:rPr>
                <w:rFonts w:ascii="Arial" w:cs="Arial" w:eastAsia="Arial" w:hAnsi="Arial"/>
                <w:sz w:val="18"/>
                <w:szCs w:val="18"/>
                <w:color w:val="auto"/>
              </w:rPr>
              <w:t>October 1, 2023</w:t>
            </w: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October 2, 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17,978</w:t>
            </w:r>
          </w:p>
        </w:tc>
        <w:tc>
          <w:tcPr>
            <w:tcW w:w="5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7,738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11,040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deferred loan costs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Amortization of right of use assets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4,014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termination of leases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5,516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(51,112)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compensation</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5,170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Change in deferred taxes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(8,616)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Loss (gain) on disposal of property, plant and equipment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Provision for inventory reserves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3,824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credit losses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21,046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(46,299)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Prepaids and other current assets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4,862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(5,413)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(5,670)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(4,332)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(4,417)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acquisitions, net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(14,077)</w:t>
            </w: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(3,125)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(25,349)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(40,437)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(31,790)</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issuance of common stock in connection with the exercise of Warrants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(42,998)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(19,719)</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26,150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36,833</w:t>
            </w:r>
          </w:p>
        </w:tc>
        <w:tc>
          <w:tcPr>
            <w:tcW w:w="560" w:type="dxa"/>
            <w:vAlign w:val="bottom"/>
            <w:gridSpan w:val="2"/>
          </w:tcPr>
          <w:p>
            <w:pPr>
              <w:jc w:val="right"/>
              <w:ind w:right="29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16,606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50,290</w:t>
            </w:r>
          </w:p>
        </w:tc>
        <w:tc>
          <w:tcPr>
            <w:tcW w:w="5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25,070</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Cash paid for income taxes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16,041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Vested Earn-Out Shares issued to Empower Sponsor Holdings LLC</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left="340" w:right="980"/>
        <w:spacing w:after="0" w:line="271"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208"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74"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The Business Combination was accounted for as a reverse recapitalization in which Holley Intermediate was deemed the accounting acquirer with Holley Inc. as the successor registrant. As such, Empower was treated as the acquired company for financial reporting purposes. On the Closing Date, Empower changed its name to Holley Inc. and its trading symbol on the NYSE from “EMPW” to “HLLY.”</w:t>
      </w:r>
    </w:p>
    <w:p>
      <w:pPr>
        <w:spacing w:after="0" w:line="177"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6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208"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08"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including the conflict in Ukraine, the conflict in Israel and surrounding areas, and the possible expansion of such conflicts and potential geopolitical consequences. The Company's operations have been adversely impacted by inflationary pressures primarily related to transportation, labor and component costs. Sales growth in certain products has been constrained by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Our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0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2022, as filed with the SEC on March 15, 2023,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78"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Company operates on a fiscal year that ends on December 31. The three- and nine-month periods ended October 1, 2023 and October 2, 2022 each included 13 weeks and 39 weeks,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08"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following are updates to the significant accounting policies described in our audited consolidated financial statements as of and for the year ended December 31,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Equity-Based Compensation</w:t>
      </w:r>
    </w:p>
    <w:p>
      <w:pPr>
        <w:spacing w:after="0" w:line="20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accounts for equity-based awards granted to employees and nonemployees under the fair value method prescribed by Accounting Standards Codification ("ASC") Subtopic 718-10, Stock Compensation. Equity-based compensation cost is measured based on the estimated grant date fair value of the award and is recognized as expense over the requisite service period (generally the vesting period). The fair value of stock options is estimated using the Black Scholes option-pricing model. Restricted stock units are valued at the stock price on the grant date. The fair value of profit interest units granted by Holley Parent Holdings, LLC (the "Holley Stockholder") is estimated based on the Company’s estimated equity value for each unit class at the time of granting using the Black-Scholes option-pricing model, discounted to reflect market considerations for illiquidity.</w:t>
      </w:r>
    </w:p>
    <w:p>
      <w:pPr>
        <w:spacing w:after="0" w:line="177"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Performance share units that vest based on the achievement of company-designated performance targets are valued at the stock price on the grant date. Compensation expense in respect of such performance share units is recognized each period based on the expected level of achievement and, to the extent that the expected levels of achievement change, compensation cost is adjusted in the period of change with the remaining unrecognized cost recognized over the remaining requisite service period. For performance share units that vest based on the achievement of predetermined market conditions, the Company estimates the grant date fair value using a Monte Carlo simulation model. The fair value associated with each tranche of the award is recognized, straight-line, over the associated requisite service period for that tranche, subject to acceleration if the market condition is met prior to the end of the derived service period.</w:t>
      </w:r>
    </w:p>
    <w:p>
      <w:pPr>
        <w:spacing w:after="0" w:line="18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Unless the awards contain a market condition, previously recognized expense related to forfeited awards is reversed in the period in which the forfeiture occurs. For awards containing a market condition, previously recognized stock-based compensation expense is not reversed when the awards are forfeited as long as the service is provided for the duration of the required service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20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assets or liabilities, the derivative instrument is initially recorded at its fair value on the grant date and is then re-valued at each reporting date, with changes in the fair value reported in the statements of operations. Derivative assets and liabilities are classified on the balance sheet as current or non-current based on whether or not net cash settlement or conversion of the instrument could be required within 12 months of the balance sheet date.</w:t>
      </w:r>
    </w:p>
    <w:p>
      <w:pPr>
        <w:spacing w:after="0" w:line="18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uses derivative instruments to manage its exposure to changes in interest rates on borrowings under its debt facility. These derivative instruments are primarily valued on the basis of quotes obtained from banks, brokers, and/or dealers. The valuation of the derivative instruments considers future expected interest rates on the notional principal balance remaining, which is comparable to what a prospective acquirer would pay on the measurement date. Valuation pricing models consider inputs such as forward rates, anticipated interest rate volatility relating to the reference rate, as well as time value, counterparty risk and other factors underlying derivative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 xml:space="preserve">In October 2021, the Financial Accounting Standards Board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This ASU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to apply the definition of a performance obligation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recognize and measure contract assets and contract liabilities (i.e., deferred revenue) relating to contracts with customers that are acquired in a business combination. Prior to the adoption of ASU 2021-08, an acquirer generally recognized assets acquired, and liabilities assumed in a business combination, including contract assets and contract liabilities arising from revenue contracts with customers, at fair value on the acquisition date. ASU No. 2021-08 results in the acquirer recording acquired contract assets and liabilities on the same basis that would have been recorded by the acquiree before the acquisition under ASC Topic 606. The Company adopted ASU 2021-08 on January 1, 2023. Adoption of ASU 2021-08 did not impact the Company's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8"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 2022, the Company completed three acquisitions. These acquisitions are expected to enhance the Company's portfolio of products and services in the automotive aftermarket and automotive safety solutions market.</w:t>
      </w:r>
    </w:p>
    <w:p>
      <w:pPr>
        <w:spacing w:after="0" w:line="159"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Goodwill generated by the acquisitions is primarily attributable to the strong market position of the entities acquired.</w:t>
      </w:r>
    </w:p>
    <w:p>
      <w:pPr>
        <w:spacing w:after="0" w:line="170"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75"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In 2022, the Company acquired substantially all the assets of John's Ind., Inc., Southern Kentucky Classics, and Vesta Motorsports USA, Inc., doing business as RaceQuip. These acquisitions were immaterial business combinations. Cash paid for the three acquisitions, net of cash acquired, was $14,863, and was funded with borrowings from the Company's credit facility and cash on hand. The acquisitions resulted in both amortizable and nonamortizable intangibles and goodwill totaling $10,553. The goodwill and intangibles generated as a result of these acquisitions are deductible for income tax purposes. The final allocation of the purchase price allocation to specific assets acquired and liabilities assumed was adjusted to reflect the final fair value estimate of acquired assets and liabilities, as noted below.</w:t>
      </w:r>
    </w:p>
    <w:p>
      <w:pPr>
        <w:spacing w:after="0" w:line="180"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Measurement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Period</w:t>
            </w:r>
          </w:p>
        </w:tc>
        <w:tc>
          <w:tcPr>
            <w:tcW w:w="16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8"/>
              </w:rPr>
              <w:t>reported)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(as adjusted)</w:t>
            </w:r>
          </w:p>
        </w:tc>
        <w:tc>
          <w:tcPr>
            <w:tcW w:w="100" w:type="dxa"/>
            <w:vAlign w:val="bottom"/>
          </w:tcPr>
          <w:p>
            <w:pPr>
              <w:spacing w:after="0"/>
              <w:rPr>
                <w:sz w:val="18"/>
                <w:szCs w:val="18"/>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562</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3,627</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(1,108)</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7,352</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(133)</w:t>
            </w:r>
          </w:p>
        </w:tc>
        <w:tc>
          <w:tcPr>
            <w:tcW w:w="16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w:t>
            </w:r>
          </w:p>
        </w:tc>
      </w:tr>
      <w:tr>
        <w:trPr>
          <w:trHeight w:val="20"/>
        </w:trPr>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14,863</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14,863</w:t>
            </w: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15"/>
        </w:trPr>
        <w:tc>
          <w:tcPr>
            <w:tcW w:w="7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October 1,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67,811</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78,586</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23,424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23,906</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115,926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131,081</w:t>
            </w:r>
          </w:p>
        </w:tc>
      </w:tr>
      <w:tr>
        <w:trPr>
          <w:trHeight w:val="20"/>
        </w:trPr>
        <w:tc>
          <w:tcPr>
            <w:tcW w:w="7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207,161</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233,573</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83"/>
        </w:trPr>
        <w:tc>
          <w:tcPr>
            <w:tcW w:w="3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October 1,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3,426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11,051</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4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66,140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9,563</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4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92,702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90,180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44,676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37,999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4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48,026</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52,181</w:t>
            </w: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3"/>
        </w:trPr>
        <w:tc>
          <w:tcPr>
            <w:tcW w:w="3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October 1,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ind w:right="343"/>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46,056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50,434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1,747</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520" w:type="dxa"/>
            <w:vAlign w:val="bottom"/>
            <w:shd w:val="clear" w:color="auto" w:fill="CCEEFF"/>
          </w:tcPr>
          <w:p>
            <w:pPr>
              <w:jc w:val="right"/>
              <w:ind w:right="343"/>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48,026</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52,181</w:t>
            </w: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7400" w:type="dxa"/>
            <w:vAlign w:val="bottom"/>
            <w:tcBorders>
              <w:top w:val="single" w:sz="8" w:color="CCEEFF"/>
            </w:tcBorders>
          </w:tcPr>
          <w:p>
            <w:pPr>
              <w:ind w:left="5180"/>
              <w:spacing w:after="0"/>
              <w:rPr>
                <w:sz w:val="20"/>
                <w:szCs w:val="20"/>
                <w:color w:val="auto"/>
              </w:rPr>
            </w:pPr>
            <w:r>
              <w:rPr>
                <w:rFonts w:ascii="Arial" w:cs="Arial" w:eastAsia="Arial" w:hAnsi="Arial"/>
                <w:sz w:val="18"/>
                <w:szCs w:val="18"/>
                <w:color w:val="auto"/>
              </w:rPr>
              <w:t>13</w:t>
            </w: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7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changes to goodwill for the period indicated:</w:t>
      </w:r>
    </w:p>
    <w:p>
      <w:pPr>
        <w:spacing w:after="0" w:line="198" w:lineRule="exact"/>
        <w:rPr>
          <w:sz w:val="20"/>
          <w:szCs w:val="20"/>
          <w:color w:val="auto"/>
        </w:rPr>
      </w:pPr>
    </w:p>
    <w:p>
      <w:pPr>
        <w:jc w:val="center"/>
        <w:ind w:left="9040"/>
        <w:spacing w:after="0"/>
        <w:rPr>
          <w:sz w:val="20"/>
          <w:szCs w:val="20"/>
          <w:color w:val="auto"/>
        </w:rPr>
      </w:pPr>
      <w:r>
        <w:rPr>
          <w:rFonts w:ascii="Arial" w:cs="Arial" w:eastAsia="Arial" w:hAnsi="Arial"/>
          <w:sz w:val="18"/>
          <w:szCs w:val="18"/>
          <w:color w:val="auto"/>
        </w:rPr>
        <w:t>For the thirty-nine</w:t>
      </w:r>
    </w:p>
    <w:p>
      <w:pPr>
        <w:spacing w:after="0" w:line="3" w:lineRule="exact"/>
        <w:rPr>
          <w:sz w:val="20"/>
          <w:szCs w:val="20"/>
          <w:color w:val="auto"/>
        </w:rPr>
      </w:pPr>
    </w:p>
    <w:p>
      <w:pPr>
        <w:jc w:val="center"/>
        <w:ind w:left="9040"/>
        <w:spacing w:after="0"/>
        <w:rPr>
          <w:sz w:val="20"/>
          <w:szCs w:val="20"/>
          <w:color w:val="auto"/>
        </w:rPr>
      </w:pPr>
      <w:r>
        <w:rPr>
          <w:rFonts w:ascii="Arial" w:cs="Arial" w:eastAsia="Arial" w:hAnsi="Arial"/>
          <w:sz w:val="18"/>
          <w:szCs w:val="18"/>
          <w:color w:val="auto"/>
        </w:rPr>
        <w:t>weeks ended</w:t>
      </w:r>
    </w:p>
    <w:p>
      <w:pPr>
        <w:jc w:val="center"/>
        <w:ind w:left="9040"/>
        <w:spacing w:after="0" w:line="235" w:lineRule="auto"/>
        <w:rPr>
          <w:sz w:val="20"/>
          <w:szCs w:val="20"/>
          <w:color w:val="auto"/>
        </w:rPr>
      </w:pPr>
      <w:r>
        <w:rPr>
          <w:rFonts w:ascii="Arial" w:cs="Arial" w:eastAsia="Arial" w:hAnsi="Arial"/>
          <w:sz w:val="18"/>
          <w:szCs w:val="18"/>
          <w:color w:val="auto"/>
        </w:rPr>
        <w:t>October 1, 2023</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9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on December 31, 2022</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418,121</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935</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on October 1, 2023</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419,056</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176"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No goodwill impairment charges were incurred during the 13-week and 39-week periods ended October 1, 2023 and October 2, 2022. During the third quarter of 2022, management concluded that it was necessary to reevaluate goodwill and indefinite-lived intangible assets for impairment due to supply chain constraints that resulted in the Company revising its earnings estimates for 2022. As a result of this evaluation, a pre-tax impairment of $ 2.4 million was recognized on certain indefinite-lived tradenames.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w:t>
      </w:r>
    </w:p>
    <w:p>
      <w:pPr>
        <w:spacing w:after="0" w:line="1" w:lineRule="exact"/>
        <w:rPr>
          <w:sz w:val="20"/>
          <w:szCs w:val="20"/>
          <w:color w:val="auto"/>
        </w:rPr>
      </w:pPr>
    </w:p>
    <w:p>
      <w:pPr>
        <w:ind w:left="340" w:hanging="8"/>
        <w:spacing w:after="0" w:line="246" w:lineRule="auto"/>
        <w:tabs>
          <w:tab w:leader="none" w:pos="4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1"/>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October 1, 2023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83"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83"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15"/>
        </w:trPr>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(52,844)</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217,106</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(5,387)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8,388</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(13,353)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13,323</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(71,584)</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238,817</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174,957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174,957</w:t>
            </w:r>
          </w:p>
        </w:tc>
      </w:tr>
      <w:tr>
        <w:trPr>
          <w:trHeight w:val="379"/>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2022</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83"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83"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15"/>
        </w:trPr>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(44,178)</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225,772</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(4,843)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8,932</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15,153</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(60,544)</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249,857</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174,998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174,998</w:t>
            </w: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October 1, 2023:</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2023 (excluding the thirty-nine weeks ended October 1, 2023)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13,744</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13,714</w:t>
            </w:r>
          </w:p>
        </w:tc>
      </w:tr>
      <w:tr>
        <w:trPr>
          <w:trHeight w:val="202"/>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13,493</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180,741</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238,817</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126" w:right="339" w:bottom="1440" w:gutter="0" w:footer="0" w:header="0"/>
        </w:sect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5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15"/>
        </w:trPr>
        <w:tc>
          <w:tcPr>
            <w:tcW w:w="5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October 1,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2380" w:type="dxa"/>
            <w:vAlign w:val="bottom"/>
            <w:gridSpan w:val="2"/>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5,468</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6,861</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6,259</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5,214</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5,222</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5,112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14,649</w:t>
            </w:r>
          </w:p>
        </w:tc>
      </w:tr>
      <w:tr>
        <w:trPr>
          <w:trHeight w:val="20"/>
        </w:trPr>
        <w:tc>
          <w:tcPr>
            <w:tcW w:w="5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accrued liabilities</w:t>
            </w:r>
          </w:p>
        </w:tc>
        <w:tc>
          <w:tcPr>
            <w:tcW w:w="18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42,225</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43,317</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15"/>
        </w:trPr>
        <w:tc>
          <w:tcPr>
            <w:tcW w:w="7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October 1, 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619,147</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649,350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10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2,770</w:t>
            </w:r>
          </w:p>
        </w:tc>
      </w:tr>
      <w:tr>
        <w:trPr>
          <w:trHeight w:val="202"/>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(11,557)</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610,078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650,563</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(7,000)</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603,507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643,563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w:t>
      </w:r>
    </w:p>
    <w:p>
      <w:pPr>
        <w:spacing w:after="0" w:line="181"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$1,728 in outstanding letters of credit on October 1, 2023.</w:t>
      </w:r>
    </w:p>
    <w:p>
      <w:pPr>
        <w:spacing w:after="0" w:line="171"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Proceeds from the credit facility were used to repay in full the Company’s obligations under its previously existing first lien and second lien notes and to pay $13,413 in deferred financing fees related to the refinancing.</w:t>
      </w:r>
    </w:p>
    <w:p>
      <w:pPr>
        <w:spacing w:after="0" w:line="15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2022, no excess cash flow payment was required in 2023. Any such payments offset future mandatory quarterly payments. The Credit Agreement permits voluntary prepayments at any time, in whole or in part. The Company paid down an aggregate of $24,845 in principal on its outstanding first lien term loan by repurchasing $13,845 at a discount to par and making a voluntary repayment of $11,000 during the 13-week period ended October 1, 2023.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As of October 1, 2023,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October 1, 2023, the weighted average interest rate on the Company's borrowings under the credit facility was 9.4%.</w:t>
      </w:r>
    </w:p>
    <w:p>
      <w:pPr>
        <w:spacing w:after="0" w:line="176"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 xml:space="preserve">The Company has entered into an interest rate collar in the notional amount of $500,000 to hedge the Company's exposure to fluctuations in interest rates on its variable-rate debt. Refer to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5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1"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consolidated net leverage ratio financial covenant level applicable under the Credit Agreement as of the quarter ending April 2, 2023 through the quarter ending March 31, 2024 (the “Covenant Relief Period”), to initially 7.25:1.00, and provides for modified step-down levels for such covenant thereafter. 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$1,427 of deferred financing fees related to these amendments. On October 1, 2023, the Company was in compliance with all financial covenants.</w:t>
      </w:r>
    </w:p>
    <w:p>
      <w:pPr>
        <w:spacing w:after="0" w:line="182" w:lineRule="exact"/>
        <w:rPr>
          <w:sz w:val="20"/>
          <w:szCs w:val="20"/>
          <w:color w:val="auto"/>
        </w:rPr>
      </w:pPr>
    </w:p>
    <w:p>
      <w:pPr>
        <w:jc w:val="both"/>
        <w:ind w:left="340" w:right="20"/>
        <w:spacing w:after="0" w:line="247"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October 1, 2023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Debt Issuance</w:t>
            </w: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 (excluding the thirty-nine weeks ended October 1, 2023)</w:t>
            </w:r>
          </w:p>
        </w:tc>
        <w:tc>
          <w:tcPr>
            <w:tcW w:w="266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1,855</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591,219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2,328</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621,269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11,191</w:t>
            </w: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50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16</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208"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79"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83"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74"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October 1, 2023 and December 31, 2022, a warrant liability with a fair value of $9,788 and $4,272, respectively, was reflected as a long-term liability in the condensed consolidated balance sheet. An increase of $2,064 and a decrease of $30,171 in the fair value of the warrant liability was reflected as change in fair value of warrant liability in the condensed consolidated statements of comprehensive income for the 13-week periods ended October 1, 2023 and October 2, 2022, respectively. An increase of $5,516 and a decrease of $51,112 in the fair value of the warrant liability was reflected as change in fair value of warrant liability in the condensed consolidated statements of comprehensive income for the 39-week periods ended October 1, 2023 and October 2, 2022, respectively. In April 2022, the Company issued 33,333 shares of Common Stock in connection with the exercise of Public Warrants assumed in the Business Combination.</w:t>
      </w:r>
    </w:p>
    <w:p>
      <w:pPr>
        <w:spacing w:after="0" w:line="183"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October 1, 2023 and December 31, 2022, an earn-out liability with a fair value of $3,265 and $1,176, respectively, was reflected as a long-term liability in the condensed consolidated balance sheet. An increase of $700 and a decrease of $7,429 in the fair value of the earn-out liability was reflected as change in fair value of earn-out liability in the condensed consolidated statements of comprehensive income for the 13-week periods ended October 1, 2023 and October 2, 2022, respectively. An increase of $2,089 and a decrease of $9,282 in the fair value of the earn-out liability was reflected as change in fair value of earn-out liability in the condensed consolidated statements of comprehensive income for the 39-week periods ended October 1, 2023 and October 2, 2022,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08"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80"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As of October 1, 2023, the Company recognized a derivative asset of $3,185 for the Collar in other noncurrent assets on the condensed consolidated balance sheet. For the 13-week and 39-week periods ended October 1, 2023, the Company recorded a net change in the fair value of the Collar as a decrease to interest expense of $1,117 and $3,185, respectively. Cash receipts for the Collar totaled $125 for both the 13-week and 39-week periods ended October 1, 2023.</w:t>
      </w:r>
    </w:p>
    <w:p>
      <w:pPr>
        <w:spacing w:after="0" w:line="174"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10,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322" w:lineRule="exact"/>
        <w:rPr>
          <w:rFonts w:ascii="Arial" w:cs="Arial" w:eastAsia="Arial" w:hAnsi="Arial"/>
          <w:sz w:val="18"/>
          <w:szCs w:val="18"/>
          <w:b w:val="1"/>
          <w:bCs w:val="1"/>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8"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color w:val="auto"/>
              </w:rPr>
              <w:t>Fair Value Measured on October 1, 2023</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3,185</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3,185</w:t>
            </w:r>
          </w:p>
        </w:tc>
      </w:tr>
      <w:tr>
        <w:trPr>
          <w:trHeight w:val="203"/>
        </w:trPr>
        <w:tc>
          <w:tcPr>
            <w:tcW w:w="5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6,379</w:t>
            </w:r>
          </w:p>
        </w:tc>
        <w:tc>
          <w:tcPr>
            <w:tcW w:w="400" w:type="dxa"/>
            <w:vAlign w:val="bottom"/>
            <w:tcBorders>
              <w:left w:val="single" w:sz="8" w:color="CCEEFF"/>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6,379</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3,409</w:t>
            </w: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3,409</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3,265</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6,379</w:t>
            </w:r>
          </w:p>
        </w:tc>
        <w:tc>
          <w:tcPr>
            <w:tcW w:w="20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6,674</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13,053</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rPr>
              <w:t>Fair Value Measured on December 31, 2022</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2,691</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1,581</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1,581</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1,176</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2,691</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2,757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5,448</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As of October 1, 2023, the Company's derivative liabilities for its Private and Public Warrants, earn-out liability, and derivative asset for its Collar are measured at fair value on a recurring basis (see Note 8,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15"/>
        </w:trPr>
        <w:tc>
          <w:tcPr>
            <w:tcW w:w="4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October 1, 2023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240" w:type="dxa"/>
            <w:vAlign w:val="bottom"/>
            <w:gridSpan w:val="2"/>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2.12</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24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2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3.54</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24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Price threshold</w:t>
            </w:r>
          </w:p>
        </w:tc>
        <w:tc>
          <w:tcPr>
            <w:tcW w:w="32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r>
    </w:tbl>
    <w:p>
      <w:pPr>
        <w:spacing w:after="0" w:line="163"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15"/>
        </w:trPr>
        <w:tc>
          <w:tcPr>
            <w:tcW w:w="4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October 1, 2023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220" w:type="dxa"/>
            <w:vAlign w:val="bottom"/>
            <w:gridSpan w:val="2"/>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2.12</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4.79</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57.68%</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70.33%</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4.49%</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322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r>
    </w:tbl>
    <w:p>
      <w:pPr>
        <w:spacing w:after="0" w:line="190"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As of October 1, 2023 and December 31, 2022,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39-week periods ended October 1, 2023 and October 2, 2022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Private Warrants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230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21,793</w:t>
            </w:r>
          </w:p>
        </w:tc>
        <w:tc>
          <w:tcPr>
            <w:tcW w:w="580" w:type="dxa"/>
            <w:vAlign w:val="bottom"/>
            <w:gridSpan w:val="2"/>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26,596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48,389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Liabilities reclassed to equity</w:t>
            </w: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(14,689)</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Gains included in earnings</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(7,653)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(9,506)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8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October 2, 2022</w:t>
            </w:r>
          </w:p>
        </w:tc>
        <w:tc>
          <w:tcPr>
            <w:tcW w:w="1760" w:type="dxa"/>
            <w:vAlign w:val="bottom"/>
          </w:tcPr>
          <w:p>
            <w:pPr>
              <w:spacing w:after="0"/>
              <w:rPr>
                <w:sz w:val="17"/>
                <w:szCs w:val="17"/>
                <w:color w:val="auto"/>
              </w:rPr>
            </w:pPr>
          </w:p>
        </w:tc>
        <w:tc>
          <w:tcPr>
            <w:tcW w:w="540" w:type="dxa"/>
            <w:vAlign w:val="bottom"/>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14,140</w:t>
            </w:r>
          </w:p>
        </w:tc>
        <w:tc>
          <w:tcPr>
            <w:tcW w:w="580" w:type="dxa"/>
            <w:vAlign w:val="bottom"/>
            <w:gridSpan w:val="2"/>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10,054</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24,194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b w:val="1"/>
                <w:bCs w:val="1"/>
                <w:color w:val="auto"/>
              </w:rPr>
              <w:t>Balance at December 31, 2022</w:t>
            </w:r>
          </w:p>
        </w:tc>
        <w:tc>
          <w:tcPr>
            <w:tcW w:w="230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1,581</w:t>
            </w:r>
          </w:p>
        </w:tc>
        <w:tc>
          <w:tcPr>
            <w:tcW w:w="58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1,176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2,089</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8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October 1, 2023</w:t>
            </w:r>
          </w:p>
        </w:tc>
        <w:tc>
          <w:tcPr>
            <w:tcW w:w="1760" w:type="dxa"/>
            <w:vAlign w:val="bottom"/>
          </w:tcPr>
          <w:p>
            <w:pPr>
              <w:spacing w:after="0"/>
              <w:rPr>
                <w:sz w:val="17"/>
                <w:szCs w:val="17"/>
                <w:color w:val="auto"/>
              </w:rPr>
            </w:pPr>
          </w:p>
        </w:tc>
        <w:tc>
          <w:tcPr>
            <w:tcW w:w="540" w:type="dxa"/>
            <w:vAlign w:val="bottom"/>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3,409</w:t>
            </w:r>
          </w:p>
        </w:tc>
        <w:tc>
          <w:tcPr>
            <w:tcW w:w="580" w:type="dxa"/>
            <w:vAlign w:val="bottom"/>
            <w:gridSpan w:val="2"/>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3,265</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6,674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60" w:type="dxa"/>
            <w:vAlign w:val="bottom"/>
            <w:vMerge w:val="restart"/>
          </w:tcPr>
          <w:p>
            <w:pPr>
              <w:jc w:val="right"/>
              <w:ind w:right="170"/>
              <w:spacing w:after="0"/>
              <w:rPr>
                <w:sz w:val="20"/>
                <w:szCs w:val="20"/>
                <w:color w:val="auto"/>
              </w:rPr>
            </w:pPr>
            <w:r>
              <w:rPr>
                <w:rFonts w:ascii="Arial" w:cs="Arial" w:eastAsia="Arial" w:hAnsi="Arial"/>
                <w:sz w:val="18"/>
                <w:szCs w:val="18"/>
                <w:color w:val="auto"/>
              </w:rPr>
              <w:t>19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8"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7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84"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75"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revenue by product category.</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83"/>
        </w:trPr>
        <w:tc>
          <w:tcPr>
            <w:tcW w:w="5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1,</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r>
      <w:tr>
        <w:trPr>
          <w:trHeight w:val="215"/>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70,062</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62,174</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213,214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219,380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37,870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122,108</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127,365</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47,556</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52,552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21,788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75,635</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81,660</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45,484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53,293</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156,530</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154,775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503,997</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534,250</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20" w:type="dxa"/>
            <w:vAlign w:val="bottom"/>
            <w:gridSpan w:val="7"/>
          </w:tcPr>
          <w:p>
            <w:pPr>
              <w:ind w:left="14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8"/>
                <w:szCs w:val="18"/>
                <w:color w:val="auto"/>
              </w:rPr>
            </w:pPr>
          </w:p>
        </w:tc>
      </w:tr>
      <w:tr>
        <w:trPr>
          <w:trHeight w:val="183"/>
        </w:trPr>
        <w:tc>
          <w:tcPr>
            <w:tcW w:w="3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8"/>
                <w:szCs w:val="18"/>
                <w:color w:val="auto"/>
              </w:rPr>
              <w:t>October 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280" w:type="dxa"/>
            <w:vAlign w:val="bottom"/>
            <w:gridSpan w:val="2"/>
            <w:shd w:val="clear" w:color="auto" w:fill="CCEEFF"/>
          </w:tcPr>
          <w:p>
            <w:pPr>
              <w:jc w:val="center"/>
              <w:ind w:left="19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154,150</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150,155</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491,385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519,728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4,620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12,612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14,522</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156,530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154,775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503,997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534,250</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gridSpan w:val="2"/>
          </w:tcPr>
          <w:p>
            <w:pPr>
              <w:jc w:val="center"/>
              <w:ind w:left="1950"/>
              <w:spacing w:after="0"/>
              <w:rPr>
                <w:sz w:val="20"/>
                <w:szCs w:val="20"/>
                <w:color w:val="auto"/>
              </w:rPr>
            </w:pPr>
            <w:r>
              <w:rPr>
                <w:rFonts w:ascii="Arial" w:cs="Arial" w:eastAsia="Arial" w:hAnsi="Arial"/>
                <w:sz w:val="18"/>
                <w:szCs w:val="18"/>
                <w:color w:val="auto"/>
                <w:w w:val="99"/>
              </w:rPr>
              <w:t>20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jc w:val="right"/>
              <w:ind w:right="400"/>
              <w:spacing w:after="0"/>
              <w:rPr>
                <w:sz w:val="20"/>
                <w:szCs w:val="20"/>
                <w:color w:val="auto"/>
              </w:rPr>
            </w:pPr>
            <w:r>
              <w:rPr>
                <w:rFonts w:ascii="Arial" w:cs="Arial" w:eastAsia="Arial" w:hAnsi="Arial"/>
                <w:sz w:val="18"/>
                <w:szCs w:val="18"/>
                <w:color w:val="auto"/>
                <w:w w:val="99"/>
              </w:rPr>
              <w:t>For the thirteen weeks ended</w:t>
            </w:r>
          </w:p>
        </w:tc>
        <w:tc>
          <w:tcPr>
            <w:tcW w:w="60" w:type="dxa"/>
            <w:vAlign w:val="bottom"/>
          </w:tcPr>
          <w:p>
            <w:pPr>
              <w:spacing w:after="0"/>
              <w:rPr>
                <w:sz w:val="18"/>
                <w:szCs w:val="18"/>
                <w:color w:val="auto"/>
              </w:rPr>
            </w:pPr>
          </w:p>
        </w:tc>
        <w:tc>
          <w:tcPr>
            <w:tcW w:w="2740" w:type="dxa"/>
            <w:vAlign w:val="bottom"/>
            <w:gridSpan w:val="6"/>
          </w:tcPr>
          <w:p>
            <w:pPr>
              <w:jc w:val="right"/>
              <w:ind w:right="200"/>
              <w:spacing w:after="0"/>
              <w:rPr>
                <w:sz w:val="20"/>
                <w:szCs w:val="20"/>
                <w:color w:val="auto"/>
              </w:rPr>
            </w:pPr>
            <w:r>
              <w:rPr>
                <w:rFonts w:ascii="Arial" w:cs="Arial" w:eastAsia="Arial" w:hAnsi="Arial"/>
                <w:sz w:val="18"/>
                <w:szCs w:val="18"/>
                <w:color w:val="auto"/>
                <w:w w:val="99"/>
              </w:rPr>
              <w:t>For the thirty-nine weeks ended</w:t>
            </w:r>
          </w:p>
        </w:tc>
      </w:tr>
      <w:tr>
        <w:trPr>
          <w:trHeight w:val="183"/>
        </w:trPr>
        <w:tc>
          <w:tcPr>
            <w:tcW w:w="50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60"/>
              <w:spacing w:after="0" w:line="183" w:lineRule="exact"/>
              <w:rPr>
                <w:sz w:val="20"/>
                <w:szCs w:val="20"/>
                <w:color w:val="auto"/>
              </w:rPr>
            </w:pPr>
            <w:r>
              <w:rPr>
                <w:rFonts w:ascii="Arial" w:cs="Arial" w:eastAsia="Arial" w:hAnsi="Arial"/>
                <w:sz w:val="18"/>
                <w:szCs w:val="18"/>
                <w:color w:val="auto"/>
              </w:rPr>
              <w:t>October 1,</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rPr>
              <w:t>October 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420"/>
              <w:spacing w:after="0" w:line="183" w:lineRule="exact"/>
              <w:rPr>
                <w:sz w:val="20"/>
                <w:szCs w:val="20"/>
                <w:color w:val="auto"/>
              </w:rPr>
            </w:pPr>
            <w:r>
              <w:rPr>
                <w:rFonts w:ascii="Arial" w:cs="Arial" w:eastAsia="Arial" w:hAnsi="Arial"/>
                <w:sz w:val="18"/>
                <w:szCs w:val="18"/>
                <w:color w:val="auto"/>
              </w:rPr>
              <w:t>October 1,</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rPr>
              <w:t>October 2,</w:t>
            </w:r>
          </w:p>
        </w:tc>
        <w:tc>
          <w:tcPr>
            <w:tcW w:w="160" w:type="dxa"/>
            <w:vAlign w:val="bottom"/>
          </w:tcPr>
          <w:p>
            <w:pPr>
              <w:spacing w:after="0"/>
              <w:rPr>
                <w:sz w:val="15"/>
                <w:szCs w:val="15"/>
                <w:color w:val="auto"/>
              </w:rPr>
            </w:pPr>
          </w:p>
        </w:tc>
      </w:tr>
      <w:tr>
        <w:trPr>
          <w:trHeight w:val="215"/>
        </w:trPr>
        <w:tc>
          <w:tcPr>
            <w:tcW w:w="5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2,092</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(1,345)</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7,756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8,866</w:t>
            </w: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Effective tax rates</w:t>
            </w: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w:t>
            </w:r>
          </w:p>
        </w:tc>
      </w:tr>
    </w:tbl>
    <w:p>
      <w:pPr>
        <w:spacing w:after="0" w:line="163"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For the 13-week period ended October 1, 2023, the Company's effective tax rate of 73.6% differed from the 21% federal statutory rate primarily due to permanent differences related to changes in fair value of the warrant and earn-out liabilities recognized during the period and the impact of foreign taxes in higher tax rate jurisdictions. For the 13-week period ended October 2, 2022, the Company’s effective tax rate of -4.4% differed from the 21% federal statutory rate primarily due to permanent differences related to changes in the fair value of the warrant and earn-out liabilities recognized during the period.</w:t>
      </w:r>
    </w:p>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For the 39-week period ended October 1, 2023, the Company's effective tax rate of 30.1% differed from the 21% federal statutory rate primarily due to permanent differences related to changes in fair value of the warrant and earn-out liabilities recognized during the period. For the 39-week period ended October 2, 2022, the Company’s effective tax rate of 9.1% differed from the 21% federal statutory rate primarily due a permanent difference related to changes in the fair value of the warrant and earn-out liabilities recognized during the period.</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7"/>
          </w:tcPr>
          <w:p>
            <w:pPr>
              <w:ind w:left="14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8"/>
                <w:szCs w:val="18"/>
                <w:color w:val="auto"/>
              </w:rPr>
            </w:pPr>
          </w:p>
        </w:tc>
      </w:tr>
      <w:tr>
        <w:trPr>
          <w:trHeight w:val="183"/>
        </w:trPr>
        <w:tc>
          <w:tcPr>
            <w:tcW w:w="3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8"/>
                <w:szCs w:val="18"/>
                <w:color w:val="auto"/>
              </w:rPr>
              <w:t>October 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31,579</w:t>
            </w: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17,978</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89,000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fair value adjustment for Warrants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(51,112)</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Net income - diluted</w:t>
            </w:r>
          </w:p>
        </w:tc>
        <w:tc>
          <w:tcPr>
            <w:tcW w:w="380" w:type="dxa"/>
            <w:vAlign w:val="bottom"/>
          </w:tcPr>
          <w:p>
            <w:pPr>
              <w:spacing w:after="0"/>
              <w:rPr>
                <w:sz w:val="17"/>
                <w:szCs w:val="17"/>
                <w:color w:val="auto"/>
              </w:rPr>
            </w:pP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31,579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17,978</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37,888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117,397,069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117,119,609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117,256,959</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116,636,906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1,848,887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862,542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124,603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Warrants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512,104</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119,245,956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117,138,134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118,119,501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117,273,613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center"/>
              <w:ind w:left="2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0.76</w:t>
            </w:r>
          </w:p>
        </w:tc>
        <w:tc>
          <w:tcPr>
            <w:tcW w:w="240" w:type="dxa"/>
            <w:vAlign w:val="bottom"/>
          </w:tcPr>
          <w:p>
            <w:pPr>
              <w:spacing w:after="0"/>
              <w:rPr>
                <w:sz w:val="17"/>
                <w:szCs w:val="17"/>
                <w:color w:val="auto"/>
              </w:rPr>
            </w:pPr>
          </w:p>
        </w:tc>
      </w:tr>
      <w:tr>
        <w:trPr>
          <w:trHeight w:val="229"/>
        </w:trPr>
        <w:tc>
          <w:tcPr>
            <w:tcW w:w="3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9"/>
                <w:szCs w:val="19"/>
                <w:color w:val="auto"/>
              </w:rPr>
            </w:pPr>
          </w:p>
        </w:tc>
      </w:tr>
      <w:tr>
        <w:trPr>
          <w:trHeight w:val="392"/>
        </w:trPr>
        <w:tc>
          <w:tcPr>
            <w:tcW w:w="3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820" w:type="dxa"/>
            <w:vAlign w:val="bottom"/>
            <w:gridSpan w:val="4"/>
          </w:tcPr>
          <w:p>
            <w:pPr>
              <w:jc w:val="right"/>
              <w:ind w:right="340"/>
              <w:spacing w:after="0"/>
              <w:rPr>
                <w:sz w:val="20"/>
                <w:szCs w:val="20"/>
                <w:color w:val="auto"/>
              </w:rPr>
            </w:pPr>
            <w:r>
              <w:rPr>
                <w:rFonts w:ascii="Arial" w:cs="Arial" w:eastAsia="Arial" w:hAnsi="Arial"/>
                <w:sz w:val="18"/>
                <w:szCs w:val="18"/>
                <w:color w:val="auto"/>
              </w:rPr>
              <w:t>For the thirteen weeks ended</w:t>
            </w:r>
          </w:p>
        </w:tc>
        <w:tc>
          <w:tcPr>
            <w:tcW w:w="26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For the thirty-nine weeks ended</w:t>
            </w:r>
          </w:p>
        </w:tc>
      </w:tr>
      <w:tr>
        <w:trPr>
          <w:trHeight w:val="183"/>
        </w:trPr>
        <w:tc>
          <w:tcPr>
            <w:tcW w:w="5220" w:type="dxa"/>
            <w:vAlign w:val="bottom"/>
          </w:tcPr>
          <w:p>
            <w:pPr>
              <w:spacing w:after="0"/>
              <w:rPr>
                <w:sz w:val="15"/>
                <w:szCs w:val="15"/>
                <w:color w:val="auto"/>
              </w:rPr>
            </w:pPr>
          </w:p>
        </w:tc>
        <w:tc>
          <w:tcPr>
            <w:tcW w:w="1420" w:type="dxa"/>
            <w:vAlign w:val="bottom"/>
            <w:tcBorders>
              <w:top w:val="single" w:sz="8" w:color="auto"/>
            </w:tcBorders>
            <w:gridSpan w:val="2"/>
          </w:tcPr>
          <w:p>
            <w:pPr>
              <w:ind w:left="180"/>
              <w:spacing w:after="0" w:line="183" w:lineRule="exact"/>
              <w:rPr>
                <w:sz w:val="20"/>
                <w:szCs w:val="20"/>
                <w:color w:val="auto"/>
              </w:rPr>
            </w:pPr>
            <w:r>
              <w:rPr>
                <w:rFonts w:ascii="Arial" w:cs="Arial" w:eastAsia="Arial" w:hAnsi="Arial"/>
                <w:sz w:val="18"/>
                <w:szCs w:val="18"/>
                <w:color w:val="auto"/>
              </w:rPr>
              <w:t>October 1,</w:t>
            </w:r>
          </w:p>
        </w:tc>
        <w:tc>
          <w:tcPr>
            <w:tcW w:w="118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220" w:type="dxa"/>
            <w:vAlign w:val="bottom"/>
          </w:tcPr>
          <w:p>
            <w:pPr>
              <w:spacing w:after="0"/>
              <w:rPr>
                <w:sz w:val="15"/>
                <w:szCs w:val="15"/>
                <w:color w:val="auto"/>
              </w:rPr>
            </w:pPr>
          </w:p>
        </w:tc>
        <w:tc>
          <w:tcPr>
            <w:tcW w:w="1360" w:type="dxa"/>
            <w:vAlign w:val="bottom"/>
            <w:tcBorders>
              <w:top w:val="single" w:sz="8" w:color="auto"/>
            </w:tcBorders>
            <w:gridSpan w:val="2"/>
          </w:tcPr>
          <w:p>
            <w:pPr>
              <w:ind w:left="160"/>
              <w:spacing w:after="0" w:line="183" w:lineRule="exact"/>
              <w:rPr>
                <w:sz w:val="20"/>
                <w:szCs w:val="20"/>
                <w:color w:val="auto"/>
              </w:rPr>
            </w:pPr>
            <w:r>
              <w:rPr>
                <w:rFonts w:ascii="Arial" w:cs="Arial" w:eastAsia="Arial" w:hAnsi="Arial"/>
                <w:sz w:val="18"/>
                <w:szCs w:val="18"/>
                <w:color w:val="auto"/>
              </w:rPr>
              <w:t>October 1,</w:t>
            </w:r>
          </w:p>
        </w:tc>
        <w:tc>
          <w:tcPr>
            <w:tcW w:w="11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r>
      <w:tr>
        <w:trPr>
          <w:trHeight w:val="215"/>
        </w:trPr>
        <w:tc>
          <w:tcPr>
            <w:tcW w:w="5220" w:type="dxa"/>
            <w:vAlign w:val="bottom"/>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14,633,311</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922,228</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1,769,614</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922,228</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1,769,614</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 units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175,783</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220,051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175,783</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220,051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stock units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2,177,462</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2,177,462</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Unvested Earn-Out Shares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1,093,750</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1,093,750</w:t>
            </w:r>
          </w:p>
        </w:tc>
      </w:tr>
      <w:tr>
        <w:trPr>
          <w:trHeight w:val="20"/>
        </w:trPr>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19,002,534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17,716,726</w:t>
            </w:r>
          </w:p>
        </w:tc>
        <w:tc>
          <w:tcPr>
            <w:tcW w:w="13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19,002,534</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3,083,415</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8"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On January 28, 2022, the Company approved the termination of its defined benefit pension plan (the "Plan"), effective March 31, 2022. The final distribution of the Plan's assets pursuant to the termination was made in the fourth quarter of 2022 when the Plan termination satisfied all regulatory requirements. Plan participants received their accrued benefits from plan assets by electing either lump sum distributions or annuity contracts with a qualifying third-party annuity provider.</w:t>
      </w:r>
    </w:p>
    <w:p>
      <w:pPr>
        <w:spacing w:after="0" w:line="17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for the 13-week and 39-week periods ended October 2, 2022:</w:t>
      </w:r>
    </w:p>
    <w:tbl>
      <w:tblPr>
        <w:tblLayout w:type="fixed"/>
        <w:tblInd w:w="340" w:type="dxa"/>
        <w:tblCellMar>
          <w:top w:w="0" w:type="dxa"/>
          <w:left w:w="0" w:type="dxa"/>
          <w:bottom w:w="0" w:type="dxa"/>
          <w:right w:w="0" w:type="dxa"/>
        </w:tblCellMar>
      </w:tblPr>
      <w:tr>
        <w:trPr>
          <w:trHeight w:val="198"/>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40"/>
              <w:spacing w:after="0" w:line="198" w:lineRule="exact"/>
              <w:rPr>
                <w:sz w:val="20"/>
                <w:szCs w:val="20"/>
                <w:color w:val="auto"/>
              </w:rPr>
            </w:pPr>
            <w:r>
              <w:rPr>
                <w:rFonts w:ascii="Arial" w:cs="Arial" w:eastAsia="Arial" w:hAnsi="Arial"/>
                <w:sz w:val="18"/>
                <w:szCs w:val="18"/>
                <w:color w:val="auto"/>
                <w:w w:val="99"/>
              </w:rPr>
              <w:t>For the thirteen</w:t>
            </w:r>
          </w:p>
        </w:tc>
        <w:tc>
          <w:tcPr>
            <w:tcW w:w="80" w:type="dxa"/>
            <w:vAlign w:val="bottom"/>
          </w:tcPr>
          <w:p>
            <w:pPr>
              <w:spacing w:after="0"/>
              <w:rPr>
                <w:sz w:val="17"/>
                <w:szCs w:val="17"/>
                <w:color w:val="auto"/>
              </w:rPr>
            </w:pPr>
          </w:p>
        </w:tc>
        <w:tc>
          <w:tcPr>
            <w:tcW w:w="1580" w:type="dxa"/>
            <w:vAlign w:val="bottom"/>
            <w:gridSpan w:val="3"/>
          </w:tcPr>
          <w:p>
            <w:pPr>
              <w:jc w:val="center"/>
              <w:ind w:right="100"/>
              <w:spacing w:after="0" w:line="198" w:lineRule="exact"/>
              <w:rPr>
                <w:sz w:val="20"/>
                <w:szCs w:val="20"/>
                <w:color w:val="auto"/>
              </w:rPr>
            </w:pPr>
            <w:r>
              <w:rPr>
                <w:rFonts w:ascii="Arial" w:cs="Arial" w:eastAsia="Arial" w:hAnsi="Arial"/>
                <w:sz w:val="18"/>
                <w:szCs w:val="18"/>
                <w:color w:val="auto"/>
                <w:w w:val="99"/>
              </w:rPr>
              <w:t>For the thirty-nine</w:t>
            </w:r>
          </w:p>
        </w:tc>
      </w:tr>
      <w:tr>
        <w:trPr>
          <w:trHeight w:val="202"/>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weeks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weeks ended</w:t>
            </w:r>
          </w:p>
        </w:tc>
      </w:tr>
      <w:tr>
        <w:trPr>
          <w:trHeight w:val="215"/>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October 2, 2022</w:t>
            </w:r>
          </w:p>
        </w:tc>
        <w:tc>
          <w:tcPr>
            <w:tcW w:w="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October 2, 2022</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expense:</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(156)</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21</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contributions to the Plan were $150 for the 39-week period ended October 2, 2022.</w:t>
      </w:r>
    </w:p>
    <w:p>
      <w:pPr>
        <w:spacing w:after="0" w:line="198"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made matching contributions totaling $562 and $587 to its 401(k) plan during the 13-week periods ended October 1, 2023 and October 2, 2022, respectively. The Company made matching contributions totaling $1,702 and $2,431 to its 401(k) plan during the 39-week periods ended October 1, 2023 and October 2, 2022, respectively.</w:t>
      </w:r>
    </w:p>
    <w:p>
      <w:pPr>
        <w:spacing w:after="0" w:line="3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208"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October 1, 2023, 4,423,103 shares of Common Stock remained available for future issuance under the 2021 Plan. On June 6, 2023, the Company granted 1,000,000 RSUs and 1,520,000 PSUs to its new President and Chief Executive Officer. These awards were granted outside of the 2021 Plan as employment inducement awards and did not require shareholder approval under the rules of the NYSE or otherwise.</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83"/>
        </w:trPr>
        <w:tc>
          <w:tcPr>
            <w:tcW w:w="5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line="183" w:lineRule="exact"/>
              <w:rPr>
                <w:sz w:val="20"/>
                <w:szCs w:val="20"/>
                <w:color w:val="auto"/>
              </w:rPr>
            </w:pPr>
            <w:r>
              <w:rPr>
                <w:rFonts w:ascii="Arial" w:cs="Arial" w:eastAsia="Arial" w:hAnsi="Arial"/>
                <w:sz w:val="18"/>
                <w:szCs w:val="18"/>
                <w:color w:val="auto"/>
              </w:rPr>
              <w:t>October 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r>
      <w:tr>
        <w:trPr>
          <w:trHeight w:val="215"/>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1,331</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876</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3,146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3,409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1,696</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1,764</w:t>
            </w: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Profit interest units</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4,345</w:t>
            </w:r>
          </w:p>
        </w:tc>
      </w:tr>
    </w:tbl>
    <w:p>
      <w:pPr>
        <w:spacing w:after="0" w:line="163"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Compensation Committee has awarded RSUs to select employees and non-employee directors. The RSUs vest ratably over one to four years of continued employment. The fair value of a RSU at the grant date is equal to the market price of Common Stock on the grant date. Compensation expense for RSUs is recorded based on amortization of the grant date fair market value over the period the restrictions lapse. As of October 1, 2023, there was $7,608 of unrecognized compensation cost related to unvested RSUs that is expected to be recognized over a remaining weighted average period of 2.4 years. The weighted average grant date fair value for RSUs was $2.76 and $11.46 for the 39-week periods ended October 1, 2023 and October 2, 2022, respectively. The fair value of RSUs vested and converted to shares of Common Stock was $685 for the 39-week period ended October 1, 2023.</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RSU activity for the 39-week period ended October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-122555</wp:posOffset>
            </wp:positionV>
            <wp:extent cx="67722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Granted</w:t>
      </w:r>
    </w:p>
    <w:p>
      <w:pPr>
        <w:ind w:left="5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7722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1, 2023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Unvested Restricted Stock Units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10"/>
              <w:spacing w:after="0" w:line="183" w:lineRule="exact"/>
              <w:rPr>
                <w:sz w:val="20"/>
                <w:szCs w:val="20"/>
                <w:color w:val="auto"/>
              </w:rPr>
            </w:pPr>
            <w:r>
              <w:rPr>
                <w:rFonts w:ascii="Arial" w:cs="Arial" w:eastAsia="Arial" w:hAnsi="Arial"/>
                <w:sz w:val="18"/>
                <w:szCs w:val="18"/>
                <w:color w:val="auto"/>
                <w:w w:val="99"/>
              </w:rPr>
              <w:t>Weighted</w:t>
            </w:r>
          </w:p>
        </w:tc>
        <w:tc>
          <w:tcPr>
            <w:tcW w:w="20" w:type="dxa"/>
            <w:vAlign w:val="bottom"/>
          </w:tcPr>
          <w:p>
            <w:pPr>
              <w:spacing w:after="0"/>
              <w:rPr>
                <w:sz w:val="15"/>
                <w:szCs w:val="15"/>
                <w:color w:val="auto"/>
              </w:rPr>
            </w:pPr>
          </w:p>
        </w:tc>
      </w:tr>
      <w:tr>
        <w:trPr>
          <w:trHeight w:val="203"/>
        </w:trPr>
        <w:tc>
          <w:tcPr>
            <w:tcW w:w="164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Average Grant</w:t>
            </w:r>
          </w:p>
        </w:tc>
      </w:tr>
      <w:tr>
        <w:trPr>
          <w:trHeight w:val="215"/>
        </w:trPr>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RSUs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Date Fair Value</w:t>
            </w:r>
          </w:p>
        </w:tc>
      </w:tr>
      <w:tr>
        <w:trPr>
          <w:trHeight w:val="183"/>
        </w:trPr>
        <w:tc>
          <w:tcPr>
            <w:tcW w:w="1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1,108,330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9.43</w:t>
            </w:r>
          </w:p>
        </w:tc>
        <w:tc>
          <w:tcPr>
            <w:tcW w:w="20" w:type="dxa"/>
            <w:vAlign w:val="bottom"/>
          </w:tcPr>
          <w:p>
            <w:pPr>
              <w:spacing w:after="0"/>
              <w:rPr>
                <w:sz w:val="15"/>
                <w:szCs w:val="15"/>
                <w:color w:val="auto"/>
              </w:rPr>
            </w:pPr>
          </w:p>
        </w:tc>
      </w:tr>
      <w:tr>
        <w:trPr>
          <w:trHeight w:val="203"/>
        </w:trPr>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2,459,140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2.76</w:t>
            </w:r>
          </w:p>
        </w:tc>
      </w:tr>
      <w:tr>
        <w:trPr>
          <w:trHeight w:val="203"/>
        </w:trPr>
        <w:tc>
          <w:tcPr>
            <w:tcW w:w="16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(196,318)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11.07</w:t>
            </w:r>
          </w:p>
        </w:tc>
      </w:tr>
      <w:tr>
        <w:trPr>
          <w:trHeight w:val="215"/>
        </w:trPr>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(189,640)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12.13</w:t>
            </w:r>
          </w:p>
        </w:tc>
      </w:tr>
      <w:tr>
        <w:trPr>
          <w:trHeight w:val="196"/>
        </w:trPr>
        <w:tc>
          <w:tcPr>
            <w:tcW w:w="1520" w:type="dxa"/>
            <w:vAlign w:val="bottom"/>
            <w:tcBorders>
              <w:top w:val="single" w:sz="8" w:color="auto"/>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3,181,512</w:t>
            </w:r>
          </w:p>
        </w:tc>
        <w:tc>
          <w:tcPr>
            <w:tcW w:w="12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3.24</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6" w:lineRule="exact"/>
        <w:rPr>
          <w:sz w:val="20"/>
          <w:szCs w:val="20"/>
          <w:color w:val="auto"/>
        </w:rPr>
      </w:pPr>
    </w:p>
    <w:p>
      <w:pPr>
        <w:sectPr>
          <w:pgSz w:w="11900" w:h="16838" w:orient="portrait"/>
          <w:cols w:equalWidth="0" w:num="2">
            <w:col w:w="7660" w:space="40"/>
            <w:col w:w="3540"/>
          </w:cols>
          <w:pgMar w:left="320" w:top="125" w:right="339" w:bottom="1440" w:gutter="0" w:footer="0" w:header="0"/>
          <w:type w:val="continuous"/>
        </w:sectPr>
      </w:pPr>
    </w:p>
    <w:p>
      <w:pPr>
        <w:spacing w:after="0" w:line="8"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Compensation Committee has awarded PSUs to select employees. The PSUs represent shares of Common Stock that are potentially issuable in the future based on a combination of performance and service requirements. On March 8, 2023, the Company granted 949,412 PSUs under the 2021 Plan to key employees with a grant date fair value of $1.98 and on May 8, 2023, the Company granted an additional 8,050 PSUs with a grant data fair value of $2.43.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82"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On June 6, 2023, the Company granted 1,520,000 PSUs to its new President and Chief Executive Officer as an employment inducement award, which are potentially issuable in the future based on a combination of achievement of certain stock price metrics and service requirements through the expiration date of December 31, 2030. The fair value of this award is determined using a Monte Carlo simulation as of the date of the grant and share-based compensation expense will not be adjusted should the target awards vary from actual awards. The Company's estimates of fair value may be impacted by certain variables including, but not limited to, stock price volatility, the risk-free interest rate, expected dividend yields, and the Company's performance.</w:t>
      </w:r>
    </w:p>
    <w:p>
      <w:pPr>
        <w:spacing w:after="0" w:line="181"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As of October 1, 2023, there was $3,081 of unrecognized compensation cost related to unvested PSUs that is expected to be recognized over a remaining weighted average period of 2.5 years. The fair value of PSUs vested and converted to shares of Common Stock was $2,199 for the 39-week period ended October 1, 2023.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08"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October 1, 2023, there was $1,295 of unrecognized compensation cost related to unvested stock options that is expected to be recognized over a remaining weighted-average period of 1.1 years.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39-week period ended October 1, 2023:</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Weighted</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w:t>
            </w:r>
          </w:p>
        </w:tc>
      </w:tr>
      <w:tr>
        <w:trPr>
          <w:trHeight w:val="203"/>
        </w:trPr>
        <w:tc>
          <w:tcPr>
            <w:tcW w:w="5640" w:type="dxa"/>
            <w:vAlign w:val="bottom"/>
          </w:tcPr>
          <w:p>
            <w:pPr>
              <w:spacing w:after="0"/>
              <w:rPr>
                <w:sz w:val="17"/>
                <w:szCs w:val="17"/>
                <w:color w:val="auto"/>
              </w:rPr>
            </w:pP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rPr>
              <w:t>Average</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Contractual</w:t>
            </w:r>
          </w:p>
        </w:tc>
      </w:tr>
      <w:tr>
        <w:trPr>
          <w:trHeight w:val="215"/>
        </w:trPr>
        <w:tc>
          <w:tcPr>
            <w:tcW w:w="564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Stock Options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 (years)</w:t>
            </w:r>
          </w:p>
        </w:tc>
        <w:tc>
          <w:tcPr>
            <w:tcW w:w="100" w:type="dxa"/>
            <w:vAlign w:val="bottom"/>
          </w:tcPr>
          <w:p>
            <w:pPr>
              <w:spacing w:after="0"/>
              <w:rPr>
                <w:sz w:val="18"/>
                <w:szCs w:val="18"/>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2022</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1,709,690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10.97</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(592,588)</w:t>
            </w:r>
          </w:p>
        </w:tc>
        <w:tc>
          <w:tcPr>
            <w:tcW w:w="14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11.11</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(194,874)</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10.50</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Options outstanding on October 1, 2023</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922,228</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10.98</w:t>
            </w: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8.05</w:t>
            </w:r>
          </w:p>
        </w:tc>
      </w:tr>
      <w:tr>
        <w:trPr>
          <w:trHeight w:val="20"/>
        </w:trPr>
        <w:tc>
          <w:tcPr>
            <w:tcW w:w="5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on, October 1, 2023</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Profit Interest Units</w:t>
      </w:r>
    </w:p>
    <w:p>
      <w:pPr>
        <w:spacing w:after="0" w:line="208"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The Holley Stockholder authorized an incentive pool of 41,400,000 units of Holley Stockholder that its management had the right to grant to certain employees of the Company. The units, which are designated as Profit Interest Units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w:t>
      </w:r>
    </w:p>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 xml:space="preserve">In the fourth quarter of 2022, the Holley Stockholder amended the vesting criteria to allow for immediate vesting of all outstanding and unvested PIUs. The changes to these awards were deemed to be modification events under ASC Subtopic 718-10,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Accordingly, during the fourth quarter of 2022, the Company recognized catch-up equity-based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incremental fair value resulting from the modification, as applicable to each award grant. At that time all PIUs were fully vested with no remaining unrecognized compensation cost, and there are no remaining PIUs authorized for issuance.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02" w:lineRule="exact"/>
        <w:rPr>
          <w:rFonts w:ascii="Arial" w:cs="Arial" w:eastAsia="Arial" w:hAnsi="Arial"/>
          <w:sz w:val="18"/>
          <w:szCs w:val="18"/>
          <w:b w:val="1"/>
          <w:bCs w:val="1"/>
          <w:color w:val="auto"/>
        </w:rPr>
      </w:pPr>
    </w:p>
    <w:p>
      <w:pPr>
        <w:jc w:val="both"/>
        <w:ind w:left="34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2022,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optional transition method provided by 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 The effect of applying this guidance resulted in an increase in noncurrent assets for right-of-use assets of $33,887 and an increase in liabilities for associated lease obligations of $34,579, most of which were classified as noncurrent. The adoption of the standard did not result in a cumulative-effect adjustment to the opening balance of retained earnings.</w:t>
      </w:r>
    </w:p>
    <w:p>
      <w:pPr>
        <w:spacing w:after="0" w:line="173"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Under the transition option elected by the Company, ASC Topic 842 is applied only to the most current period and reporting for comparative periods presented in the financial statements continues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disclosures. Upon adoption, the Company elected the following practical expedients related to ASC Topic 842:</w:t>
      </w:r>
    </w:p>
    <w:p>
      <w:pPr>
        <w:spacing w:after="0" w:line="170" w:lineRule="exact"/>
        <w:rPr>
          <w:rFonts w:ascii="Arial" w:cs="Arial" w:eastAsia="Arial" w:hAnsi="Arial"/>
          <w:sz w:val="18"/>
          <w:szCs w:val="18"/>
          <w:b w:val="1"/>
          <w:bCs w:val="1"/>
          <w:color w:val="auto"/>
        </w:rPr>
      </w:pPr>
    </w:p>
    <w:p>
      <w:pPr>
        <w:ind w:left="660" w:hanging="328"/>
        <w:spacing w:after="0" w:line="241"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account for the lease and non-lease components as a single lease component for all of the Company's leases; and</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apply accounting similar to ASC Topic 840 to leases that meet the definition of short-term leases.</w:t>
      </w:r>
    </w:p>
    <w:p>
      <w:pPr>
        <w:spacing w:after="0" w:line="23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11 years, inclusive of renewal options that the Company is reasonably certain to exercise.</w:t>
      </w:r>
    </w:p>
    <w:p>
      <w:pPr>
        <w:spacing w:after="0" w:line="171"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3"/>
        </w:trPr>
        <w:tc>
          <w:tcPr>
            <w:tcW w:w="5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90"/>
              <w:spacing w:after="0" w:line="183"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5"/>
                <w:szCs w:val="15"/>
                <w:color w:val="auto"/>
              </w:rPr>
            </w:pPr>
          </w:p>
        </w:tc>
      </w:tr>
      <w:tr>
        <w:trPr>
          <w:trHeight w:val="215"/>
        </w:trPr>
        <w:tc>
          <w:tcPr>
            <w:tcW w:w="5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October 1, 2023</w:t>
            </w: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98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30,415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29,522</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98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5,231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5,112</w:t>
            </w:r>
          </w:p>
        </w:tc>
      </w:tr>
      <w:tr>
        <w:trPr>
          <w:trHeight w:val="203"/>
        </w:trPr>
        <w:tc>
          <w:tcPr>
            <w:tcW w:w="5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w:t>
            </w:r>
          </w:p>
        </w:tc>
        <w:tc>
          <w:tcPr>
            <w:tcW w:w="1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26,006</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24,992</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580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980" w:type="dxa"/>
            <w:vAlign w:val="bottom"/>
            <w:gridSpan w:val="2"/>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31,237</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30,104</w:t>
            </w:r>
          </w:p>
        </w:tc>
      </w:tr>
      <w:tr>
        <w:trPr>
          <w:trHeight w:val="20"/>
        </w:trPr>
        <w:tc>
          <w:tcPr>
            <w:tcW w:w="5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Lease term and discount rate</w:t>
            </w:r>
          </w:p>
        </w:tc>
        <w:tc>
          <w:tcPr>
            <w:tcW w:w="1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w:t>
            </w:r>
          </w:p>
        </w:tc>
      </w:tr>
      <w:tr>
        <w:trPr>
          <w:trHeight w:val="203"/>
        </w:trPr>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discount rate</w:t>
            </w: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r>
    </w:tbl>
    <w:p>
      <w:pPr>
        <w:spacing w:after="0" w:line="190" w:lineRule="exact"/>
        <w:rPr>
          <w:sz w:val="20"/>
          <w:szCs w:val="20"/>
          <w:color w:val="auto"/>
        </w:rPr>
      </w:pPr>
    </w:p>
    <w:p>
      <w:pPr>
        <w:ind w:left="340"/>
        <w:spacing w:after="0" w:line="260"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7"/>
          </w:tcPr>
          <w:p>
            <w:pPr>
              <w:ind w:left="14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8"/>
                <w:szCs w:val="18"/>
                <w:color w:val="auto"/>
              </w:rPr>
            </w:pPr>
          </w:p>
        </w:tc>
      </w:tr>
      <w:tr>
        <w:trPr>
          <w:trHeight w:val="183"/>
        </w:trPr>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8"/>
                <w:szCs w:val="18"/>
                <w:color w:val="auto"/>
              </w:rPr>
              <w:t>October 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1,753</w:t>
            </w: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4,923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6,679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8,112</w:t>
            </w:r>
          </w:p>
        </w:tc>
        <w:tc>
          <w:tcPr>
            <w:tcW w:w="240" w:type="dxa"/>
            <w:vAlign w:val="bottom"/>
          </w:tcPr>
          <w:p>
            <w:pPr>
              <w:spacing w:after="0"/>
              <w:rPr>
                <w:sz w:val="20"/>
                <w:szCs w:val="20"/>
                <w:color w:val="auto"/>
              </w:rPr>
            </w:pPr>
          </w:p>
        </w:tc>
      </w:tr>
      <w:tr>
        <w:trPr>
          <w:trHeight w:val="183"/>
        </w:trPr>
        <w:tc>
          <w:tcPr>
            <w:tcW w:w="340" w:type="dxa"/>
            <w:vAlign w:val="bottom"/>
          </w:tcPr>
          <w:p>
            <w:pPr>
              <w:spacing w:after="0"/>
              <w:rPr>
                <w:sz w:val="15"/>
                <w:szCs w:val="15"/>
                <w:color w:val="auto"/>
              </w:rPr>
            </w:pPr>
          </w:p>
        </w:tc>
        <w:tc>
          <w:tcPr>
            <w:tcW w:w="512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Pr>
          <w:p>
            <w:pPr>
              <w:spacing w:after="0"/>
              <w:rPr>
                <w:sz w:val="15"/>
                <w:szCs w:val="15"/>
                <w:color w:val="auto"/>
              </w:rPr>
            </w:pPr>
          </w:p>
        </w:tc>
      </w:tr>
      <w:tr>
        <w:trPr>
          <w:trHeight w:val="190"/>
        </w:trPr>
        <w:tc>
          <w:tcPr>
            <w:tcW w:w="340" w:type="dxa"/>
            <w:vAlign w:val="bottom"/>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paid for amounts included in measurement of operating</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w:t>
            </w:r>
          </w:p>
        </w:tc>
        <w:tc>
          <w:tcPr>
            <w:tcW w:w="24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8"/>
                <w:szCs w:val="18"/>
                <w:color w:val="auto"/>
              </w:rPr>
              <w:t>Right-of-use assets obtained in exchange for new operating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4,724</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13,769</w:t>
            </w:r>
          </w:p>
        </w:tc>
        <w:tc>
          <w:tcPr>
            <w:tcW w:w="24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Decapitalization of right-of-use assets upon lease termination or</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modification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w:t>
            </w:r>
          </w:p>
        </w:tc>
        <w:tc>
          <w:tcPr>
            <w:tcW w:w="24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25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October 1, 2023:</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2023 (excluding the thirty-nine weeks ended October 1, 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6,570</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5,122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4,632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4,629</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16,338</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39,093</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(7,856)</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31,237</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AND RESTRUCTURING COSTS</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total acquisition and restructuring costs: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83"/>
        </w:trPr>
        <w:tc>
          <w:tcPr>
            <w:tcW w:w="5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line="183" w:lineRule="exact"/>
              <w:rPr>
                <w:sz w:val="20"/>
                <w:szCs w:val="20"/>
                <w:color w:val="auto"/>
              </w:rPr>
            </w:pPr>
            <w:r>
              <w:rPr>
                <w:rFonts w:ascii="Arial" w:cs="Arial" w:eastAsia="Arial" w:hAnsi="Arial"/>
                <w:sz w:val="18"/>
                <w:szCs w:val="18"/>
                <w:color w:val="auto"/>
              </w:rPr>
              <w:t>October 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r>
      <w:tr>
        <w:trPr>
          <w:trHeight w:val="215"/>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1,625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1,622</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acquisition and restructuring costs</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3,247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 w:lineRule="exact"/>
        <w:rPr>
          <w:sz w:val="20"/>
          <w:szCs w:val="20"/>
          <w:color w:val="auto"/>
        </w:rPr>
      </w:pPr>
    </w:p>
    <w:p>
      <w:pPr>
        <w:ind w:left="580" w:hanging="24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Includes professional fees for legal, accounting, consulting, administrative, and other professional services directly attributable to acquisitions.</w:t>
      </w:r>
    </w:p>
    <w:p>
      <w:pPr>
        <w:spacing w:after="0" w:line="22" w:lineRule="exact"/>
        <w:rPr>
          <w:rFonts w:ascii="Arial" w:cs="Arial" w:eastAsia="Arial" w:hAnsi="Arial"/>
          <w:sz w:val="16"/>
          <w:szCs w:val="16"/>
          <w:color w:val="auto"/>
        </w:rPr>
      </w:pPr>
    </w:p>
    <w:p>
      <w:pPr>
        <w:ind w:left="580" w:hanging="248"/>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Includes costs incurred as part of the restructuring of operations including professional and consulting services and executive severance.</w:t>
      </w: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340" w:right="7560" w:hanging="332"/>
        <w:spacing w:after="0" w:line="475"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w:t>
      </w:r>
    </w:p>
    <w:p>
      <w:pPr>
        <w:spacing w:after="0" w:line="180"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The complaint, which is captioned City of Fort Lauderdale General Employees’ Retirement System v. Holley, Inc., f/k/a Empower LTD., Tom Tomlinson, and Dominic Bardos, Civil Action No. 1:23-cv-148-GNS, alleges that the Company violated various securities laws and seeks class certification, damages, interest, attorneys’ fees, and other relief. Due to the early stage of this proceeding, we cannot reasonably estimate the potential range of loss, if any. The Company disputes the allegations and intends to vigorously defend against them.</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Product Warranties</w:t>
      </w:r>
    </w:p>
    <w:p>
      <w:pPr>
        <w:spacing w:after="0" w:line="20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70"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-3910965</wp:posOffset>
            </wp:positionV>
            <wp:extent cx="677227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28270"/>
                    </a:xfrm>
                    <a:prstGeom prst="rect">
                      <a:avLst/>
                    </a:prstGeom>
                    <a:noFill/>
                  </pic:spPr>
                </pic:pic>
              </a:graphicData>
            </a:graphic>
          </wp:anchor>
        </w:drawing>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83"/>
        </w:trPr>
        <w:tc>
          <w:tcPr>
            <w:tcW w:w="5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300"/>
              <w:spacing w:after="0" w:line="183" w:lineRule="exact"/>
              <w:rPr>
                <w:sz w:val="20"/>
                <w:szCs w:val="20"/>
                <w:color w:val="auto"/>
              </w:rPr>
            </w:pPr>
            <w:r>
              <w:rPr>
                <w:rFonts w:ascii="Arial" w:cs="Arial" w:eastAsia="Arial" w:hAnsi="Arial"/>
                <w:sz w:val="18"/>
                <w:szCs w:val="18"/>
                <w:color w:val="auto"/>
              </w:rPr>
              <w:t>October 1,</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October 2,</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340"/>
              <w:spacing w:after="0" w:line="183" w:lineRule="exact"/>
              <w:rPr>
                <w:sz w:val="20"/>
                <w:szCs w:val="20"/>
                <w:color w:val="auto"/>
              </w:rPr>
            </w:pPr>
            <w:r>
              <w:rPr>
                <w:rFonts w:ascii="Arial" w:cs="Arial" w:eastAsia="Arial" w:hAnsi="Arial"/>
                <w:sz w:val="18"/>
                <w:szCs w:val="18"/>
                <w:color w:val="auto"/>
              </w:rPr>
              <w:t>October 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83" w:lineRule="exact"/>
              <w:rPr>
                <w:sz w:val="20"/>
                <w:szCs w:val="20"/>
                <w:color w:val="auto"/>
              </w:rPr>
            </w:pPr>
            <w:r>
              <w:rPr>
                <w:rFonts w:ascii="Arial" w:cs="Arial" w:eastAsia="Arial" w:hAnsi="Arial"/>
                <w:sz w:val="18"/>
                <w:szCs w:val="18"/>
                <w:color w:val="auto"/>
                <w:w w:val="99"/>
              </w:rPr>
              <w:t>October 2,</w:t>
            </w:r>
          </w:p>
        </w:tc>
        <w:tc>
          <w:tcPr>
            <w:tcW w:w="100" w:type="dxa"/>
            <w:vAlign w:val="bottom"/>
          </w:tcPr>
          <w:p>
            <w:pPr>
              <w:spacing w:after="0"/>
              <w:rPr>
                <w:sz w:val="15"/>
                <w:szCs w:val="15"/>
                <w:color w:val="auto"/>
              </w:rPr>
            </w:pPr>
          </w:p>
        </w:tc>
      </w:tr>
      <w:tr>
        <w:trPr>
          <w:trHeight w:val="215"/>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3,584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3,994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6,535</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9,472</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9,569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(5,216)</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(9,032)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(9,919)</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3,644</w:t>
            </w:r>
          </w:p>
        </w:tc>
        <w:tc>
          <w:tcPr>
            <w:tcW w:w="180" w:type="dxa"/>
            <w:vAlign w:val="bottom"/>
          </w:tcPr>
          <w:p>
            <w:pPr>
              <w:spacing w:after="0"/>
              <w:rPr>
                <w:sz w:val="17"/>
                <w:szCs w:val="17"/>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4,024</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3,644</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and its subsidiaries unless the context otherwise indicates.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2022, as filed with the SEC on March 15, 2023, and in our subsequent filings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including inflation, labor shortages, and disruption of the supply chain, as well as by geopolitical events, including the conflict in Ukraine and the conflict in Israel and surrounding areas. Our operations have been adversely impacted, and may continue to be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mix to lower-margin products, and demands on our performance that increased our costs. Should the ongoing macroeconomic conditions not improve, or worsen, or if our attempts to mitigate the impact on our supply chain, operations and costs is not successful, our business, results of operations and financial condition may be adversely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and executive severance are included within this classification.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October 1, 2023, $619.2 million was outstanding under our Credit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October 1, 2023 Compared With 13-Week Period Ended October 2, 2022</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table below presents Holley’s results of operations for the 13-week periods ended October 1, 2023 and October 2, 2022 (dollars in thousands):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thirteen weeks ended</w:t>
            </w: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83"/>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w w:val="97"/>
              </w:rPr>
              <w:t>October 1,</w:t>
            </w:r>
          </w:p>
        </w:tc>
        <w:tc>
          <w:tcPr>
            <w:tcW w:w="120" w:type="dxa"/>
            <w:vAlign w:val="bottom"/>
          </w:tcPr>
          <w:p>
            <w:pPr>
              <w:spacing w:after="0"/>
              <w:rPr>
                <w:sz w:val="15"/>
                <w:szCs w:val="15"/>
                <w:color w:val="auto"/>
              </w:rPr>
            </w:pPr>
          </w:p>
        </w:tc>
        <w:tc>
          <w:tcPr>
            <w:tcW w:w="1140" w:type="dxa"/>
            <w:vAlign w:val="bottom"/>
            <w:gridSpan w:val="2"/>
          </w:tcPr>
          <w:p>
            <w:pPr>
              <w:jc w:val="center"/>
              <w:ind w:right="300"/>
              <w:spacing w:after="0" w:line="183" w:lineRule="exact"/>
              <w:rPr>
                <w:sz w:val="20"/>
                <w:szCs w:val="20"/>
                <w:color w:val="auto"/>
              </w:rPr>
            </w:pPr>
            <w:r>
              <w:rPr>
                <w:rFonts w:ascii="Arial" w:cs="Arial" w:eastAsia="Arial" w:hAnsi="Arial"/>
                <w:sz w:val="18"/>
                <w:szCs w:val="18"/>
                <w:color w:val="auto"/>
                <w:w w:val="99"/>
              </w:rPr>
              <w:t>October 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8"/>
                <w:szCs w:val="18"/>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8"/>
                <w:szCs w:val="18"/>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156,530</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154,775</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1,755</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w:t>
            </w:r>
          </w:p>
        </w:tc>
      </w:tr>
      <w:tr>
        <w:trPr>
          <w:trHeight w:val="202"/>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98,156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106,383</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(8,227)</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w:t>
            </w: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58,374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48,392</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9,982</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20.6%</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28,880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31,921</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(3,041)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6,100</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6,039</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3,662</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2,395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(2,395)</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1,266</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(159.6)%</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19,320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3,062</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16,258</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531.0%</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(30,171)</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32,235</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(106.8)%</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(7,429)</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8,129</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(109.4)%</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10,428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3,284</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31.5%</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30,234</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(27,390)</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(90.6)%</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(1,345)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3,437</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(255.5)%</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31,579</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(30,827)</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(97.6)%</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516</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(692)</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(134.1)%</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576</w:t>
            </w:r>
          </w:p>
        </w:tc>
        <w:tc>
          <w:tcPr>
            <w:tcW w:w="180" w:type="dxa"/>
            <w:vAlign w:val="bottom"/>
          </w:tcPr>
          <w:p>
            <w:pPr>
              <w:spacing w:after="0"/>
              <w:rPr>
                <w:sz w:val="17"/>
                <w:szCs w:val="17"/>
                <w:color w:val="auto"/>
              </w:rPr>
            </w:pP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32,095</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(31,519)</w:t>
            </w:r>
          </w:p>
        </w:tc>
        <w:tc>
          <w:tcPr>
            <w:tcW w:w="12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(98.2)%</w:t>
            </w: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13-week period ended October 1, 2023 increased $1.8 million, or 1.1%, to $ 156.5 million, as compared to $154.8 million for the 13-week period ended October 2, 2022. Improved price realization of approximately $2.4 million led the increase, offset partially by lower unit volume which resulted in a decrease of approximately $0.6 million compared to the prior year period. Major categories driving the comparable year-over-year results include an increase in electronic systems sales of $7.9 million (12.7% category growth), a decrease in safety products sales of $3.1 million (19.8% category decline), and a decrease in accessories sales of $2.8 million (11.3% category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 of goods sold for the 13-week period ended October 1, 2023 decreased $8.2 million, or 7.7%, to $98.2 million, as compared to $106.4 million for the 13-week period ended October 2, 2022. The decrease in cost of goods sold during the 13-week period ended October 1, 2023 in which product sales increased 1.1% reflects a higher gross profit margin due to decreased freight costs, lower warranty costs and product mix.</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Gross profit for the 13-week period ended October 1, 2023 increased $10.0 million, or 20.6%, to $58.4 million, as compared to $48.4 million for the 13-week period ended October 2, 2022. Gross margin for the 13-week period ended October 1, 2023 of 37.3% increased as compared to a gross margin of 31.3% for the 13-week period ended October 2, 2022. The increase in gross profit and gross profit margin was driven primarily by higher sales volume and meaningful improvements in freight, lower warranty costs, and product mix.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Selling, general and administrative costs for the 13-week period ended October 1, 2023 decreased $3.0 million, or 9.5%, to $28.9 million, as compared to $31.9 million for the 13-week period ended October 2, 2022. When expressed as a percentage of sales, selling, general and administrative costs decreased to 18.5% of sales for the 13-week period ended October 1, 2023 compared to 20.6% of sales for the 13-week period ended October 2, 2022. The decrease in selling, general and administrative costs was driven by lower outbound shipping and handling costs, reflecting the implementation of cost-saving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Research and development costs for the 13-week period ended October 1, 2023 were stable at $6.1 million as compared to $6.0 million for the 13-week period ended October 2,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stable at $3.7 million for both the 13-week periods ended October 1, 2023 and October 2,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Acquisition and restructuring costs for the 13-week period ended October 1, 2023 decreased $0.9 million to $0.4 million, as compared to $1.3 million for the 13-week period ended October 2, 2022, reflecting a reduction in restructuring activities associated with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operating income for the 13-week period ended October 1, 2023 increased $16.3 million, or 531.0%, to $19.3 million, as compared to $3.1 million for the 13-week period ended October 2,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13-week period ended October 1, 2023, we recognized a loss of $2.1 million from the change in fair value of the warrant liability. For the 13-week period ended October 2, 2022, we recognized a gain of $30.2 million from the change in fair value of the warrant liability. The warrant liability reflects the fair value of the Warrants issued in connection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13-week period ended October 1, 2023, we recognized a loss of $0.7 million from the change in fair value of the earn-out liability. For the 13-week period ended October 2, 2022, we recognized a gain of $7.4 million, from the change in fair value of the earn-out liability. The earn-out liability reflects the fair value of the unvested Earn-Out Shares resulting from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13-week period ended October 1, 2023 increased $3.3 million, or 31.5%, to $13.7 million, as compared to $10.4 million for the 13-week period ended October 2, 2022, reflecting a higher effective interest rate on outstanding debt, net of a $1.1 million fair value adjustment on the interest rate collar.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we recognized $2.8 million of income before income taxes for the 13-week period ended October 1, 2023, as compared to income before income taxes of $30.2 million for the 13-week period ended October 2,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Income tax expense for the 13-week period ended October 1, 2023 was $2.1 million, as compared to an income tax benefit of $1.3 million for the 13-week period ended October 2, 2022. Our effective tax rate for the 13-week period ended October 1, 2023 was 73.6%. The difference between the effective tax rate for the 13-week period ended October 1, 2023 and the federal statutory rate in 2023 was due to permanent differences resulting from the change in fair value of the warrant and earn-out liabilities and foreign taxes in higher tax rate jurisdictions. The effective tax rate for the 13-week period ended October 2, 2022 was -4.4%. The difference between the effective tax rate and the federal statutory rate in 2022 was primarily due to permanent differences resulting from the change in fair value of the warrant and earn-out liabilities.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factors described above, we recognized net income of $0.8 million for the 13 -week period ended October 1, 2023, as compared to net income of $31.6 million for the 13-week period ended October 2, 2022. Additionally, we recognized total comprehensive income of $0.6 million for the 13-week period ended October 1, 2023, as compared to total comprehensive income of $32.1 million for the 13-week period ended October 2, 2022. Comprehensive income includes the effect of foreign currency translation adjustments.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October 1, 2023 Compared With 39-Week Period Ended October 2, 2022</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table below presents Holley’s results of operations for the 39-week periods ended October 1, 2023 and October 2, 2022 (dollars in thousands):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color w:val="auto"/>
              </w:rPr>
              <w:t>For the thirty-nine weeks ended</w:t>
            </w: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83"/>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7"/>
              </w:rPr>
              <w:t>October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00"/>
              <w:spacing w:after="0" w:line="183" w:lineRule="exact"/>
              <w:rPr>
                <w:sz w:val="20"/>
                <w:szCs w:val="20"/>
                <w:color w:val="auto"/>
              </w:rPr>
            </w:pPr>
            <w:r>
              <w:rPr>
                <w:rFonts w:ascii="Arial" w:cs="Arial" w:eastAsia="Arial" w:hAnsi="Arial"/>
                <w:sz w:val="18"/>
                <w:szCs w:val="18"/>
                <w:color w:val="auto"/>
                <w:w w:val="99"/>
              </w:rPr>
              <w:t>October 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8"/>
                <w:szCs w:val="18"/>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8"/>
                <w:szCs w:val="18"/>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503,997</w:t>
            </w:r>
          </w:p>
        </w:tc>
        <w:tc>
          <w:tcPr>
            <w:tcW w:w="300" w:type="dxa"/>
            <w:vAlign w:val="bottom"/>
            <w:tcBorders>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534,250</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(30,253)</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(5.7)%</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308,162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327,849</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(19,687)</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195,835</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206,401</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(10,566)</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(5.1)%</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87,998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102,532</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(14,534)</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18,935</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22,396</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(3,461)</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(15.5)%</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10,985</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0.5%</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2,395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(2,395)</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3,247</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(35.1)%</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(14.5)%</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75,248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64,252</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10,996</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17.1%</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5,516</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(51,112)</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56,628</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(110.8)%</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(9,282)</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11,371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(122.5)%</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41,909</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26,780</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15,129</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56.5%</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25,734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97,866</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(72,132)</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(73.7)%</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7,756</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8,866</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(1,110)</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(12.5)%</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17,978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89,000</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(71,022)</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(79.8)%</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1,258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(1,361)</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(108.2)%</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17,875</w:t>
            </w:r>
          </w:p>
        </w:tc>
        <w:tc>
          <w:tcPr>
            <w:tcW w:w="1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90,258</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(72,383)</w:t>
            </w:r>
          </w:p>
        </w:tc>
        <w:tc>
          <w:tcPr>
            <w:tcW w:w="12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(80.2)%</w:t>
            </w: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sales for the 39-week period ended October 1, 2023 decreased $30.3 million, or 5.7%, to $504.0 million, as compared to $534.3 million for the 39-week period ended October 2, 2022. The decline in sales was driven by supply chain constraints in electronic components and a return to the sales trends experienced prior to the increased demand experienced during the COVID-19 pandemic. As a result, lower unit volume drove a decrease of approximately $43.2 million that was partially offset by improved price realization of approximately $12.9 million compared to the prior year period. Comparable year-over-year results by category include a decrease in safety products sales of $7.8 million (14.7% category decline), a decrease in electronic systems sales of $6.2 million (2.8% category decline), a decrease in accessories sales of $6.0 million (7.4% category decline), a decrease in mechanical systems sales of $5.3 million (4.1% category decline), and a decrease in exhaust system sales of $5.0 million (9.5% category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for the 39-week period ended October 1, 2023 decreased $19.7 million, or 6.0%, to $308.2 million, as compared to $327.8 million for the 39-week period ended October 2, 2022. The decrease in cost of goods sold during the 39-week period ended October 1, 2023 reflects the decrease in product sales during such periodcombined with lower freight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Gross profit for the 39-week period ended October 1, 2023 decreased $10.6 million, or 5.1%, to $195.8 million, as compared to $206.4 million for the 39-week period ended October 2, 2022. Gross margin for the 39-week period ended October 1, 2023 was 38.9% as compared to a gross margin of 38.6% for the 39-week period ended October 2, 2022. The decrease in gross profit was driven primarily by lower sales.In general, gross margin and margins on individual products remain under pressure due to various factors, including potential increases in manufacturing costs and shifts in sales mix towards products with lower gross margins.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Selling, general and administrative costs for the 39-week period ended October 1, 2023 decreased $ 14.5 million, or 14.2%, to $88.0 million, as compared to $102.5 million for the 39-week period ended October 2, 2022. When expressed as a percentage of sales, selling, general and administrative costs decreased to 17.5% of sales for the 39-week period ended October 1, 2023 compared to 19.2% of sales in 2022. The decrease in selling, general and administrative costs was driven by lower equity compensation costs and the implementation of cost-saving initiatives, which resulted in decreases in personnel, outbound shipping and handling, and marketing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costs for the 39-week period ended October 1, 2023 decreased $3.5 million, or 15.5%, to $18.9 million, as compared to $22.4 million for the 39-week period ended October 2, 2022. The decrease in research and development costs was primarily due to headcount reductions, reflecting the implementation of cost-saving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stable at $11.0 million for both the 39-week periods ended October 1, 2023 and October 2,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Acquisition and restructuring costs for the 39-week period ended October 1, 2023 decreased $1.1 million to $2.1 million, as compared to $3.3 million for the 39-week period ended October 2, 2022, reflecting a reduction in restructuring activities associated with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operating income for the 39-week period ended October 1, 2023 increased $11.0 million, or 17.1%, to $75.3 million, as compared to $64.3 million for the 39-week period ended October 2,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39-week period ended October 1, 2023 we recognized a loss of $5.5 million from the change in fair value of the warrant liability. For the 39-week period ended October 2, 2022 we recognized a gain of $51.1 million from the change in fair value of the warrant liability. The warrant liability reflects the fair value of the Warrants issued in connection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39-week period ended October 1, 2023 we recognized a loss of $ 2.1 million from the change in fair value of the earn-out liability. For the 39-week period ended October 2, 2022 we recognized a gain of $9.3 million from the change in fair value of earn-out liability. The earn-out liability reflects the fair value of the unvested Earn-Out Shares resulting from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39-week period ended October 1, 2023 increased $15.1 million, or 56.5%, to $41.9 million, as compared to $26.8 million for the 39-week period ended October 2, 2022, reflecting a higher effective interest rate on outstanding debt, net of a $3.2 million fair value adjustment on the interest rate collar.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As a result of factors described above, we recognized $25.7 million of income before income taxes for the 39-week period ended October 1, 2023, as compared to income before income taxes of $97.9 million for the 39-week period ended October 2,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for the 39-week period ended October 1, 2023 was $7.8 million, as compared to income tax expense of $8.9 million for the 39-week period ended October 2, 2022. The effective tax rate for the 39-week period ended October 1, 2023 was 30.1%. The difference between the effective tax rate for the 39-week period ended October 1, 2023 and the federal statutory rate in 2023 was primarily due to permanent differences resulting from the change in fair value of the warrant and earn-out liabilities. Our effective tax rate for the 39-week period ended October 2, 2022 was 9.1%. The difference between the effective tax rate and the federal statutory rate in 2022 was primarily due to permanent differences resulting from the change in fair value of the warrant and earn-out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factors described above, we recognized net income of $18.0 million for the 39-week period ended October 1, 2023, as compared to net income of $89.0 million for the 39-week period ended October 2, 2022. Additionally, we recognized total comprehensive income of $17.9 million for the 39-week period ended October 1, 2023, as compared to total comprehensive income of $90.3 million for the 39-week period ended October 2, 2022. Comprehensive income includes the effect of foreign currency translation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EBITDA and Adjusted EBITDA as supplemental measures of our operating performance and believe that such non-GAAP financial measures provide useful information to investors, because they exclude the impact of certain items that we do not consider indicative of our ongoing operating performance and we believe are useful in comparing the Company’s results of operations between periods. We believe that the presentation of EBITDA and Adjusted EBITDA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acquisition and restructuring costs, which includes transaction fees and expenses, termination related benefits, facilities relocation, and executive transition costs; changes in the fair value of the warrant liability; changes in the fair value of the earn-out liability; equity-based compensation expense; impairment of intangible assets; non-cash charges due to our previously disclosed product rationalization initiative aimed at eliminating unprofitable or slow-moving stock keeping units, for which a partial reversal of the initial reserve was recognized during the 39-week period ended October 1, 2023; notable items that we do not believe are reflective of operating performance, which for the 39-week period ended October 1, 2023, includes certain costs incurred for advisory services related to identifying performance initiatives, and for the 39-week period ended October 2, 2022, includes a non-cash adjustment related to the adoption of ASC Topic 842, “Leases,” and legal fees and costs related to a settlement; and other expenses or gains, which includes gains or losses from disposal of fixed assets, franchise taxes, and gains or losses from foreign currency transactions.</w:t>
      </w: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EBITDA and Adjusted EBITDA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13-week and 39-week periods ended October 1, 2023 and October 2, 2022 (dollars in thousands):</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8"/>
                <w:szCs w:val="18"/>
                <w:color w:val="auto"/>
              </w:rPr>
              <w:t>For the thirty-nine weeks</w:t>
            </w:r>
          </w:p>
        </w:tc>
      </w:tr>
      <w:tr>
        <w:trPr>
          <w:trHeight w:val="215"/>
        </w:trPr>
        <w:tc>
          <w:tcPr>
            <w:tcW w:w="564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color w:val="auto"/>
              </w:rPr>
              <w:t>For the thirteen weeks ended</w:t>
            </w:r>
          </w:p>
        </w:tc>
        <w:tc>
          <w:tcPr>
            <w:tcW w:w="100" w:type="dxa"/>
            <w:vAlign w:val="bottom"/>
          </w:tcPr>
          <w:p>
            <w:pPr>
              <w:spacing w:after="0"/>
              <w:rPr>
                <w:sz w:val="18"/>
                <w:szCs w:val="18"/>
                <w:color w:val="auto"/>
              </w:rPr>
            </w:pPr>
          </w:p>
        </w:tc>
        <w:tc>
          <w:tcPr>
            <w:tcW w:w="2320" w:type="dxa"/>
            <w:vAlign w:val="bottom"/>
            <w:gridSpan w:val="5"/>
          </w:tcPr>
          <w:p>
            <w:pPr>
              <w:jc w:val="right"/>
              <w:ind w:right="1000"/>
              <w:spacing w:after="0"/>
              <w:rPr>
                <w:sz w:val="20"/>
                <w:szCs w:val="20"/>
                <w:color w:val="auto"/>
              </w:rPr>
            </w:pPr>
            <w:r>
              <w:rPr>
                <w:rFonts w:ascii="Arial" w:cs="Arial" w:eastAsia="Arial" w:hAnsi="Arial"/>
                <w:sz w:val="18"/>
                <w:szCs w:val="18"/>
                <w:color w:val="auto"/>
              </w:rPr>
              <w:t>ended</w:t>
            </w:r>
          </w:p>
        </w:tc>
      </w:tr>
      <w:tr>
        <w:trPr>
          <w:trHeight w:val="183"/>
        </w:trPr>
        <w:tc>
          <w:tcPr>
            <w:tcW w:w="56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340"/>
              <w:spacing w:after="0" w:line="183" w:lineRule="exact"/>
              <w:rPr>
                <w:sz w:val="20"/>
                <w:szCs w:val="20"/>
                <w:color w:val="auto"/>
              </w:rPr>
            </w:pPr>
            <w:r>
              <w:rPr>
                <w:rFonts w:ascii="Arial" w:cs="Arial" w:eastAsia="Arial" w:hAnsi="Arial"/>
                <w:sz w:val="18"/>
                <w:szCs w:val="18"/>
                <w:color w:val="auto"/>
                <w:w w:val="99"/>
              </w:rPr>
              <w:t>October 1,</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97"/>
              </w:rPr>
              <w:t>October 2,</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80"/>
              <w:spacing w:after="0" w:line="183" w:lineRule="exact"/>
              <w:rPr>
                <w:sz w:val="20"/>
                <w:szCs w:val="20"/>
                <w:color w:val="auto"/>
              </w:rPr>
            </w:pPr>
            <w:r>
              <w:rPr>
                <w:rFonts w:ascii="Arial" w:cs="Arial" w:eastAsia="Arial" w:hAnsi="Arial"/>
                <w:sz w:val="18"/>
                <w:szCs w:val="18"/>
                <w:color w:val="auto"/>
                <w:w w:val="99"/>
              </w:rPr>
              <w:t>October 1,</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w w:val="97"/>
              </w:rPr>
              <w:t>October 2,</w:t>
            </w:r>
          </w:p>
        </w:tc>
        <w:tc>
          <w:tcPr>
            <w:tcW w:w="100" w:type="dxa"/>
            <w:vAlign w:val="bottom"/>
          </w:tcPr>
          <w:p>
            <w:pPr>
              <w:spacing w:after="0"/>
              <w:rPr>
                <w:sz w:val="15"/>
                <w:szCs w:val="15"/>
                <w:color w:val="auto"/>
              </w:rPr>
            </w:pPr>
          </w:p>
        </w:tc>
      </w:tr>
      <w:tr>
        <w:trPr>
          <w:trHeight w:val="215"/>
        </w:trPr>
        <w:tc>
          <w:tcPr>
            <w:tcW w:w="5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31,579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17,978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89,000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7,738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3,662</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11,040</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10,985</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10,428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41,909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26,780</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(1,345)</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7,756</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8,866</w:t>
            </w:r>
          </w:p>
        </w:tc>
      </w:tr>
      <w:tr>
        <w:trPr>
          <w:trHeight w:val="20"/>
        </w:trPr>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47,161</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86,421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143,131</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1,266</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2,106</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3,247</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2,064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(30,171)</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5,516</w:t>
            </w: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(51,112)</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(7,429)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(9,282)</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Equity-based compensation expense</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2,873</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5,170</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9,518</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Product rationalization</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Notable items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564</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1,097</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expense (gain)</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594</w:t>
            </w:r>
          </w:p>
        </w:tc>
      </w:tr>
      <w:tr>
        <w:trPr>
          <w:trHeight w:val="20"/>
        </w:trPr>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29,705</w:t>
            </w:r>
          </w:p>
        </w:tc>
        <w:tc>
          <w:tcPr>
            <w:tcW w:w="22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16,355</w:t>
            </w:r>
          </w:p>
        </w:tc>
        <w:tc>
          <w:tcPr>
            <w:tcW w:w="1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101,574</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99,588</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October 1, 2023, the Company had cash of $36.8 million and availability of $123.3 million under its revolving credit facility. The Company has a senior secured revolving credit facility with $125 million in borrowing capacity. As of October 1, 2023, the Company had $ 1.7 million in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increases the consolidated net leverage ratio financial covenant level applicable under the Credit Agreement as of the fiscal quarter ending April 2, 2023 through the fiscal quarter ending March 31, 2024, to initially 7.25:1.00, and provides for modified step-down levels for such covenant thereafter.</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$1.9 million, including short term leases, due during the remainder of fiscal year 2023. See Note 16,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$6 million to $8 million in fiscal year 2023.</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in this Quarterly Report on Form 10-Q for further detail of our credit facility and the timing of principal maturities. As of October 1, 2023, based on the then current weighted average interest rate of 9.4%, expected interest payments associated with outstanding debt totaled approximately $14.6 million for the remainder of fiscal year 2023.</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October 1, 2023 Compared With 39-week period ended October 2, 2022</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right"/>
              <w:ind w:right="440"/>
              <w:spacing w:after="0"/>
              <w:rPr>
                <w:sz w:val="20"/>
                <w:szCs w:val="20"/>
                <w:color w:val="auto"/>
              </w:rPr>
            </w:pPr>
            <w:r>
              <w:rPr>
                <w:rFonts w:ascii="Arial" w:cs="Arial" w:eastAsia="Arial" w:hAnsi="Arial"/>
                <w:sz w:val="18"/>
                <w:szCs w:val="18"/>
                <w:color w:val="auto"/>
              </w:rPr>
              <w:t>For the thirty-nine weeks ended</w:t>
            </w:r>
          </w:p>
        </w:tc>
      </w:tr>
      <w:tr>
        <w:trPr>
          <w:trHeight w:val="196"/>
        </w:trPr>
        <w:tc>
          <w:tcPr>
            <w:tcW w:w="7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October 1, 2023</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October 2, 2022</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56,863</w:t>
            </w:r>
          </w:p>
        </w:tc>
        <w:tc>
          <w:tcPr>
            <w:tcW w:w="560" w:type="dxa"/>
            <w:vAlign w:val="bottom"/>
            <w:gridSpan w:val="2"/>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12,164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Cash flows used in investing activities</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(25,349)</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used in financing activities</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(42,998)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(5,457)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Effect of foreign currency rate fluctuations on cash</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(1,077)</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10,683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(19,719)</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39-week period ended October 1, 2023 was $56.9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of $ 12.2 million for the 39-week period ended October 2, 2022. Net income decreased $71.0 million to $18.0 million for the 39-week period ended October 1, 2023 from $89.0 million for the 39-week period ended October 2, 2022, largely due to a $68.0 million year-over-year impact of non-cash valuation adjustments for warrants and earn out liabilities. Significant changes in the year-over-year change in working capital activity included positive fluctuations from inventories of $67.4 million and accounts receivable of $7.5 million. Partially offsetting these increases were negative fluctuations in accrued interest of $7.1 million and accrued liabilities of $4.5 million. The change in inventory reflects the impact of inventory management initiatives and fluctuations in sales while changes in accounts receivable and accrued liabilities are impacted by the timing of payments.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39-week period ended October 1, 2023 was $3.1 million which primarily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Cash used in investing activities for the 39-week period ended October 2, 2022 was $25.4 million which included $11.7 million due to capital expenditures and $14.1 million due to acquisitions.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39-week period ended October 1, 2023 was $43.0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$40.4 million in principal payments on long-term debt. The principal payments of long-term debt during the 39-week period ended October 1, 2023 includes the Company’s pay down of an aggregate of $24.8 million in principal on its outstanding first lien term loan by repurchasing $13.8 million at a discount to par and making a voluntary prepayment of $11.0 million during the 13-week period ended October 1, 2023. Cash used in financing activities for the 39-week period ended October 2, 2022 was $5.5 million primarily due to $31.8 million in principal payments on long-term debt, which was partially offset by $27.0 million in borrowings under the delayed draw term loan to finance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2022, as filed with the SEC on March 15, 2023.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Quarterly Report on Form 10-Q.</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October 1, 2023, a total of $619.2 million of term loan and revolver borrowings were subject to variable interest rates, with a weighted average borrowing rate of 9.4%. A hypothetical 100 basis point increase in interest rates would result in an approximately $1.2 million increase in annual interest expense, while a hypothetical 100 basis point decrease in interest rates would result in an approximately $2.9 million decrease to Holley’s annual interest expense.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 majority of the Company’s cash and cash equivalents consisted of cash balances in non-interest bearing checking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October 1, 2023,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October 1,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See Litigation in Note 18 “Commitments and Contingencies” to the Condensed Consolidated Financial Statements, which is incorporated by reference in this Item 1. Legal Proceedings.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2022, as filed with the SEC on March 15, 2023.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have been no material changes in the Company's risk factors from those disclosed in Part I, Item 1A of the Company's Annual Report on Form 10-K for the year ended December 31, 2022, as filed with the SEC on March 15, 2023, except for the addition of the following risk factor:</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Recent events affecting the financial services industry could have an adverse impact on the Company's business operations, financial condition, and results of operations.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closures of certain regional banks have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working capital needs, and create additional market and economic uncertainty.</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Although we do not have any funds in any of the banks that have been placed into receivership to date, we cannot guarantee that the banks or other financial institutions that hold our funds will not experience similar issues. These events have resulted in market disruption and volatility and could lead to greater instability in the credit and financial markets and a deterioration in confidence in economic conditions. Our operations may be adversely affected by any such economic downturn, liquidity shortages, volatile business environments, or unpredictable market conditions. These events could also make any necessary debt or equity financing more difficult and/or costly.</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future effect of these events on the financial services industry and broader economy are unknown and difficult to predict but could include failures of other financial institutions to which we or our customers, vendors, or other counterparties face direct or more significant exposure. Any such developments could adversely impact our results of operation and financial position. There may be other risks we have not yet identified. We are working to identify any potential impact of these events on our business in order to minimize any disruptions to our operations. However, we cannot guarantee we will be able to avoid any negative consequences relating to these recent developments or any future related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fiscal quarter ended October 1, 2023, no director or Section 16 officer adopted or terminated any Rule 10b5-1 trading arrangements or non-Rule 10b5-1 trading arrangements (in each case, as defined in Item 408(a) of Regulation S-K).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4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4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740" w:type="dxa"/>
            <w:vAlign w:val="bottom"/>
            <w:gridSpan w:val="6"/>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4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rPr>
            </w:pPr>
            <w:hyperlink r:id="rId43">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Empower Merger Sub II LLC and Holley Intermediate Holdings, Inc. (incorporated by reference to Exhibit 2.1 to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6"/>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Company’s Current Report on Form 8-K, filed with the SEC on March 12, 2021).</w:t>
              </w:r>
            </w:hyperlink>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Certificate of Incorporation of the Company, dated July 16, 2021 (incorporated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6"/>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Company’s Current Report on Form 8-K, filed with the SEC on July 21, 2021).</w:t>
              </w:r>
            </w:hyperlink>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By-Laws of the Company, dated August 8, 2023 (incorporated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6"/>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Company’s Current Report on Form 8-K, filed with the SEC on August 9, 2023).</w:t>
              </w:r>
            </w:hyperlink>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6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Certification of Chief Executive Officer pursuant to Rules 13a-14(a) and 15d-14(a) of the Exchange Act</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2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16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0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470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00" w:type="dxa"/>
            <w:vAlign w:val="bottom"/>
            <w:gridSpan w:val="3"/>
            <w:vMerge w:val="continue"/>
          </w:tcPr>
          <w:p>
            <w:pPr>
              <w:spacing w:after="0"/>
              <w:rPr>
                <w:sz w:val="17"/>
                <w:szCs w:val="17"/>
                <w:color w:val="auto"/>
              </w:rPr>
            </w:pPr>
          </w:p>
        </w:tc>
        <w:tc>
          <w:tcPr>
            <w:tcW w:w="9740" w:type="dxa"/>
            <w:vAlign w:val="bottom"/>
            <w:gridSpan w:val="6"/>
          </w:tcPr>
          <w:p>
            <w:pPr>
              <w:spacing w:after="0" w:line="197"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974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974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974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974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4"/>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92"/>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38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Jesse Weaver</w:t>
      </w:r>
    </w:p>
    <w:p>
      <w:pPr>
        <w:ind w:left="6760"/>
        <w:spacing w:after="0"/>
        <w:rPr>
          <w:sz w:val="20"/>
          <w:szCs w:val="20"/>
          <w:color w:val="auto"/>
        </w:rPr>
      </w:pPr>
      <w:r>
        <w:rPr>
          <w:rFonts w:ascii="Arial" w:cs="Arial" w:eastAsia="Arial" w:hAnsi="Arial"/>
          <w:sz w:val="18"/>
          <w:szCs w:val="18"/>
          <w:color w:val="auto"/>
        </w:rPr>
        <w:t>Chief Financial Officer (Duly Authorized Officer)</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8, 2023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6"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Stevenson,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November 8, 2023</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November 8, 2023</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October 1, 2023,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October 1, 2023, as filed with the Securities and Exchange Commission (the "Report"), I, Jesse Weaver,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3"/>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lvl w:ilvl="1">
      <w:lvlJc w:val="left"/>
      <w:lvlText w:val="•"/>
      <w:numFmt w:val="bullet"/>
      <w:start w:val="1"/>
    </w:lvl>
  </w:abstractNum>
  <w:abstractNum w:abstractNumId="19">
    <w:nsid w:val="189A769B"/>
    <w:multiLevelType w:val="hybridMultilevel"/>
    <w:lvl w:ilvl="0">
      <w:lvlJc w:val="left"/>
      <w:lvlText w:val="%1."/>
      <w:numFmt w:val="decimal"/>
      <w:start w:val="17"/>
    </w:lvl>
  </w:abstractNum>
  <w:abstractNum w:abstractNumId="20">
    <w:nsid w:val="54E49EB4"/>
    <w:multiLevelType w:val="hybridMultilevel"/>
    <w:lvl w:ilvl="0">
      <w:lvlJc w:val="left"/>
      <w:lvlText w:val="%1"/>
      <w:numFmt w:val="decimal"/>
      <w:start w:val="1"/>
    </w:lvl>
    <w:lvl w:ilvl="1">
      <w:lvlJc w:val="left"/>
      <w:lvlText w:val="(%2)"/>
      <w:numFmt w:val="decimal"/>
      <w:start w:val="1"/>
    </w:lvl>
  </w:abstractNum>
  <w:abstractNum w:abstractNumId="21">
    <w:nsid w:val="71F32454"/>
    <w:multiLevelType w:val="hybridMultilevel"/>
    <w:lvl w:ilvl="0">
      <w:lvlJc w:val="left"/>
      <w:lvlText w:val="%1."/>
      <w:numFmt w:val="decimal"/>
      <w:start w:val="18"/>
    </w:lvl>
    <w:lvl w:ilvl="1">
      <w:lvlJc w:val="left"/>
      <w:lvlText w:val="%2"/>
      <w:numFmt w:val="decimal"/>
      <w:start w:val="1"/>
    </w:lvl>
  </w:abstractNum>
  <w:abstractNum w:abstractNumId="22">
    <w:nsid w:val="2CA88611"/>
    <w:multiLevelType w:val="hybridMultilevel"/>
    <w:lvl w:ilvl="0">
      <w:lvlJc w:val="left"/>
      <w:lvlText w:val="%1"/>
      <w:numFmt w:val="decimal"/>
      <w:start w:val="104"/>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3" Type="http://schemas.openxmlformats.org/officeDocument/2006/relationships/hyperlink" Target="http://www.sec.gov/Archives/edgar/data/1822928/000121390021015000/ea137482ex2_1empower.htm" TargetMode="External"/><Relationship Id="rId44" Type="http://schemas.openxmlformats.org/officeDocument/2006/relationships/hyperlink" Target="http://www.sec.gov/Archives/edgar/data/1822928/000119312521220722/d185405dex31.htm" TargetMode="External"/><Relationship Id="rId45" Type="http://schemas.openxmlformats.org/officeDocument/2006/relationships/hyperlink" Target="http://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2023-11-08T06:50:25Z</dcterms:created>
  <dcterms:modified xsi:type="dcterms:W3CDTF">2023-11-08T06:50:25Z</dcterms:modified>
</cp:coreProperties>
</file>