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jc w:val="center"/>
        <w:spacing w:after="0" w:line="238" w:lineRule="auto"/>
        <w:rPr>
          <w:sz w:val="20"/>
          <w:szCs w:val="20"/>
          <w:color w:val="auto"/>
        </w:rPr>
      </w:pPr>
      <w:r>
        <w:rPr>
          <w:rFonts w:ascii="Arial" w:cs="Arial" w:eastAsia="Arial" w:hAnsi="Arial"/>
          <w:sz w:val="22"/>
          <w:szCs w:val="22"/>
          <w:b w:val="1"/>
          <w:bCs w:val="1"/>
          <w:color w:val="auto"/>
        </w:rPr>
        <w:t>UNITED STATES</w:t>
      </w:r>
    </w:p>
    <w:p>
      <w:pPr>
        <w:jc w:val="center"/>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7" w:lineRule="exact"/>
        <w:rPr>
          <w:sz w:val="24"/>
          <w:szCs w:val="24"/>
          <w:color w:val="auto"/>
        </w:rPr>
      </w:pPr>
    </w:p>
    <w:p>
      <w:pPr>
        <w:ind w:left="3900" w:right="2360" w:hanging="3892"/>
        <w:spacing w:after="0" w:line="561" w:lineRule="auto"/>
        <w:tabs>
          <w:tab w:leader="none" w:pos="57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2024</w:t>
      </w:r>
    </w:p>
    <w:p>
      <w:pPr>
        <w:spacing w:after="0" w:line="274" w:lineRule="exact"/>
        <w:rPr>
          <w:sz w:val="24"/>
          <w:szCs w:val="24"/>
          <w:color w:val="auto"/>
        </w:rPr>
      </w:pPr>
    </w:p>
    <w:p>
      <w:pPr>
        <w:ind w:left="3480" w:right="2360" w:hanging="3472"/>
        <w:spacing w:after="0" w:line="510" w:lineRule="auto"/>
        <w:tabs>
          <w:tab w:leader="none" w:pos="56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__________to__________</w:t>
      </w:r>
    </w:p>
    <w:p>
      <w:pPr>
        <w:spacing w:after="0" w:line="1" w:lineRule="exact"/>
        <w:rPr>
          <w:rFonts w:ascii="MS PGothic" w:cs="MS PGothic" w:eastAsia="MS PGothic" w:hAnsi="MS PGothic"/>
          <w:sz w:val="16"/>
          <w:szCs w:val="16"/>
          <w:color w:val="auto"/>
        </w:rPr>
      </w:pPr>
    </w:p>
    <w:p>
      <w:pPr>
        <w:ind w:left="42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001-39599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192"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35" w:lineRule="exact"/>
        <w:rPr>
          <w:sz w:val="24"/>
          <w:szCs w:val="24"/>
          <w:color w:val="auto"/>
        </w:rPr>
      </w:pPr>
    </w:p>
    <w:p>
      <w:pPr>
        <w:sectPr>
          <w:pgSz w:w="11900" w:h="16838" w:orient="portrait"/>
          <w:cols w:equalWidth="0" w:num="2">
            <w:col w:w="7280" w:space="720"/>
            <w:col w:w="3240"/>
          </w:cols>
          <w:pgMar w:left="320" w:top="472" w:right="339" w:bottom="1440" w:gutter="0" w:footer="0" w:header="0"/>
          <w:type w:val="continuous"/>
        </w:sectPr>
      </w:pPr>
    </w:p>
    <w:p>
      <w:pPr>
        <w:ind w:left="104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9" w:lineRule="exact"/>
        <w:rPr>
          <w:sz w:val="24"/>
          <w:szCs w:val="24"/>
          <w:color w:val="auto"/>
        </w:rPr>
      </w:pPr>
    </w:p>
    <w:p>
      <w:pPr>
        <w:sectPr>
          <w:pgSz w:w="11900" w:h="16838" w:orient="portrait"/>
          <w:cols w:equalWidth="0" w:num="2">
            <w:col w:w="6680" w:space="720"/>
            <w:col w:w="3840"/>
          </w:cols>
          <w:pgMar w:left="320" w:top="472"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1801 Russellville Road, Bowling Green, KY 42101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w:t>
      </w:r>
      <w:r>
        <w:rPr>
          <w:rFonts w:ascii="Arial" w:cs="Arial" w:eastAsia="Arial" w:hAnsi="Arial"/>
          <w:sz w:val="13"/>
          <w:szCs w:val="13"/>
          <w:color w:val="auto"/>
        </w:rPr>
        <w:t>’</w:t>
      </w:r>
      <w:r>
        <w:rPr>
          <w:rFonts w:ascii="Arial" w:cs="Arial" w:eastAsia="Arial" w:hAnsi="Arial"/>
          <w:sz w:val="13"/>
          <w:szCs w:val="13"/>
          <w:b w:val="1"/>
          <w:bCs w:val="1"/>
          <w:color w:val="auto"/>
        </w:rPr>
        <w:t>s telephone number, including area code)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68"/>
        </w:trPr>
        <w:tc>
          <w:tcPr>
            <w:tcW w:w="3720" w:type="dxa"/>
            <w:vAlign w:val="bottom"/>
          </w:tcPr>
          <w:p>
            <w:pPr>
              <w:jc w:val="center"/>
              <w:spacing w:after="0" w:line="168" w:lineRule="exact"/>
              <w:rPr>
                <w:sz w:val="20"/>
                <w:szCs w:val="20"/>
                <w:color w:val="auto"/>
              </w:rPr>
            </w:pPr>
            <w:r>
              <w:rPr>
                <w:rFonts w:ascii="Arial" w:cs="Arial" w:eastAsia="Arial" w:hAnsi="Arial"/>
                <w:sz w:val="16"/>
                <w:szCs w:val="16"/>
                <w:color w:val="auto"/>
              </w:rPr>
              <w:t>Common Stock, par value $0.0001</w:t>
            </w:r>
          </w:p>
        </w:tc>
        <w:tc>
          <w:tcPr>
            <w:tcW w:w="120" w:type="dxa"/>
            <w:vAlign w:val="bottom"/>
          </w:tcPr>
          <w:p>
            <w:pPr>
              <w:spacing w:after="0"/>
              <w:rPr>
                <w:sz w:val="14"/>
                <w:szCs w:val="14"/>
                <w:color w:val="auto"/>
              </w:rPr>
            </w:pPr>
          </w:p>
        </w:tc>
        <w:tc>
          <w:tcPr>
            <w:tcW w:w="3600" w:type="dxa"/>
            <w:vAlign w:val="bottom"/>
          </w:tcPr>
          <w:p>
            <w:pPr>
              <w:jc w:val="center"/>
              <w:spacing w:after="0" w:line="168" w:lineRule="exact"/>
              <w:rPr>
                <w:sz w:val="20"/>
                <w:szCs w:val="20"/>
                <w:color w:val="auto"/>
              </w:rPr>
            </w:pPr>
            <w:r>
              <w:rPr>
                <w:rFonts w:ascii="Arial" w:cs="Arial" w:eastAsia="Arial" w:hAnsi="Arial"/>
                <w:sz w:val="16"/>
                <w:szCs w:val="16"/>
                <w:color w:val="auto"/>
                <w:w w:val="99"/>
              </w:rPr>
              <w:t>HLLY</w:t>
            </w:r>
          </w:p>
        </w:tc>
        <w:tc>
          <w:tcPr>
            <w:tcW w:w="100" w:type="dxa"/>
            <w:vAlign w:val="bottom"/>
          </w:tcPr>
          <w:p>
            <w:pPr>
              <w:spacing w:after="0"/>
              <w:rPr>
                <w:sz w:val="14"/>
                <w:szCs w:val="14"/>
                <w:color w:val="auto"/>
              </w:rPr>
            </w:pPr>
          </w:p>
        </w:tc>
        <w:tc>
          <w:tcPr>
            <w:tcW w:w="3700" w:type="dxa"/>
            <w:vAlign w:val="bottom"/>
          </w:tcPr>
          <w:p>
            <w:pPr>
              <w:jc w:val="center"/>
              <w:spacing w:after="0" w:line="168" w:lineRule="exact"/>
              <w:rPr>
                <w:sz w:val="20"/>
                <w:szCs w:val="20"/>
                <w:color w:val="auto"/>
              </w:rPr>
            </w:pPr>
            <w:r>
              <w:rPr>
                <w:rFonts w:ascii="Arial" w:cs="Arial" w:eastAsia="Arial" w:hAnsi="Arial"/>
                <w:sz w:val="16"/>
                <w:szCs w:val="16"/>
                <w:color w:val="auto"/>
              </w:rPr>
              <w:t>New York Stock Exchange</w:t>
            </w:r>
          </w:p>
        </w:tc>
      </w:tr>
      <w:tr>
        <w:trPr>
          <w:trHeight w:val="215"/>
        </w:trPr>
        <w:tc>
          <w:tcPr>
            <w:tcW w:w="372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 WS</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77"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34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20" w:type="dxa"/>
            <w:vAlign w:val="bottom"/>
          </w:tcPr>
          <w:p>
            <w:pPr>
              <w:ind w:left="20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There were 119,777,222 shares of Common Stock, including 1,093,750 restricted earn-out shares, par value $0.0001 per share, issued and outstanding as of August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7"/>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6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60" w:type="dxa"/>
            <w:vAlign w:val="bottom"/>
            <w:gridSpan w:val="15"/>
          </w:tcPr>
          <w:p>
            <w:pPr>
              <w:spacing w:after="0"/>
              <w:rPr>
                <w:sz w:val="20"/>
                <w:szCs w:val="20"/>
                <w:color w:val="auto"/>
              </w:rPr>
            </w:pPr>
            <w:r>
              <w:rPr>
                <w:rFonts w:ascii="Arial" w:cs="Arial" w:eastAsia="Arial" w:hAnsi="Arial"/>
                <w:sz w:val="18"/>
                <w:szCs w:val="18"/>
                <w:color w:val="0000EE"/>
              </w:rPr>
              <w:t>PART I – FINANCIAL INFORMATION</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4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Item 1. Financial Statements.</w:t>
            </w:r>
          </w:p>
        </w:tc>
        <w:tc>
          <w:tcPr>
            <w:tcW w:w="660" w:type="dxa"/>
            <w:vAlign w:val="bottom"/>
            <w:tcBorders>
              <w:top w:val="single" w:sz="8" w:color="0000EE"/>
            </w:tcBorders>
            <w:gridSpan w:val="3"/>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40" w:type="dxa"/>
            <w:vAlign w:val="bottom"/>
            <w:gridSpan w:val="14"/>
          </w:tcPr>
          <w:p>
            <w:pPr>
              <w:spacing w:after="0"/>
              <w:rPr>
                <w:sz w:val="20"/>
                <w:szCs w:val="20"/>
                <w:color w:val="auto"/>
              </w:rPr>
            </w:pPr>
            <w:r>
              <w:rPr>
                <w:rFonts w:ascii="Arial" w:cs="Arial" w:eastAsia="Arial" w:hAnsi="Arial"/>
                <w:sz w:val="18"/>
                <w:szCs w:val="18"/>
                <w:color w:val="0000EE"/>
                <w:w w:val="99"/>
              </w:rPr>
              <w:t>Item 2. Management’s Discussion and Analysis of Financial Condition and Results of Operations.</w:t>
            </w:r>
          </w:p>
        </w:tc>
        <w:tc>
          <w:tcPr>
            <w:tcW w:w="31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24</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40" w:type="dxa"/>
            <w:vAlign w:val="bottom"/>
            <w:gridSpan w:val="14"/>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31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40" w:type="dxa"/>
            <w:vAlign w:val="bottom"/>
            <w:gridSpan w:val="8"/>
          </w:tcPr>
          <w:p>
            <w:pPr>
              <w:spacing w:after="0"/>
              <w:rPr>
                <w:sz w:val="20"/>
                <w:szCs w:val="20"/>
                <w:color w:val="auto"/>
              </w:rPr>
            </w:pPr>
            <w:r>
              <w:rPr>
                <w:rFonts w:ascii="Arial" w:cs="Arial" w:eastAsia="Arial" w:hAnsi="Arial"/>
                <w:sz w:val="18"/>
                <w:szCs w:val="18"/>
                <w:color w:val="0000EE"/>
                <w:w w:val="96"/>
              </w:rPr>
              <w:t>Item 4. Controls and Procedures</w:t>
            </w:r>
          </w:p>
        </w:tc>
        <w:tc>
          <w:tcPr>
            <w:tcW w:w="2820" w:type="dxa"/>
            <w:vAlign w:val="bottom"/>
            <w:gridSpan w:val="4"/>
          </w:tcPr>
          <w:p>
            <w:pPr>
              <w:spacing w:after="0"/>
              <w:rPr>
                <w:sz w:val="24"/>
                <w:szCs w:val="24"/>
                <w:color w:val="auto"/>
              </w:rPr>
            </w:pPr>
          </w:p>
        </w:tc>
        <w:tc>
          <w:tcPr>
            <w:tcW w:w="5500" w:type="dxa"/>
            <w:vAlign w:val="bottom"/>
            <w:gridSpan w:val="3"/>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860" w:type="dxa"/>
            <w:vAlign w:val="bottom"/>
            <w:gridSpan w:val="15"/>
          </w:tcPr>
          <w:p>
            <w:pPr>
              <w:spacing w:after="0"/>
              <w:rPr>
                <w:sz w:val="20"/>
                <w:szCs w:val="20"/>
                <w:color w:val="auto"/>
              </w:rPr>
            </w:pPr>
            <w:r>
              <w:rPr>
                <w:rFonts w:ascii="Arial" w:cs="Arial" w:eastAsia="Arial" w:hAnsi="Arial"/>
                <w:sz w:val="18"/>
                <w:szCs w:val="18"/>
                <w:color w:val="0000EE"/>
              </w:rPr>
              <w:t>PART II – OTHER INFORMATION</w:t>
            </w:r>
          </w:p>
        </w:tc>
        <w:tc>
          <w:tcPr>
            <w:tcW w:w="380" w:type="dxa"/>
            <w:vAlign w:val="bottom"/>
            <w:gridSpan w:val="3"/>
            <w:vMerge w:val="restart"/>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182"/>
        </w:trPr>
        <w:tc>
          <w:tcPr>
            <w:tcW w:w="27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1. Legal Proceedings.</w:t>
            </w:r>
          </w:p>
        </w:tc>
        <w:tc>
          <w:tcPr>
            <w:tcW w:w="460" w:type="dxa"/>
            <w:vAlign w:val="bottom"/>
            <w:gridSpan w:val="2"/>
          </w:tcPr>
          <w:p>
            <w:pPr>
              <w:spacing w:after="0"/>
              <w:rPr>
                <w:sz w:val="15"/>
                <w:szCs w:val="15"/>
                <w:color w:val="auto"/>
              </w:rPr>
            </w:pPr>
          </w:p>
        </w:tc>
        <w:tc>
          <w:tcPr>
            <w:tcW w:w="2300" w:type="dxa"/>
            <w:vAlign w:val="bottom"/>
            <w:gridSpan w:val="2"/>
          </w:tcPr>
          <w:p>
            <w:pPr>
              <w:spacing w:after="0"/>
              <w:rPr>
                <w:sz w:val="15"/>
                <w:szCs w:val="15"/>
                <w:color w:val="auto"/>
              </w:rPr>
            </w:pPr>
          </w:p>
        </w:tc>
        <w:tc>
          <w:tcPr>
            <w:tcW w:w="5360" w:type="dxa"/>
            <w:vAlign w:val="bottom"/>
            <w:gridSpan w:val="2"/>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80" w:type="dxa"/>
            <w:vAlign w:val="bottom"/>
            <w:gridSpan w:val="4"/>
          </w:tcPr>
          <w:p>
            <w:pPr>
              <w:spacing w:after="0"/>
              <w:rPr>
                <w:sz w:val="20"/>
                <w:szCs w:val="20"/>
                <w:color w:val="auto"/>
              </w:rPr>
            </w:pPr>
            <w:r>
              <w:rPr>
                <w:rFonts w:ascii="Arial" w:cs="Arial" w:eastAsia="Arial" w:hAnsi="Arial"/>
                <w:sz w:val="18"/>
                <w:szCs w:val="18"/>
                <w:color w:val="0000EE"/>
                <w:w w:val="99"/>
              </w:rPr>
              <w:t>Item 1A. Risk Factors.</w:t>
            </w:r>
          </w:p>
        </w:tc>
        <w:tc>
          <w:tcPr>
            <w:tcW w:w="360" w:type="dxa"/>
            <w:vAlign w:val="bottom"/>
            <w:gridSpan w:val="2"/>
          </w:tcPr>
          <w:p>
            <w:pPr>
              <w:spacing w:after="0"/>
              <w:rPr>
                <w:sz w:val="24"/>
                <w:szCs w:val="24"/>
                <w:color w:val="auto"/>
              </w:rPr>
            </w:pPr>
          </w:p>
        </w:tc>
        <w:tc>
          <w:tcPr>
            <w:tcW w:w="8720" w:type="dxa"/>
            <w:vAlign w:val="bottom"/>
            <w:gridSpan w:val="9"/>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5"/>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3.</w:t>
            </w:r>
          </w:p>
        </w:tc>
        <w:tc>
          <w:tcPr>
            <w:tcW w:w="4920" w:type="dxa"/>
            <w:vAlign w:val="bottom"/>
            <w:gridSpan w:val="12"/>
          </w:tcPr>
          <w:p>
            <w:pPr>
              <w:ind w:left="20"/>
              <w:spacing w:after="0"/>
              <w:rPr>
                <w:sz w:val="20"/>
                <w:szCs w:val="20"/>
                <w:color w:val="auto"/>
              </w:rPr>
            </w:pPr>
            <w:r>
              <w:rPr>
                <w:rFonts w:ascii="Arial" w:cs="Arial" w:eastAsia="Arial" w:hAnsi="Arial"/>
                <w:sz w:val="18"/>
                <w:szCs w:val="18"/>
                <w:color w:val="0000EE"/>
              </w:rPr>
              <w:t>Defaults Upon Senior Securities.</w:t>
            </w:r>
          </w:p>
        </w:tc>
        <w:tc>
          <w:tcPr>
            <w:tcW w:w="5360" w:type="dxa"/>
            <w:vAlign w:val="bottom"/>
            <w:gridSpan w:val="2"/>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4.</w:t>
            </w:r>
          </w:p>
        </w:tc>
        <w:tc>
          <w:tcPr>
            <w:tcW w:w="1960" w:type="dxa"/>
            <w:vAlign w:val="bottom"/>
            <w:gridSpan w:val="7"/>
          </w:tcPr>
          <w:p>
            <w:pPr>
              <w:ind w:left="20"/>
              <w:spacing w:after="0"/>
              <w:rPr>
                <w:sz w:val="20"/>
                <w:szCs w:val="20"/>
                <w:color w:val="auto"/>
              </w:rPr>
            </w:pPr>
            <w:r>
              <w:rPr>
                <w:rFonts w:ascii="Arial" w:cs="Arial" w:eastAsia="Arial" w:hAnsi="Arial"/>
                <w:sz w:val="18"/>
                <w:szCs w:val="18"/>
                <w:color w:val="0000EE"/>
                <w:w w:val="98"/>
              </w:rPr>
              <w:t>Mine Safety Disclosures</w:t>
            </w:r>
          </w:p>
        </w:tc>
        <w:tc>
          <w:tcPr>
            <w:tcW w:w="660" w:type="dxa"/>
            <w:vAlign w:val="bottom"/>
            <w:gridSpan w:val="3"/>
          </w:tcPr>
          <w:p>
            <w:pPr>
              <w:spacing w:after="0"/>
              <w:rPr>
                <w:sz w:val="24"/>
                <w:szCs w:val="24"/>
                <w:color w:val="auto"/>
              </w:rPr>
            </w:pPr>
          </w:p>
        </w:tc>
        <w:tc>
          <w:tcPr>
            <w:tcW w:w="7660" w:type="dxa"/>
            <w:vAlign w:val="bottom"/>
            <w:gridSpan w:val="4"/>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5.</w:t>
            </w:r>
          </w:p>
        </w:tc>
        <w:tc>
          <w:tcPr>
            <w:tcW w:w="1480" w:type="dxa"/>
            <w:vAlign w:val="bottom"/>
            <w:gridSpan w:val="4"/>
          </w:tcPr>
          <w:p>
            <w:pPr>
              <w:ind w:left="20"/>
              <w:spacing w:after="0"/>
              <w:rPr>
                <w:sz w:val="20"/>
                <w:szCs w:val="20"/>
                <w:color w:val="auto"/>
              </w:rPr>
            </w:pPr>
            <w:r>
              <w:rPr>
                <w:rFonts w:ascii="Arial" w:cs="Arial" w:eastAsia="Arial" w:hAnsi="Arial"/>
                <w:sz w:val="18"/>
                <w:szCs w:val="18"/>
                <w:color w:val="0000EE"/>
                <w:w w:val="99"/>
              </w:rPr>
              <w:t>Other Information.</w:t>
            </w:r>
          </w:p>
        </w:tc>
        <w:tc>
          <w:tcPr>
            <w:tcW w:w="480" w:type="dxa"/>
            <w:vAlign w:val="bottom"/>
            <w:gridSpan w:val="3"/>
          </w:tcPr>
          <w:p>
            <w:pPr>
              <w:spacing w:after="0"/>
              <w:rPr>
                <w:sz w:val="24"/>
                <w:szCs w:val="24"/>
                <w:color w:val="auto"/>
              </w:rPr>
            </w:pPr>
          </w:p>
        </w:tc>
        <w:tc>
          <w:tcPr>
            <w:tcW w:w="8320" w:type="dxa"/>
            <w:vAlign w:val="bottom"/>
            <w:gridSpan w:val="7"/>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800" w:type="dxa"/>
            <w:vAlign w:val="bottom"/>
            <w:gridSpan w:val="10"/>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6.</w:t>
            </w:r>
          </w:p>
        </w:tc>
        <w:tc>
          <w:tcPr>
            <w:tcW w:w="1480" w:type="dxa"/>
            <w:vAlign w:val="bottom"/>
            <w:gridSpan w:val="4"/>
          </w:tcPr>
          <w:p>
            <w:pPr>
              <w:ind w:left="20"/>
              <w:spacing w:after="0"/>
              <w:rPr>
                <w:sz w:val="20"/>
                <w:szCs w:val="20"/>
                <w:color w:val="auto"/>
              </w:rPr>
            </w:pPr>
            <w:r>
              <w:rPr>
                <w:rFonts w:ascii="Arial" w:cs="Arial" w:eastAsia="Arial" w:hAnsi="Arial"/>
                <w:sz w:val="18"/>
                <w:szCs w:val="18"/>
                <w:color w:val="0000EE"/>
              </w:rPr>
              <w:t>Exhibits.</w:t>
            </w:r>
          </w:p>
        </w:tc>
        <w:tc>
          <w:tcPr>
            <w:tcW w:w="8800" w:type="dxa"/>
            <w:vAlign w:val="bottom"/>
            <w:gridSpan w:val="10"/>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580" w:type="dxa"/>
            <w:vAlign w:val="bottom"/>
            <w:gridSpan w:val="1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gridSpan w:val="3"/>
          </w:tcPr>
          <w:p>
            <w:pPr>
              <w:spacing w:after="0"/>
              <w:rPr>
                <w:sz w:val="20"/>
                <w:szCs w:val="20"/>
                <w:color w:val="auto"/>
              </w:rPr>
            </w:pPr>
            <w:r>
              <w:rPr>
                <w:rFonts w:ascii="Arial" w:cs="Arial" w:eastAsia="Arial" w:hAnsi="Arial"/>
                <w:sz w:val="18"/>
                <w:szCs w:val="18"/>
                <w:color w:val="0000EE"/>
              </w:rPr>
              <w:t>SIGNATURE</w:t>
            </w:r>
          </w:p>
        </w:tc>
        <w:tc>
          <w:tcPr>
            <w:tcW w:w="9580" w:type="dxa"/>
            <w:vAlign w:val="bottom"/>
            <w:gridSpan w:val="12"/>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429"/>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700" w:type="dxa"/>
            <w:vAlign w:val="bottom"/>
            <w:gridSpan w:val="12"/>
          </w:tcPr>
          <w:p>
            <w:pPr>
              <w:jc w:val="right"/>
              <w:ind w:right="2060"/>
              <w:spacing w:after="0"/>
              <w:rPr>
                <w:sz w:val="20"/>
                <w:szCs w:val="20"/>
                <w:color w:val="auto"/>
              </w:rPr>
            </w:pPr>
            <w:r>
              <w:rPr>
                <w:rFonts w:ascii="Arial" w:cs="Arial" w:eastAsia="Arial" w:hAnsi="Arial"/>
                <w:sz w:val="18"/>
                <w:szCs w:val="18"/>
                <w:color w:val="auto"/>
              </w:rPr>
              <w:t>2</w:t>
            </w:r>
          </w:p>
        </w:tc>
        <w:tc>
          <w:tcPr>
            <w:tcW w:w="3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spacing w:after="0" w:line="170" w:lineRule="exact"/>
        <w:rPr>
          <w:sz w:val="20"/>
          <w:szCs w:val="20"/>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the impact of geopolitical events, including military conflicts (including the conflict in Ukraine, the conflict in the Middle East, the possible expansion of such conflicts and potential geopolitical consequences), the interruption from catastrophic events and problems such as terrorism, and public health crises;</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impact of elevated interest rate levels, which cause the cost of capital to increase, as well as respond to inflationary pressures;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 whether through anticipated organic or external growth initiatives or through the implementation of cost savings initiatives;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increased constraints in consumer demand and/or shifts in the mix of products sold;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goodwill and other intangible asset impairment charges;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the impact of any security breaches, cyber-attacks, or other cybersecurity threats or incidents, or the failure of any key information technology systems;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additional capital, including through the sale of equity or debt securities;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operations on an economically viable basis;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Holley’s New York Stock Exchange (“NYSE”) listing of its common stock (“Common Stock”) and warrants to purchase Common Stock ("Warrants");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existing and/or future laws and regulations applicable to our business, including laws and regulations related to environmental health and safety and the recently issued required climate-related disclosures;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impact of changes in U.S. tax laws and regulations, including the impact on deferred tax assets;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Jumpstart Our Business Startups Act of 2012 (the “JOBS Act”);</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other risks and factors, listed under the caption “Risk Factors” included in our Annual Report on Form 10-K for the year ended December 31, 2023, as filed with the U.S. Securities and Exchange Commission (the "SEC") on March 14, 2024, and/or as disclosed in any subsequent filings with the SEC.</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HOLLEY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70"/>
              <w:spacing w:after="0" w:line="202" w:lineRule="exact"/>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70"/>
              <w:spacing w:after="0" w:line="202" w:lineRule="exact"/>
              <w:rPr>
                <w:sz w:val="20"/>
                <w:szCs w:val="20"/>
                <w:color w:val="auto"/>
              </w:rPr>
            </w:pPr>
            <w:r>
              <w:rPr>
                <w:rFonts w:ascii="Arial" w:cs="Arial" w:eastAsia="Arial" w:hAnsi="Arial"/>
                <w:sz w:val="18"/>
                <w:szCs w:val="18"/>
                <w:color w:val="auto"/>
              </w:rPr>
              <w:t>(in thousands, except share data)</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As of</w:t>
            </w: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12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70"/>
              <w:spacing w:after="0" w:line="177"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5"/>
                <w:szCs w:val="15"/>
                <w:color w:val="auto"/>
              </w:rPr>
            </w:pPr>
          </w:p>
        </w:tc>
      </w:tr>
      <w:tr>
        <w:trPr>
          <w:trHeight w:val="221"/>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June 30, 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right="1310"/>
              <w:spacing w:after="0" w:line="196" w:lineRule="exact"/>
              <w:rPr>
                <w:sz w:val="20"/>
                <w:szCs w:val="20"/>
                <w:color w:val="auto"/>
              </w:rPr>
            </w:pPr>
            <w:r>
              <w:rPr>
                <w:rFonts w:ascii="Arial" w:cs="Arial" w:eastAsia="Arial" w:hAnsi="Arial"/>
                <w:sz w:val="18"/>
                <w:szCs w:val="18"/>
                <w:b w:val="1"/>
                <w:bCs w:val="1"/>
                <w:color w:val="auto"/>
                <w:w w:val="99"/>
              </w:rPr>
              <w:t>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53,080</w:t>
            </w:r>
          </w:p>
        </w:tc>
        <w:tc>
          <w:tcPr>
            <w:tcW w:w="100" w:type="dxa"/>
            <w:vAlign w:val="bottom"/>
          </w:tcPr>
          <w:p>
            <w:pPr>
              <w:spacing w:after="0"/>
              <w:rPr>
                <w:sz w:val="17"/>
                <w:szCs w:val="17"/>
                <w:color w:val="auto"/>
              </w:rPr>
            </w:pPr>
          </w:p>
        </w:tc>
        <w:tc>
          <w:tcPr>
            <w:tcW w:w="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41,081</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less allowance for credit losses of $1,544 and $1,577 respectively</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56,061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48,360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173,518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192,260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Prepaids and other 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17"/>
                <w:szCs w:val="17"/>
                <w:color w:val="auto"/>
              </w:rPr>
            </w:pPr>
          </w:p>
        </w:tc>
        <w:tc>
          <w:tcPr>
            <w:tcW w:w="13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2,096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8000" w:type="dxa"/>
            <w:vAlign w:val="bottom"/>
            <w:tcBorders>
              <w:top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301,103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297,366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43,491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47,206</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419,056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419,056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intangibles assets, net</w:t>
            </w:r>
          </w:p>
        </w:tc>
        <w:tc>
          <w:tcPr>
            <w:tcW w:w="14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403,483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410,465</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29,767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29,250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800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1,198,091</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1,203,343</w:t>
            </w:r>
          </w:p>
        </w:tc>
      </w:tr>
      <w:tr>
        <w:trPr>
          <w:trHeight w:val="183"/>
        </w:trPr>
        <w:tc>
          <w:tcPr>
            <w:tcW w:w="1280" w:type="dxa"/>
            <w:vAlign w:val="bottom"/>
            <w:tcBorders>
              <w:top w:val="single" w:sz="8" w:color="CCEEFF"/>
            </w:tcBorders>
          </w:tcPr>
          <w:p>
            <w:pPr>
              <w:spacing w:after="0"/>
              <w:rPr>
                <w:sz w:val="15"/>
                <w:szCs w:val="15"/>
                <w:color w:val="auto"/>
              </w:rPr>
            </w:pPr>
          </w:p>
        </w:tc>
        <w:tc>
          <w:tcPr>
            <w:tcW w:w="6720" w:type="dxa"/>
            <w:vAlign w:val="bottom"/>
            <w:tcBorders>
              <w:top w:val="single" w:sz="8" w:color="CCEEFF"/>
            </w:tcBorders>
          </w:tcPr>
          <w:p>
            <w:pPr>
              <w:jc w:val="center"/>
              <w:ind w:right="131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58,595</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43,692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455</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41,130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42,129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7,461</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107,521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93,737</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548,698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576,710</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8,383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Earn-out liability</w:t>
            </w:r>
          </w:p>
        </w:tc>
        <w:tc>
          <w:tcPr>
            <w:tcW w:w="14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48,642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53,542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26,341</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734,922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762,192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Commitments and contingencies (Refer to Note 15 - Commitments and Contingencies)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8000" w:type="dxa"/>
            <w:vAlign w:val="bottom"/>
            <w:gridSpan w:val="2"/>
          </w:tcPr>
          <w:p>
            <w:pPr>
              <w:spacing w:after="0" w:line="183" w:lineRule="exact"/>
              <w:rPr>
                <w:sz w:val="20"/>
                <w:szCs w:val="20"/>
                <w:color w:val="auto"/>
              </w:rPr>
            </w:pPr>
            <w:r>
              <w:rPr>
                <w:rFonts w:ascii="Arial" w:cs="Arial" w:eastAsia="Arial" w:hAnsi="Arial"/>
                <w:sz w:val="18"/>
                <w:szCs w:val="18"/>
                <w:color w:val="auto"/>
              </w:rPr>
              <w:t>Preferred stock, $0.0001 par value, 5,000,000 shares authorized, none issued and outstanding on</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June 30, 2024 and December 31, 2023</w:t>
            </w:r>
          </w:p>
        </w:tc>
        <w:tc>
          <w:tcPr>
            <w:tcW w:w="14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Common stock, $0.0001 par value, 550,000,000 shares authorized, 118,683,472 and 117,707,280</w:t>
            </w:r>
          </w:p>
        </w:tc>
        <w:tc>
          <w:tcPr>
            <w:tcW w:w="140" w:type="dxa"/>
            <w:vAlign w:val="bottom"/>
            <w:shd w:val="clear" w:color="auto" w:fill="CCEEFF"/>
          </w:tcPr>
          <w:p>
            <w:pPr>
              <w:spacing w:after="0"/>
              <w:rPr>
                <w:sz w:val="15"/>
                <w:szCs w:val="15"/>
                <w:color w:val="auto"/>
              </w:rPr>
            </w:pPr>
          </w:p>
        </w:tc>
        <w:tc>
          <w:tcPr>
            <w:tcW w:w="13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on June 30, 2024 and December 31, 2023, respectively</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375,194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373,869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88,815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67,980</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463,169</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441,151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1,198,091</w:t>
            </w:r>
          </w:p>
        </w:tc>
        <w:tc>
          <w:tcPr>
            <w:tcW w:w="100" w:type="dxa"/>
            <w:vAlign w:val="bottom"/>
          </w:tcPr>
          <w:p>
            <w:pPr>
              <w:spacing w:after="0"/>
              <w:rPr>
                <w:sz w:val="17"/>
                <w:szCs w:val="17"/>
                <w:color w:val="auto"/>
              </w:rPr>
            </w:pPr>
          </w:p>
        </w:tc>
        <w:tc>
          <w:tcPr>
            <w:tcW w:w="22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1,203,343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2600" w:type="dxa"/>
            <w:vAlign w:val="bottom"/>
            <w:gridSpan w:val="4"/>
          </w:tcPr>
          <w:p>
            <w:pPr>
              <w:jc w:val="right"/>
              <w:ind w:right="1160"/>
              <w:spacing w:after="0"/>
              <w:rPr>
                <w:sz w:val="20"/>
                <w:szCs w:val="20"/>
                <w:color w:val="auto"/>
              </w:rPr>
            </w:pPr>
            <w:r>
              <w:rPr>
                <w:rFonts w:ascii="Arial" w:cs="Arial" w:eastAsia="Arial" w:hAnsi="Arial"/>
                <w:sz w:val="18"/>
                <w:szCs w:val="18"/>
                <w:b w:val="1"/>
                <w:bCs w:val="1"/>
                <w:color w:val="auto"/>
              </w:rPr>
              <w:t>HOLLEY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8740" w:type="dxa"/>
            <w:vAlign w:val="bottom"/>
            <w:gridSpan w:val="11"/>
          </w:tcPr>
          <w:p>
            <w:pPr>
              <w:jc w:val="center"/>
              <w:spacing w:after="0" w:line="202" w:lineRule="exact"/>
              <w:rPr>
                <w:sz w:val="20"/>
                <w:szCs w:val="20"/>
                <w:color w:val="auto"/>
              </w:rPr>
            </w:pPr>
            <w:r>
              <w:rPr>
                <w:rFonts w:ascii="Arial" w:cs="Arial" w:eastAsia="Arial" w:hAnsi="Arial"/>
                <w:sz w:val="18"/>
                <w:szCs w:val="18"/>
                <w:b w:val="1"/>
                <w:bCs w:val="1"/>
                <w:color w:val="auto"/>
                <w:w w:val="99"/>
              </w:rPr>
              <w:t>CONDENSED CONSOLIDATED STATEMENTS OF COMPREHENSIVE INCOME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0" w:type="dxa"/>
            <w:vAlign w:val="bottom"/>
            <w:gridSpan w:val="4"/>
          </w:tcPr>
          <w:p>
            <w:pPr>
              <w:jc w:val="center"/>
              <w:ind w:right="780"/>
              <w:spacing w:after="0" w:line="202" w:lineRule="exact"/>
              <w:rPr>
                <w:sz w:val="20"/>
                <w:szCs w:val="20"/>
                <w:color w:val="auto"/>
              </w:rPr>
            </w:pPr>
            <w:r>
              <w:rPr>
                <w:rFonts w:ascii="Arial" w:cs="Arial" w:eastAsia="Arial" w:hAnsi="Arial"/>
                <w:sz w:val="18"/>
                <w:szCs w:val="18"/>
                <w:color w:val="auto"/>
                <w:w w:val="99"/>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0" w:type="dxa"/>
            <w:vAlign w:val="bottom"/>
            <w:gridSpan w:val="4"/>
          </w:tcPr>
          <w:p>
            <w:pPr>
              <w:jc w:val="center"/>
              <w:ind w:right="780"/>
              <w:spacing w:after="0"/>
              <w:rPr>
                <w:sz w:val="20"/>
                <w:szCs w:val="20"/>
                <w:color w:val="auto"/>
              </w:rPr>
            </w:pPr>
            <w:r>
              <w:rPr>
                <w:rFonts w:ascii="Arial" w:cs="Arial" w:eastAsia="Arial" w:hAnsi="Arial"/>
                <w:sz w:val="18"/>
                <w:szCs w:val="18"/>
                <w:color w:val="auto"/>
                <w:w w:val="98"/>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ind w:left="100"/>
              <w:spacing w:after="0"/>
              <w:rPr>
                <w:sz w:val="20"/>
                <w:szCs w:val="20"/>
                <w:color w:val="auto"/>
              </w:rPr>
            </w:pPr>
            <w:r>
              <w:rPr>
                <w:rFonts w:ascii="Arial" w:cs="Arial" w:eastAsia="Arial" w:hAnsi="Arial"/>
                <w:sz w:val="18"/>
                <w:szCs w:val="18"/>
                <w:color w:val="auto"/>
              </w:rPr>
              <w:t>For the twenty-six weeks</w:t>
            </w:r>
          </w:p>
        </w:tc>
      </w:tr>
      <w:tr>
        <w:trPr>
          <w:trHeight w:val="221"/>
        </w:trPr>
        <w:tc>
          <w:tcPr>
            <w:tcW w:w="12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720" w:type="dxa"/>
            <w:vAlign w:val="bottom"/>
            <w:gridSpan w:val="6"/>
          </w:tcPr>
          <w:p>
            <w:pPr>
              <w:jc w:val="right"/>
              <w:ind w:right="30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9"/>
                <w:szCs w:val="19"/>
                <w:color w:val="auto"/>
              </w:rPr>
            </w:pPr>
          </w:p>
        </w:tc>
        <w:tc>
          <w:tcPr>
            <w:tcW w:w="2420" w:type="dxa"/>
            <w:vAlign w:val="bottom"/>
            <w:gridSpan w:val="5"/>
          </w:tcPr>
          <w:p>
            <w:pPr>
              <w:ind w:left="840"/>
              <w:spacing w:after="0"/>
              <w:rPr>
                <w:sz w:val="20"/>
                <w:szCs w:val="20"/>
                <w:color w:val="auto"/>
              </w:rPr>
            </w:pPr>
            <w:r>
              <w:rPr>
                <w:rFonts w:ascii="Arial" w:cs="Arial" w:eastAsia="Arial" w:hAnsi="Arial"/>
                <w:sz w:val="18"/>
                <w:szCs w:val="18"/>
                <w:color w:val="auto"/>
              </w:rPr>
              <w:t>ended</w:t>
            </w:r>
          </w:p>
        </w:tc>
      </w:tr>
      <w:tr>
        <w:trPr>
          <w:trHeight w:val="177"/>
        </w:trPr>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480"/>
              <w:spacing w:after="0" w:line="177" w:lineRule="exact"/>
              <w:rPr>
                <w:sz w:val="20"/>
                <w:szCs w:val="20"/>
                <w:color w:val="auto"/>
              </w:rPr>
            </w:pPr>
            <w:r>
              <w:rPr>
                <w:rFonts w:ascii="Arial" w:cs="Arial" w:eastAsia="Arial" w:hAnsi="Arial"/>
                <w:sz w:val="18"/>
                <w:szCs w:val="18"/>
                <w:color w:val="auto"/>
              </w:rPr>
              <w:t>June 30,</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77" w:lineRule="exact"/>
              <w:rPr>
                <w:sz w:val="20"/>
                <w:szCs w:val="20"/>
                <w:color w:val="auto"/>
              </w:rPr>
            </w:pPr>
            <w:r>
              <w:rPr>
                <w:rFonts w:ascii="Arial" w:cs="Arial" w:eastAsia="Arial" w:hAnsi="Arial"/>
                <w:sz w:val="18"/>
                <w:szCs w:val="18"/>
                <w:color w:val="auto"/>
              </w:rPr>
              <w:t>June 30,</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12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July 2, 2023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9"/>
                <w:szCs w:val="19"/>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169,496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175,262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328,132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347,467</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99,203</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105,514</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205,780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210,006</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70,293</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69,748</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122,352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137,461</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34,570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29,101</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67,566</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59,118</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4,311</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6,182</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9,123</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12,835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3,435</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3,674</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6,871</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7,353</w:t>
            </w:r>
          </w:p>
        </w:tc>
      </w:tr>
      <w:tr>
        <w:trPr>
          <w:trHeight w:val="202"/>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1,691</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expense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485</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94</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536</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operating expense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42,415</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39,794</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84,266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81,533</w:t>
            </w:r>
          </w:p>
        </w:tc>
      </w:tr>
      <w:tr>
        <w:trPr>
          <w:trHeight w:val="20"/>
        </w:trPr>
        <w:tc>
          <w:tcPr>
            <w:tcW w:w="12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27,878</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29,954</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38,086</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55,928</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(6,529)</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3,452</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(1,058)</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961</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(1,707)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1,389</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13,178</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9,899</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24,182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28,197</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non-operating expense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8,718</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12,877</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16,087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33,038</w:t>
            </w:r>
          </w:p>
        </w:tc>
      </w:tr>
      <w:tr>
        <w:trPr>
          <w:trHeight w:val="20"/>
        </w:trPr>
        <w:tc>
          <w:tcPr>
            <w:tcW w:w="12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19,160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17,077</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21,999</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22,890</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2,055</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4,098</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5,664</w:t>
            </w:r>
          </w:p>
        </w:tc>
      </w:tr>
      <w:tr>
        <w:trPr>
          <w:trHeight w:val="20"/>
        </w:trPr>
        <w:tc>
          <w:tcPr>
            <w:tcW w:w="12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b w:val="1"/>
                <w:bCs w:val="1"/>
                <w:color w:val="auto"/>
              </w:rPr>
              <w:t>Net income</w:t>
            </w: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17,105</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12,979</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20,835</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17,226</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Comprehensive income: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272</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760" w:type="dxa"/>
            <w:vAlign w:val="bottom"/>
            <w:gridSpan w:val="2"/>
            <w:shd w:val="clear" w:color="auto" w:fill="CCEEFF"/>
          </w:tcPr>
          <w:p>
            <w:pPr>
              <w:ind w:left="340"/>
              <w:spacing w:after="0" w:line="182" w:lineRule="exact"/>
              <w:rPr>
                <w:sz w:val="20"/>
                <w:szCs w:val="20"/>
                <w:color w:val="auto"/>
              </w:rPr>
            </w:pPr>
            <w:r>
              <w:rPr>
                <w:rFonts w:ascii="Arial" w:cs="Arial" w:eastAsia="Arial" w:hAnsi="Arial"/>
                <w:sz w:val="18"/>
                <w:szCs w:val="18"/>
                <w:b w:val="1"/>
                <w:bCs w:val="1"/>
                <w:color w:val="auto"/>
              </w:rPr>
              <w:t>Total comprehensive income</w:t>
            </w:r>
          </w:p>
        </w:tc>
        <w:tc>
          <w:tcPr>
            <w:tcW w:w="13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17,149</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13,251</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20,693</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17,299</w:t>
            </w:r>
          </w:p>
        </w:tc>
      </w:tr>
      <w:tr>
        <w:trPr>
          <w:trHeight w:val="183"/>
        </w:trPr>
        <w:tc>
          <w:tcPr>
            <w:tcW w:w="476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b w:val="1"/>
                <w:bCs w:val="1"/>
                <w:color w:val="auto"/>
              </w:rPr>
              <w:t>Common Share Data:</w:t>
            </w:r>
          </w:p>
        </w:tc>
        <w:tc>
          <w:tcPr>
            <w:tcW w:w="1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7"/>
              </w:rPr>
              <w:t>118,470,358</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117,221,419</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118,171,093</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117,187,287</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119,261,236</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117,868,922</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5"/>
              </w:rPr>
              <w:t>119,383,282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117,556,657</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Basic net income per share</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0.15</w:t>
            </w:r>
          </w:p>
        </w:tc>
      </w:tr>
      <w:tr>
        <w:trPr>
          <w:trHeight w:val="239"/>
        </w:trPr>
        <w:tc>
          <w:tcPr>
            <w:tcW w:w="476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bl>
    <w:p>
      <w:pPr>
        <w:spacing w:after="0" w:line="147"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99"/>
              </w:rPr>
              <w:t>HOLLEY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740" w:type="dxa"/>
            <w:vAlign w:val="bottom"/>
            <w:gridSpan w:val="18"/>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900" w:type="dxa"/>
            <w:vAlign w:val="bottom"/>
            <w:gridSpan w:val="10"/>
          </w:tcPr>
          <w:p>
            <w:pPr>
              <w:jc w:val="center"/>
              <w:ind w:left="730"/>
              <w:spacing w:after="0" w:line="202" w:lineRule="exact"/>
              <w:rPr>
                <w:sz w:val="20"/>
                <w:szCs w:val="20"/>
                <w:color w:val="auto"/>
              </w:rPr>
            </w:pPr>
            <w:r>
              <w:rPr>
                <w:rFonts w:ascii="Arial" w:cs="Arial" w:eastAsia="Arial" w:hAnsi="Arial"/>
                <w:sz w:val="18"/>
                <w:szCs w:val="18"/>
                <w:color w:val="auto"/>
              </w:rPr>
              <w:t>(in thousands, except share data)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6"/>
          </w:tcPr>
          <w:p>
            <w:pPr>
              <w:jc w:val="center"/>
              <w:ind w:right="68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540" w:type="dxa"/>
            <w:vAlign w:val="bottom"/>
            <w:gridSpan w:val="6"/>
          </w:tcPr>
          <w:p>
            <w:pPr>
              <w:ind w:left="6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line="177" w:lineRule="exact"/>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20"/>
              <w:spacing w:after="0" w:line="177" w:lineRule="exact"/>
              <w:rPr>
                <w:sz w:val="20"/>
                <w:szCs w:val="20"/>
                <w:color w:val="auto"/>
              </w:rPr>
            </w:pPr>
            <w:r>
              <w:rPr>
                <w:rFonts w:ascii="Arial" w:cs="Arial" w:eastAsia="Arial" w:hAnsi="Arial"/>
                <w:sz w:val="18"/>
                <w:szCs w:val="18"/>
                <w:color w:val="auto"/>
                <w:w w:val="97"/>
              </w:rPr>
              <w:t>Other</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Paid-In</w:t>
            </w:r>
          </w:p>
        </w:tc>
        <w:tc>
          <w:tcPr>
            <w:tcW w:w="154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Comprehensive</w:t>
            </w:r>
          </w:p>
        </w:tc>
        <w:tc>
          <w:tcPr>
            <w:tcW w:w="14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Retained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Loss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2022</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117,147,997</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368,122</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(944)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48,800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415,990</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4,247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(199)</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24,219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April 2, 2023</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117,172,216</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368,482</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53,047</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420,398</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12,979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03"/>
        </w:trPr>
        <w:tc>
          <w:tcPr>
            <w:tcW w:w="32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272</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77,638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July 3, 2023</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117,249,854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370,249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66,026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435,416</w:t>
            </w:r>
          </w:p>
        </w:tc>
        <w:tc>
          <w:tcPr>
            <w:tcW w:w="0" w:type="dxa"/>
            <w:vAlign w:val="bottom"/>
          </w:tcPr>
          <w:p>
            <w:pPr>
              <w:spacing w:after="0"/>
              <w:rPr>
                <w:sz w:val="1"/>
                <w:szCs w:val="1"/>
                <w:color w:val="auto"/>
              </w:rPr>
            </w:pPr>
          </w:p>
        </w:tc>
      </w:tr>
      <w:tr>
        <w:trPr>
          <w:trHeight w:val="183"/>
        </w:trPr>
        <w:tc>
          <w:tcPr>
            <w:tcW w:w="1280" w:type="dxa"/>
            <w:vAlign w:val="bottom"/>
            <w:tcBorders>
              <w:top w:val="single" w:sz="8" w:color="CCEEFF"/>
            </w:tcBorders>
          </w:tcPr>
          <w:p>
            <w:pPr>
              <w:spacing w:after="0"/>
              <w:rPr>
                <w:sz w:val="15"/>
                <w:szCs w:val="15"/>
                <w:color w:val="auto"/>
              </w:rPr>
            </w:pPr>
          </w:p>
        </w:tc>
        <w:tc>
          <w:tcPr>
            <w:tcW w:w="198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2023</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117,707,280</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373,869</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67,980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441,151</w:t>
            </w:r>
          </w:p>
        </w:tc>
        <w:tc>
          <w:tcPr>
            <w:tcW w:w="0" w:type="dxa"/>
            <w:vAlign w:val="bottom"/>
          </w:tcPr>
          <w:p>
            <w:pPr>
              <w:spacing w:after="0"/>
              <w:rPr>
                <w:sz w:val="1"/>
                <w:szCs w:val="1"/>
                <w:color w:val="auto"/>
              </w:rPr>
            </w:pPr>
          </w:p>
        </w:tc>
      </w:tr>
      <w:tr>
        <w:trPr>
          <w:trHeight w:val="202"/>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3,730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604,061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March 31, 2024</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118,311,341</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374,089</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71,710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444,915</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17,105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17,105</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372,131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2024</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118,683,472</w:t>
            </w:r>
          </w:p>
        </w:tc>
        <w:tc>
          <w:tcPr>
            <w:tcW w:w="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375,194</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88,815</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463,169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HOLLEY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320" w:type="dxa"/>
            <w:vAlign w:val="bottom"/>
            <w:gridSpan w:val="4"/>
          </w:tcPr>
          <w:p>
            <w:pPr>
              <w:jc w:val="center"/>
              <w:ind w:left="29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90"/>
              <w:spacing w:after="0" w:line="202" w:lineRule="exact"/>
              <w:rPr>
                <w:sz w:val="20"/>
                <w:szCs w:val="20"/>
                <w:color w:val="auto"/>
              </w:rPr>
            </w:pPr>
            <w:r>
              <w:rPr>
                <w:rFonts w:ascii="Arial" w:cs="Arial" w:eastAsia="Arial" w:hAnsi="Arial"/>
                <w:sz w:val="18"/>
                <w:szCs w:val="18"/>
                <w:color w:val="auto"/>
                <w:w w:val="99"/>
              </w:rPr>
              <w:t>(in thousands)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20"/>
                <w:szCs w:val="20"/>
                <w:color w:val="auto"/>
              </w:rPr>
            </w:pPr>
          </w:p>
        </w:tc>
        <w:tc>
          <w:tcPr>
            <w:tcW w:w="3100" w:type="dxa"/>
            <w:vAlign w:val="bottom"/>
            <w:gridSpan w:val="6"/>
            <w:vMerge w:val="restart"/>
          </w:tcPr>
          <w:p>
            <w:pPr>
              <w:jc w:val="right"/>
              <w:ind w:right="400"/>
              <w:spacing w:after="0"/>
              <w:rPr>
                <w:sz w:val="20"/>
                <w:szCs w:val="20"/>
                <w:color w:val="auto"/>
              </w:rPr>
            </w:pPr>
            <w:r>
              <w:rPr>
                <w:rFonts w:ascii="Arial" w:cs="Arial" w:eastAsia="Arial" w:hAnsi="Arial"/>
                <w:sz w:val="18"/>
                <w:szCs w:val="18"/>
                <w:color w:val="auto"/>
              </w:rPr>
              <w:t>For the twenty-six weeks ended</w:t>
            </w: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300"/>
              <w:spacing w:after="0" w:line="196" w:lineRule="exact"/>
              <w:rPr>
                <w:sz w:val="20"/>
                <w:szCs w:val="20"/>
                <w:color w:val="auto"/>
              </w:rPr>
            </w:pPr>
            <w:r>
              <w:rPr>
                <w:rFonts w:ascii="Arial" w:cs="Arial" w:eastAsia="Arial" w:hAnsi="Arial"/>
                <w:sz w:val="18"/>
                <w:szCs w:val="18"/>
                <w:color w:val="auto"/>
                <w:w w:val="99"/>
              </w:rPr>
              <w:t>June 30, 2024</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20,835</w:t>
            </w:r>
          </w:p>
        </w:tc>
        <w:tc>
          <w:tcPr>
            <w:tcW w:w="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17,226</w:t>
            </w:r>
          </w:p>
        </w:tc>
        <w:tc>
          <w:tcPr>
            <w:tcW w:w="0" w:type="dxa"/>
            <w:vAlign w:val="bottom"/>
          </w:tcPr>
          <w:p>
            <w:pPr>
              <w:spacing w:after="0"/>
              <w:rPr>
                <w:sz w:val="1"/>
                <w:szCs w:val="1"/>
                <w:color w:val="auto"/>
              </w:rPr>
            </w:pPr>
          </w:p>
        </w:tc>
      </w:tr>
      <w:tr>
        <w:trPr>
          <w:trHeight w:val="202"/>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7"/>
                <w:szCs w:val="17"/>
                <w:color w:val="auto"/>
              </w:rPr>
            </w:pP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Amortization of deferred loan costs</w:t>
            </w:r>
          </w:p>
        </w:tc>
        <w:tc>
          <w:tcPr>
            <w:tcW w:w="140" w:type="dxa"/>
            <w:vAlign w:val="bottom"/>
          </w:tcPr>
          <w:p>
            <w:pPr>
              <w:spacing w:after="0"/>
              <w:rPr>
                <w:sz w:val="17"/>
                <w:szCs w:val="17"/>
                <w:color w:val="auto"/>
              </w:rPr>
            </w:pP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right of use assets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Fair value adjustments to warrant liability</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Fair value adjustments to earn-out liability</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Fair value adjustments to interest rate collar</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 compensation</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Change in deferred taxes</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Loss on early extinguishment of long-term debt</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Loss (gain) on disposal of property, plant and equipment</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inventory reserves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11,694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7"/>
                <w:szCs w:val="17"/>
                <w:color w:val="auto"/>
              </w:rPr>
            </w:pP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11,691</w:t>
            </w: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Prepaids and other current assets</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14,951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Accrued and other liabilities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44,521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34,383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(2,416)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Principal payments on long-term debt</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(28,605)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financing fees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Payments from stock-based award activities</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(30,042)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(15,572)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Effect of foreign currency rate fluctuations on cash</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41,081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26,150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tcPr>
          <w:p>
            <w:pPr>
              <w:spacing w:after="0" w:line="182" w:lineRule="exact"/>
              <w:rPr>
                <w:sz w:val="20"/>
                <w:szCs w:val="20"/>
                <w:color w:val="auto"/>
              </w:rPr>
            </w:pPr>
            <w:r>
              <w:rPr>
                <w:rFonts w:ascii="Arial" w:cs="Arial" w:eastAsia="Arial" w:hAnsi="Arial"/>
                <w:sz w:val="18"/>
                <w:szCs w:val="18"/>
                <w:color w:val="auto"/>
              </w:rPr>
              <w:t>End of period</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53,080</w:t>
            </w:r>
          </w:p>
        </w:tc>
        <w:tc>
          <w:tcPr>
            <w:tcW w:w="26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42,740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Cash paid for interest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26,582</w:t>
            </w:r>
          </w:p>
        </w:tc>
        <w:tc>
          <w:tcPr>
            <w:tcW w:w="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29,097</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12,021</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Supplemental non-cash investing activity:</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Property and equipment additions included in accounts payable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124</w:t>
            </w:r>
          </w:p>
        </w:tc>
        <w:tc>
          <w:tcPr>
            <w:tcW w:w="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198"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spacing w:after="0" w:line="16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designs, manufactures and distributes high-performance automotive products to car and truck enthusiasts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 Status</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6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98"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The Company's business is impacted by various economic factors that affect both consumers and the automotive aftermarket industry, including by not limited to inflation, fuel costs, wage rates, supply chain disruptions, hiring, and</w:t>
      </w:r>
    </w:p>
    <w:p>
      <w:pPr>
        <w:jc w:val="both"/>
        <w:ind w:left="340"/>
        <w:spacing w:after="0" w:line="237" w:lineRule="auto"/>
        <w:rPr>
          <w:sz w:val="20"/>
          <w:szCs w:val="20"/>
          <w:color w:val="auto"/>
        </w:rPr>
      </w:pPr>
      <w:r>
        <w:rPr>
          <w:rFonts w:ascii="Arial" w:cs="Arial" w:eastAsia="Arial" w:hAnsi="Arial"/>
          <w:sz w:val="18"/>
          <w:szCs w:val="18"/>
          <w:color w:val="auto"/>
        </w:rPr>
        <w:t>other economic conditions. In response to inflationary impacts and supply chain disruptions, the Company has attempted to minimize potential adverse impacts on its business with cost savings initiatives, price increases to customers, and increased attention to maintaining appropriate inventory levels in the distribution channel. The Company's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9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2023, as filed with the SEC on March 14, 2024,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Company operates on a fiscal year that ends on December 31. The three- and six-month periods ended June 30, 2024 and July 2, 2023 each included 13 weeks and 26 weeks, respectively.</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October 2023,</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2023</w:t>
      </w:r>
      <w:r>
        <w:rPr>
          <w:rFonts w:ascii="Arial" w:cs="Arial" w:eastAsia="Arial" w:hAnsi="Arial"/>
          <w:sz w:val="18"/>
          <w:szCs w:val="18"/>
          <w:color w:val="auto"/>
        </w:rPr>
        <w:t>-</w:t>
      </w:r>
      <w:r>
        <w:rPr>
          <w:rFonts w:ascii="Arial" w:cs="Arial" w:eastAsia="Arial" w:hAnsi="Arial"/>
          <w:sz w:val="18"/>
          <w:szCs w:val="18"/>
          <w:i w:val="1"/>
          <w:iCs w:val="1"/>
          <w:color w:val="auto"/>
        </w:rPr>
        <w:t>06, Disclosure Improvements: Codification Amendments in Response to SEC's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Update and Simplification Initiative. </w:t>
      </w:r>
      <w:r>
        <w:rPr>
          <w:rFonts w:ascii="Arial" w:cs="Arial" w:eastAsia="Arial" w:hAnsi="Arial"/>
          <w:sz w:val="18"/>
          <w:szCs w:val="18"/>
          <w:color w:val="auto"/>
        </w:rPr>
        <w:t>This ASU amends the disclosure or presentation requirements related to various subtopics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Accounting Standards Codification. The effective date for each amendment will be the date on which the SEC's removal of that related disclosure from Regulation S-X or Regulation S-K becomes effective, with early adoption prohibited. The Company will monitor the removal of various requirements from the current regulations in order to determine when to adopt the related amendments, but it does not anticipate that the adoption of the new guidance will have a material impact on the Company’s consolidated financial statements and related disclosures. The Company will continue to evaluate the impact of this guidance on its consolidated financial statements.</w:t>
      </w:r>
    </w:p>
    <w:p>
      <w:pPr>
        <w:spacing w:after="0" w:line="167"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November 2023,</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2023</w:t>
      </w:r>
      <w:r>
        <w:rPr>
          <w:rFonts w:ascii="Arial" w:cs="Arial" w:eastAsia="Arial" w:hAnsi="Arial"/>
          <w:sz w:val="18"/>
          <w:szCs w:val="18"/>
          <w:color w:val="auto"/>
        </w:rPr>
        <w:t>-</w:t>
      </w:r>
      <w:r>
        <w:rPr>
          <w:rFonts w:ascii="Arial" w:cs="Arial" w:eastAsia="Arial" w:hAnsi="Arial"/>
          <w:sz w:val="18"/>
          <w:szCs w:val="18"/>
          <w:i w:val="1"/>
          <w:iCs w:val="1"/>
          <w:color w:val="auto"/>
        </w:rPr>
        <w:t>07, Segment Reporting (Topic 280): Improvements to Reportable Segment Disclosures</w:t>
      </w:r>
      <w:r>
        <w:rPr>
          <w:rFonts w:ascii="Arial" w:cs="Arial" w:eastAsia="Arial" w:hAnsi="Arial"/>
          <w:sz w:val="18"/>
          <w:szCs w:val="18"/>
          <w:color w:val="auto"/>
        </w:rPr>
        <w:t>. This ASU expands reportable segment disclosure requirements, primarily through enhanced disclosures about significant segment expenses. The standard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ASU is effective for fiscal years beginning after December 15, 2023 and interim periods within fiscal years beginning after December 15, 2024, with early adoption permitted. The Company is currently evaluating the effect of this new guidance on its consolidated financial statements and related disclosures.</w:t>
      </w:r>
    </w:p>
    <w:p>
      <w:pPr>
        <w:spacing w:after="0" w:line="17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December 2023,</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2023</w:t>
      </w:r>
      <w:r>
        <w:rPr>
          <w:rFonts w:ascii="Arial" w:cs="Arial" w:eastAsia="Arial" w:hAnsi="Arial"/>
          <w:sz w:val="18"/>
          <w:szCs w:val="18"/>
          <w:color w:val="auto"/>
        </w:rPr>
        <w:t>-</w:t>
      </w:r>
      <w:r>
        <w:rPr>
          <w:rFonts w:ascii="Arial" w:cs="Arial" w:eastAsia="Arial" w:hAnsi="Arial"/>
          <w:sz w:val="18"/>
          <w:szCs w:val="18"/>
          <w:i w:val="1"/>
          <w:iCs w:val="1"/>
          <w:color w:val="auto"/>
        </w:rPr>
        <w:t>09, Income Taxes (Topic 740): Improvements to Income Tax Disclosures.</w:t>
      </w:r>
      <w:r>
        <w:rPr>
          <w:rFonts w:ascii="Arial" w:cs="Arial" w:eastAsia="Arial" w:hAnsi="Arial"/>
          <w:sz w:val="18"/>
          <w:szCs w:val="18"/>
          <w:color w:val="auto"/>
        </w:rPr>
        <w:t xml:space="preserve"> 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This ASU is effective for fiscal years beginning after December 15, 2024 and interim periods within fiscal years beginning after December 15, 2025, with early adoption permitted. The Company is currently evaluating the effect of this new guidance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June 30, 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36,769</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63,552</w:t>
            </w:r>
          </w:p>
        </w:tc>
      </w:tr>
      <w:tr>
        <w:trPr>
          <w:trHeight w:val="202"/>
        </w:trPr>
        <w:tc>
          <w:tcPr>
            <w:tcW w:w="736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23,256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22,619</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113,493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106,089</w:t>
            </w:r>
          </w:p>
        </w:tc>
      </w:tr>
      <w:tr>
        <w:trPr>
          <w:trHeight w:val="20"/>
        </w:trPr>
        <w:tc>
          <w:tcPr>
            <w:tcW w:w="7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173,518</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192,260</w:t>
            </w:r>
          </w:p>
        </w:tc>
      </w:tr>
      <w:tr>
        <w:trPr>
          <w:trHeight w:val="20"/>
        </w:trPr>
        <w:tc>
          <w:tcPr>
            <w:tcW w:w="7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During the 13-week and 26-week periods ended June 30, 2024, the Company recognized inventory (gains) charges of ($878) and $8,835, respectively, primarily due to product rationalization initiatives aimed at eliminating unprofitable or slow-moving stock keeping units.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June 30, 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3,326</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12,186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11,404</w:t>
            </w:r>
          </w:p>
        </w:tc>
      </w:tr>
      <w:tr>
        <w:trPr>
          <w:trHeight w:val="203"/>
        </w:trPr>
        <w:tc>
          <w:tcPr>
            <w:tcW w:w="74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73,332</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7,099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6,224</w:t>
            </w:r>
          </w:p>
        </w:tc>
      </w:tr>
      <w:tr>
        <w:trPr>
          <w:trHeight w:val="20"/>
        </w:trPr>
        <w:tc>
          <w:tcPr>
            <w:tcW w:w="7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property, plant and equipment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95,207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94,286</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51,716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47,080</w:t>
            </w:r>
          </w:p>
        </w:tc>
      </w:tr>
      <w:tr>
        <w:trPr>
          <w:trHeight w:val="20"/>
        </w:trPr>
        <w:tc>
          <w:tcPr>
            <w:tcW w:w="7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43,491</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47,206</w:t>
            </w:r>
          </w:p>
        </w:tc>
      </w:tr>
      <w:tr>
        <w:trPr>
          <w:trHeight w:val="403"/>
        </w:trPr>
        <w:tc>
          <w:tcPr>
            <w:tcW w:w="7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88"/>
        </w:trPr>
        <w:tc>
          <w:tcPr>
            <w:tcW w:w="7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June 30, 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40,648</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44,931</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2,275</w:t>
            </w:r>
          </w:p>
        </w:tc>
      </w:tr>
      <w:tr>
        <w:trPr>
          <w:trHeight w:val="20"/>
        </w:trPr>
        <w:tc>
          <w:tcPr>
            <w:tcW w:w="7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4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43,491</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47,206</w:t>
            </w:r>
          </w:p>
        </w:tc>
      </w:tr>
      <w:tr>
        <w:trPr>
          <w:trHeight w:val="20"/>
        </w:trPr>
        <w:tc>
          <w:tcPr>
            <w:tcW w:w="7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98" w:lineRule="exact"/>
        <w:rPr>
          <w:rFonts w:ascii="Arial" w:cs="Arial" w:eastAsia="Arial" w:hAnsi="Arial"/>
          <w:sz w:val="18"/>
          <w:szCs w:val="18"/>
          <w:b w:val="1"/>
          <w:bCs w:val="1"/>
          <w:color w:val="auto"/>
        </w:rPr>
      </w:pPr>
    </w:p>
    <w:p>
      <w:pPr>
        <w:ind w:left="34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There were no changes to goodwill during the 26-week period ended June 30, 2024.</w:t>
      </w:r>
    </w:p>
    <w:p>
      <w:pPr>
        <w:spacing w:after="0" w:line="140"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No goodwill impairment charges were incurred during the 13-week and 26-week periods ended June 30, 2024 and July 2, 2023. Potential changes in the Company's costs and operating structure, the implementation of synergies, and overall performance in the automotive aftermarket industry, could negatively impact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June 30, 2024</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12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(61,509)</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208,441</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(5,931)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7,844</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(14,532)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12,144</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2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(81,972)</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228,429</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175,054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175,054</w:t>
            </w:r>
          </w:p>
        </w:tc>
      </w:tr>
      <w:tr>
        <w:trPr>
          <w:trHeight w:val="369"/>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December 31, 2023</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12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(55,732)</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214,218</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(5,569)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8,206</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(13,800)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12,876</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2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(75,101)</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235,300</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175,165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175,165</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June 30, 2024:</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2024 (excluding the twenty-six weeks ended June 30, 2024)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6,872</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13,713</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13,608</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13,602</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13,602</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167,032</w:t>
            </w:r>
          </w:p>
        </w:tc>
      </w:tr>
      <w:tr>
        <w:trPr>
          <w:trHeight w:val="20"/>
        </w:trPr>
        <w:tc>
          <w:tcPr>
            <w:tcW w:w="9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228,429</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of the Company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3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June 30, 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freight</w:t>
            </w:r>
          </w:p>
        </w:tc>
        <w:tc>
          <w:tcPr>
            <w:tcW w:w="3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4,652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employee compensation and benefits</w:t>
            </w:r>
          </w:p>
        </w:tc>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11,696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returns and allowances</w:t>
            </w:r>
          </w:p>
        </w:tc>
        <w:tc>
          <w:tcPr>
            <w:tcW w:w="2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11,267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taxes</w:t>
            </w:r>
          </w:p>
        </w:tc>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1,475</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4,948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other</w:t>
            </w:r>
          </w:p>
        </w:tc>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7,089</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4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accrued liabilities</w:t>
            </w:r>
          </w:p>
        </w:tc>
        <w:tc>
          <w:tcPr>
            <w:tcW w:w="29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41,130</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42,129</w:t>
            </w:r>
          </w:p>
        </w:tc>
        <w:tc>
          <w:tcPr>
            <w:tcW w:w="240" w:type="dxa"/>
            <w:vAlign w:val="bottom"/>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4440" w:type="dxa"/>
            <w:vAlign w:val="bottom"/>
            <w:tcBorders>
              <w:top w:val="single" w:sz="8" w:color="CCEEFF"/>
            </w:tcBorders>
          </w:tcPr>
          <w:p>
            <w:pPr>
              <w:spacing w:after="0"/>
              <w:rPr>
                <w:sz w:val="24"/>
                <w:szCs w:val="24"/>
                <w:color w:val="auto"/>
              </w:rPr>
            </w:pPr>
          </w:p>
        </w:tc>
        <w:tc>
          <w:tcPr>
            <w:tcW w:w="2960" w:type="dxa"/>
            <w:vAlign w:val="bottom"/>
            <w:tcBorders>
              <w:top w:val="single" w:sz="8" w:color="CCEEFF"/>
            </w:tcBorders>
          </w:tcPr>
          <w:p>
            <w:pPr>
              <w:jc w:val="right"/>
              <w:ind w:right="193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June 30, 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lien term loan due November 17, 2028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564,219</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592,505</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Revolver</w:t>
            </w:r>
          </w:p>
        </w:tc>
        <w:tc>
          <w:tcPr>
            <w:tcW w:w="14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1,974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4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(9,182)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(10,308)</w:t>
            </w:r>
          </w:p>
        </w:tc>
      </w:tr>
      <w:tr>
        <w:trPr>
          <w:trHeight w:val="20"/>
        </w:trPr>
        <w:tc>
          <w:tcPr>
            <w:tcW w:w="7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556,135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584,171</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4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(7,461)</w:t>
            </w:r>
          </w:p>
        </w:tc>
      </w:tr>
      <w:tr>
        <w:trPr>
          <w:trHeight w:val="20"/>
        </w:trPr>
        <w:tc>
          <w:tcPr>
            <w:tcW w:w="7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548,698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576,710</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 Proceeds from the credit facility were used to repay in full the Company’s obligations under its previously existing first lien and second lien notes and to pay $13,413 in deferred financing fees related to the refinancing.</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$2,150 in outstanding letters of credit on June 30, 2024.</w:t>
      </w:r>
    </w:p>
    <w:p>
      <w:pPr>
        <w:spacing w:after="0" w:line="155"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2023, no excess cash flow payment is required in 2024. Any such payments offset future mandatory quarterly payments. The Credit Agreement permits voluntary prepayments at any time, in whole or in part. The Company repurchased $25,000 outstanding principal on its first lien term loan at a discount to par during the 26-week period ended June 30, 2024.</w:t>
      </w:r>
    </w:p>
    <w:p>
      <w:pPr>
        <w:spacing w:after="0" w:line="171"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As of June 30, 2024, amounts outstanding under the credit facility accrue interest at a rate equal to either the Secured Overnight Financing Rate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June 30, 2024, the weighted average interest rate on the Company's borrowings under the credit facility was 9.2%.</w:t>
      </w:r>
    </w:p>
    <w:p>
      <w:pPr>
        <w:spacing w:after="0" w:line="163"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 xml:space="preserve">The Company has entered into an interest rate collar in the notional amount of $500,000 to hedge the Company's exposure to fluctuations in interest rates on its variable-rate debt. Refer to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additional information.</w:t>
      </w:r>
    </w:p>
    <w:p>
      <w:pPr>
        <w:spacing w:after="0" w:line="14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Obligations under the Credit Agreement are secured by substantially all of the Company’s assets, including a secured interest in the Company's headquarter, with a carrying value of $5,847. The Credit Agreement includes representations and warranties and affirmative and negative covenants customary for financings of this type, including, but not limited to, limitations on restricted payments, additional borrowings, additional investments, and asset sales.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In February 2023, the Company entered into an amendment to the Credit Agreement which, among other things, increases the Total Leverage Ratio applicable under the Credit Agreement as of the quarter ending April 2, 2023 to initially 7.25:1.00, and provides for modified step-down levels for such covenant thereafter through the fiscal quarter ending June 30, 2024 (the “Covenant Relief Period”). As of June 30, 2024, the required Total Leverage Ratio was5.00:1.00.As an ongoing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April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$1,427 of deferred financing fees related to these amendments. On June 30, 2024, the Company was in compliance with all financial covenants.</w:t>
      </w:r>
    </w:p>
    <w:p>
      <w:pPr>
        <w:spacing w:after="0" w:line="172"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June 30, 2024 are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rPr>
              <w:t>Debt Issuance</w:t>
            </w:r>
          </w:p>
        </w:tc>
      </w:tr>
      <w:tr>
        <w:trPr>
          <w:trHeight w:val="221"/>
        </w:trPr>
        <w:tc>
          <w:tcPr>
            <w:tcW w:w="7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Costs</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2024 (excluding the twenty-six weeks ended June 30, 2024)</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3,733</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871</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1,876</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2,034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2,209</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541,219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2,192</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565,317</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9,182</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COMMON STOCK WARRANTS AND EARN-OUT LIABILITY</w:t>
      </w:r>
    </w:p>
    <w:p>
      <w:pPr>
        <w:spacing w:after="0" w:line="198"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Upon the Closing, there were 14,666,644 Warrants, consisting of 9,999,977 public warrants ("Public Warrants") and 4,666,667 private warrants ("Private Warrants" and together with the Public Warrants, the “Warrants”), outstanding to purchase shares of Common Stock that were issued by Empower prior to the Business Combination. Each Warrant entitles the registered holder to purchase one share of Common Stock at a price of $ 11.50 per share, subject to adjustments,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Empower Sponsor Holdings, LLC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54" w:lineRule="auto"/>
        <w:rPr>
          <w:sz w:val="20"/>
          <w:szCs w:val="20"/>
          <w:color w:val="auto"/>
        </w:rPr>
      </w:pPr>
      <w:r>
        <w:rPr>
          <w:rFonts w:ascii="Arial" w:cs="Arial" w:eastAsia="Arial" w:hAnsi="Arial"/>
          <w:sz w:val="17"/>
          <w:szCs w:val="17"/>
          <w:color w:val="auto"/>
        </w:rPr>
        <w:t>The Company may redeem the Public Warrants at a price of $0.01 per warrant upon 30 days' notice if the closing price of Common Stock equals or exceeds $ 18.00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5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and the Company will use its commercially reasonable best efforts to register or qualify the shares under applicable blue-sky laws to the extent an exemption is not available.</w:t>
      </w:r>
    </w:p>
    <w:p>
      <w:pPr>
        <w:spacing w:after="0" w:line="160"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June 30, 2024 and December 31, 2023, a warrant liability with a fair value of $1,854 and $8,383, respectively, was reflected as a long-term liability in the condensed consolidated balance sheet. A decrease of $3,402 and an increase of $2,017 in the fair value of the warrant liability was reflected as change in fair value of warrant liability in the condensed consolidated statements of comprehensive income for the 13-week periods ended June 30, 2024 and July 2, 2023, respectively. A decrease of $6,529 and an increase of $3,452 in the fair value of the warrant liability was reflected as change in fair value of warrant liability in the condensed consolidated statements of comprehensive income for the 26-week periods ended June 30, 2024 and July 2, 2023, respectively.</w:t>
      </w:r>
    </w:p>
    <w:p>
      <w:pPr>
        <w:spacing w:after="0" w:line="170"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As of June 30, 2024 and December 31, 2023, an earn-out liability with a fair value of $1,772 and $3,479, respectively, was reflected as a long-term liability in the condensed consolidated balance sheet. A decrease of $1,058 and an increase of $961 in the fair value of the earn-out liability was reflected as change in fair value of earn-out liability in the condensed consolidated statements of comprehensive income for the 13-week periods ended June 30, 2024 and July 2, 2023, respectively. A decrease of $1,707 and an increase of $1,389 in the fair value of the earn-out liability was reflected as change in fair value of earn-out liability in the condensed consolidated statements of comprehensive income for the 26-week periods ended June 30, 2024 and July 2, 2023, respectively.</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98"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Bank, N.A. ("Wells Fargo") with a notional amount of $500,000 that expires on February 18, 2026. The Collar has a floor of 2.811% and a cap of 5% (based on three-month SOFR). The structure of this Collar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spacing w:after="0" w:line="16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As of June 30, 2024, the Company recognized a derivative asset of $1,191 for the Collar in other noncurrent assets on the condensed consolidated balance sheet. The Company recorded a net change in the fair value of the Collar as a decrease to interest expense of $74 and $2,355, for the 13-week and 26-week periods ended June 30, 2024, respectively. Cash receipts for the Collar totaled $399 and $868 for the 13-week and 26-week periods ended June 30, 2024, respectively.</w:t>
      </w:r>
    </w:p>
    <w:p>
      <w:pPr>
        <w:spacing w:after="0" w:line="160"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8"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0"/>
          </w:tcPr>
          <w:p>
            <w:pPr>
              <w:jc w:val="right"/>
              <w:ind w:right="190"/>
              <w:spacing w:after="0"/>
              <w:rPr>
                <w:sz w:val="20"/>
                <w:szCs w:val="20"/>
                <w:color w:val="auto"/>
              </w:rPr>
            </w:pPr>
            <w:r>
              <w:rPr>
                <w:rFonts w:ascii="Arial" w:cs="Arial" w:eastAsia="Arial" w:hAnsi="Arial"/>
                <w:sz w:val="18"/>
                <w:szCs w:val="18"/>
                <w:color w:val="auto"/>
              </w:rPr>
              <w:t>Fair Value Measured on June 30, 2024</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17"/>
                <w:szCs w:val="17"/>
                <w:color w:val="auto"/>
              </w:rPr>
            </w:pPr>
          </w:p>
        </w:tc>
        <w:tc>
          <w:tcPr>
            <w:tcW w:w="84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Interest rate collar</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1,191</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1,191</w:t>
            </w:r>
          </w:p>
        </w:tc>
      </w:tr>
      <w:tr>
        <w:trPr>
          <w:trHeight w:val="203"/>
        </w:trPr>
        <w:tc>
          <w:tcPr>
            <w:tcW w:w="5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1,245</w:t>
            </w:r>
          </w:p>
        </w:tc>
        <w:tc>
          <w:tcPr>
            <w:tcW w:w="3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1,245</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609</w:t>
            </w:r>
          </w:p>
        </w:tc>
        <w:tc>
          <w:tcPr>
            <w:tcW w:w="3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609</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1,772</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1,245</w:t>
            </w:r>
          </w:p>
        </w:tc>
        <w:tc>
          <w:tcPr>
            <w:tcW w:w="1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2,381</w:t>
            </w:r>
          </w:p>
        </w:tc>
        <w:tc>
          <w:tcPr>
            <w:tcW w:w="18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3,626</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color w:val="auto"/>
              </w:rPr>
              <w:t>Fair Value Measured on December 31, 2023</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17"/>
                <w:szCs w:val="17"/>
                <w:color w:val="auto"/>
              </w:rPr>
            </w:pPr>
          </w:p>
        </w:tc>
        <w:tc>
          <w:tcPr>
            <w:tcW w:w="84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5,480</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5,480</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2,903</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2,903</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3,479</w:t>
            </w:r>
          </w:p>
        </w:tc>
        <w:tc>
          <w:tcPr>
            <w:tcW w:w="3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3,479</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collar liability</w:t>
            </w: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1,164</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5,480</w:t>
            </w:r>
          </w:p>
        </w:tc>
        <w:tc>
          <w:tcPr>
            <w:tcW w:w="1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1,164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6,382</w:t>
            </w:r>
          </w:p>
        </w:tc>
        <w:tc>
          <w:tcPr>
            <w:tcW w:w="18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13,026</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As of June 30, 2024, the Company's derivative liabilities for its Private and Public Warrants, earn-out liability, and derivative asset for its Collar are measured at fair value on a recurring basis (see Note 7, “</w:t>
      </w:r>
      <w:r>
        <w:rPr>
          <w:rFonts w:ascii="Arial" w:cs="Arial" w:eastAsia="Arial" w:hAnsi="Arial"/>
          <w:sz w:val="18"/>
          <w:szCs w:val="18"/>
          <w:i w:val="1"/>
          <w:iCs w:val="1"/>
          <w:color w:val="auto"/>
        </w:rPr>
        <w:t>Common Stock Warrants and Earn-Out Liability,</w:t>
      </w:r>
      <w:r>
        <w:rPr>
          <w:rFonts w:ascii="Arial" w:cs="Arial" w:eastAsia="Arial" w:hAnsi="Arial"/>
          <w:sz w:val="18"/>
          <w:szCs w:val="18"/>
          <w:color w:val="auto"/>
        </w:rPr>
        <w:t>” and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more details). The fair values of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assets on the condensed consolidated balance sheet,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Changes in the fair value of the Collar is recognized as an adjustment to interest expense in the condensed consolidated statements of comprehensive income. Changes in the fair value of the derivative liabilities related to Warrants and the earn-out liability and changes in the fair value of the Collar are recognized in net cash provided by operating activities on the condensed consolidated statements of cash flows.</w:t>
      </w:r>
    </w:p>
    <w:p>
      <w:pPr>
        <w:spacing w:after="0" w:line="17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8"/>
                <w:szCs w:val="18"/>
                <w:color w:val="auto"/>
              </w:rPr>
            </w:pPr>
          </w:p>
        </w:tc>
      </w:tr>
      <w:tr>
        <w:trPr>
          <w:trHeight w:val="221"/>
        </w:trPr>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June 30, 2024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8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Strike price</w:t>
            </w:r>
          </w:p>
        </w:tc>
        <w:tc>
          <w:tcPr>
            <w:tcW w:w="3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11.50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life (in years)</w:t>
            </w:r>
          </w:p>
        </w:tc>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3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Price threshold</w:t>
            </w:r>
          </w:p>
        </w:tc>
        <w:tc>
          <w:tcPr>
            <w:tcW w:w="3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20"/>
                <w:szCs w:val="20"/>
                <w:color w:val="auto"/>
              </w:rPr>
            </w:pPr>
          </w:p>
        </w:tc>
      </w:tr>
      <w:tr>
        <w:trPr>
          <w:trHeight w:val="386"/>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00" w:type="dxa"/>
            <w:vAlign w:val="bottom"/>
          </w:tcPr>
          <w:p>
            <w:pPr>
              <w:jc w:val="right"/>
              <w:ind w:right="179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r>
      <w:tr>
        <w:trPr>
          <w:trHeight w:val="221"/>
        </w:trPr>
        <w:tc>
          <w:tcPr>
            <w:tcW w:w="46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June 30, 2024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27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4.87</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4.04</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62.92%</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67.20%</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4.31%</w:t>
            </w:r>
          </w:p>
        </w:tc>
        <w:tc>
          <w:tcPr>
            <w:tcW w:w="14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3.79%</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hurdle</w:t>
            </w:r>
          </w:p>
        </w:tc>
        <w:tc>
          <w:tcPr>
            <w:tcW w:w="2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15.00</w:t>
            </w:r>
          </w:p>
        </w:tc>
      </w:tr>
    </w:tbl>
    <w:p>
      <w:pPr>
        <w:spacing w:after="0" w:line="18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As of June 30, 2024 and December 31, 2023,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liabilities during the 26-week periods ended June 30, 2024 and July 2, 2023 is as follows: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Private Warrants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Earn-Out Liability</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2022</w:t>
            </w:r>
          </w:p>
        </w:tc>
        <w:tc>
          <w:tcPr>
            <w:tcW w:w="2100" w:type="dxa"/>
            <w:vAlign w:val="bottom"/>
            <w:gridSpan w:val="2"/>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1,581</w:t>
            </w:r>
          </w:p>
        </w:tc>
        <w:tc>
          <w:tcPr>
            <w:tcW w:w="620" w:type="dxa"/>
            <w:vAlign w:val="bottom"/>
            <w:gridSpan w:val="2"/>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1,176</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2,757</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Losses included in earnings</w:t>
            </w: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428</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946</w:t>
            </w:r>
          </w:p>
        </w:tc>
      </w:tr>
      <w:tr>
        <w:trPr>
          <w:trHeight w:val="20"/>
        </w:trPr>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1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July 2, 2023</w:t>
            </w:r>
          </w:p>
        </w:tc>
        <w:tc>
          <w:tcPr>
            <w:tcW w:w="15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2,099</w:t>
            </w:r>
          </w:p>
        </w:tc>
        <w:tc>
          <w:tcPr>
            <w:tcW w:w="620" w:type="dxa"/>
            <w:vAlign w:val="bottom"/>
            <w:gridSpan w:val="2"/>
            <w:shd w:val="clear" w:color="auto" w:fill="CCEEFF"/>
          </w:tcPr>
          <w:p>
            <w:pPr>
              <w:jc w:val="right"/>
              <w:ind w:right="35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1,604</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3,703</w:t>
            </w:r>
          </w:p>
        </w:tc>
      </w:tr>
      <w:tr>
        <w:trPr>
          <w:trHeight w:val="183"/>
        </w:trPr>
        <w:tc>
          <w:tcPr>
            <w:tcW w:w="410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2023</w:t>
            </w:r>
          </w:p>
        </w:tc>
        <w:tc>
          <w:tcPr>
            <w:tcW w:w="2100" w:type="dxa"/>
            <w:vAlign w:val="bottom"/>
            <w:gridSpan w:val="2"/>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2,903</w:t>
            </w:r>
          </w:p>
        </w:tc>
        <w:tc>
          <w:tcPr>
            <w:tcW w:w="62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6,382</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Gains included in earnings</w:t>
            </w: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(2,294)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(1,707)</w:t>
            </w: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(4,001)</w:t>
            </w:r>
          </w:p>
        </w:tc>
      </w:tr>
      <w:tr>
        <w:trPr>
          <w:trHeight w:val="20"/>
        </w:trPr>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2024</w:t>
            </w:r>
          </w:p>
        </w:tc>
        <w:tc>
          <w:tcPr>
            <w:tcW w:w="1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609</w:t>
            </w:r>
          </w:p>
        </w:tc>
        <w:tc>
          <w:tcPr>
            <w:tcW w:w="620" w:type="dxa"/>
            <w:vAlign w:val="bottom"/>
            <w:gridSpan w:val="2"/>
            <w:shd w:val="clear" w:color="auto" w:fill="CCEEFF"/>
          </w:tcPr>
          <w:p>
            <w:pPr>
              <w:jc w:val="right"/>
              <w:ind w:right="35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1,772</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2,381</w:t>
            </w: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62"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69"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more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by product category.</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June 30, 2024</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30, 2024</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Electronic systems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71,615</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74,401</w:t>
            </w:r>
          </w:p>
        </w:tc>
        <w:tc>
          <w:tcPr>
            <w:tcW w:w="4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135,495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143,152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Mechanical systems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39,765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40,920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78,160</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84,238</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Exhaust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17,384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29,189</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33,213</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24,429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26,382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47,813</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53,847</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Safety</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33,017</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169,496</w:t>
            </w:r>
          </w:p>
        </w:tc>
        <w:tc>
          <w:tcPr>
            <w:tcW w:w="20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175,262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328,132</w:t>
            </w:r>
          </w:p>
        </w:tc>
        <w:tc>
          <w:tcPr>
            <w:tcW w:w="18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347,467</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ectPr>
          <w:pgSz w:w="11900" w:h="16838" w:orient="portrait"/>
          <w:cols w:equalWidth="0" w:num="1">
            <w:col w:w="11240"/>
          </w:cols>
          <w:pgMar w:left="320" w:top="121" w:right="339" w:bottom="1440" w:gutter="0" w:footer="0" w:header="0"/>
        </w:sectPr>
      </w:pPr>
    </w:p>
    <w:p>
      <w:pPr>
        <w:spacing w:after="0" w:line="19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For the 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8890</wp:posOffset>
            </wp:positionV>
            <wp:extent cx="1654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 w:lineRule="exact"/>
        <w:rPr>
          <w:sz w:val="20"/>
          <w:szCs w:val="20"/>
          <w:color w:val="auto"/>
        </w:rPr>
      </w:pPr>
    </w:p>
    <w:p>
      <w:pPr>
        <w:ind w:left="5600"/>
        <w:spacing w:after="0"/>
        <w:tabs>
          <w:tab w:leader="none" w:pos="7080" w:val="left"/>
        </w:tabs>
        <w:rPr>
          <w:sz w:val="20"/>
          <w:szCs w:val="20"/>
          <w:color w:val="auto"/>
        </w:rPr>
      </w:pPr>
      <w:r>
        <w:rPr>
          <w:rFonts w:ascii="Arial" w:cs="Arial" w:eastAsia="Arial" w:hAnsi="Arial"/>
          <w:sz w:val="18"/>
          <w:szCs w:val="18"/>
          <w:color w:val="auto"/>
        </w:rPr>
        <w:t>June 30, 2024</w:t>
      </w:r>
      <w:r>
        <w:rPr>
          <w:sz w:val="20"/>
          <w:szCs w:val="20"/>
          <w:color w:val="auto"/>
        </w:rPr>
        <w:tab/>
      </w:r>
      <w:r>
        <w:rPr>
          <w:rFonts w:ascii="Arial" w:cs="Arial" w:eastAsia="Arial" w:hAnsi="Arial"/>
          <w:sz w:val="17"/>
          <w:szCs w:val="17"/>
          <w:color w:val="auto"/>
        </w:rPr>
        <w:t>July 2, 2023</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340" w:hanging="12"/>
        <w:spacing w:after="0" w:line="265" w:lineRule="auto"/>
        <w:rPr>
          <w:sz w:val="20"/>
          <w:szCs w:val="20"/>
          <w:color w:val="auto"/>
        </w:rPr>
      </w:pPr>
      <w:r>
        <w:rPr>
          <w:rFonts w:ascii="Arial" w:cs="Arial" w:eastAsia="Arial" w:hAnsi="Arial"/>
          <w:sz w:val="18"/>
          <w:szCs w:val="18"/>
          <w:u w:val="single" w:color="auto"/>
          <w:color w:val="auto"/>
        </w:rPr>
        <w:t xml:space="preserve">For the twenty-six weeks ended </w:t>
      </w:r>
      <w:r>
        <w:rPr>
          <w:rFonts w:ascii="Arial" w:cs="Arial" w:eastAsia="Arial" w:hAnsi="Arial"/>
          <w:sz w:val="18"/>
          <w:szCs w:val="18"/>
          <w:color w:val="auto"/>
        </w:rPr>
        <w:t>June 30, 2024 July 2, 2023</w:t>
      </w:r>
    </w:p>
    <w:p>
      <w:pPr>
        <w:spacing w:after="0" w:line="1" w:lineRule="exact"/>
        <w:rPr>
          <w:sz w:val="20"/>
          <w:szCs w:val="20"/>
          <w:color w:val="auto"/>
        </w:rPr>
      </w:pPr>
    </w:p>
    <w:p>
      <w:pPr>
        <w:sectPr>
          <w:pgSz w:w="11900" w:h="16838" w:orient="portrait"/>
          <w:cols w:equalWidth="0" w:num="2">
            <w:col w:w="8060" w:space="320"/>
            <w:col w:w="2860"/>
          </w:cols>
          <w:pgMar w:left="320" w:top="121" w:right="339" w:bottom="1440" w:gutter="0" w:footer="0" w:header="0"/>
          <w:type w:val="continuous"/>
        </w:sectPr>
      </w:pPr>
    </w:p>
    <w:tbl>
      <w:tblPr>
        <w:tblLayout w:type="fixed"/>
        <w:tblInd w:w="340" w:type="dxa"/>
        <w:tblCellMar>
          <w:top w:w="0" w:type="dxa"/>
          <w:left w:w="0" w:type="dxa"/>
          <w:bottom w:w="0" w:type="dxa"/>
          <w:right w:w="0" w:type="dxa"/>
        </w:tblCellMar>
      </w:tblPr>
      <w:tr>
        <w:trPr>
          <w:trHeight w:val="20"/>
        </w:trPr>
        <w:tc>
          <w:tcPr>
            <w:tcW w:w="5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163,422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170,817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316,747</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337,235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Italy</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11,385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10,232</w:t>
            </w:r>
          </w:p>
        </w:tc>
      </w:tr>
      <w:tr>
        <w:trPr>
          <w:trHeight w:val="20"/>
        </w:trPr>
        <w:tc>
          <w:tcPr>
            <w:tcW w:w="5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169,496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175,262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328,132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347,467</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98"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3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gridSpan w:val="5"/>
          </w:tcPr>
          <w:p>
            <w:pPr>
              <w:jc w:val="right"/>
              <w:ind w:right="320"/>
              <w:spacing w:after="0"/>
              <w:rPr>
                <w:sz w:val="20"/>
                <w:szCs w:val="20"/>
                <w:color w:val="auto"/>
              </w:rPr>
            </w:pPr>
            <w:r>
              <w:rPr>
                <w:rFonts w:ascii="Arial" w:cs="Arial" w:eastAsia="Arial" w:hAnsi="Arial"/>
                <w:sz w:val="18"/>
                <w:szCs w:val="18"/>
                <w:color w:val="auto"/>
                <w:w w:val="99"/>
              </w:rPr>
              <w:t>For the thirteen weeks ended</w:t>
            </w:r>
          </w:p>
        </w:tc>
        <w:tc>
          <w:tcPr>
            <w:tcW w:w="60" w:type="dxa"/>
            <w:vAlign w:val="bottom"/>
          </w:tcPr>
          <w:p>
            <w:pPr>
              <w:spacing w:after="0"/>
              <w:rPr>
                <w:sz w:val="19"/>
                <w:szCs w:val="19"/>
                <w:color w:val="auto"/>
              </w:rPr>
            </w:pPr>
          </w:p>
        </w:tc>
        <w:tc>
          <w:tcPr>
            <w:tcW w:w="2740" w:type="dxa"/>
            <w:vAlign w:val="bottom"/>
            <w:gridSpan w:val="6"/>
          </w:tcPr>
          <w:p>
            <w:pPr>
              <w:ind w:left="20"/>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3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6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8"/>
              </w:rPr>
              <w:t>June 30, 2024</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July 2, 2023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9"/>
              </w:rPr>
              <w:t>June 30, 2024</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July 2, 2023</w:t>
            </w:r>
          </w:p>
        </w:tc>
        <w:tc>
          <w:tcPr>
            <w:tcW w:w="160" w:type="dxa"/>
            <w:vAlign w:val="bottom"/>
          </w:tcPr>
          <w:p>
            <w:pPr>
              <w:spacing w:after="0"/>
              <w:rPr>
                <w:sz w:val="17"/>
                <w:szCs w:val="17"/>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w:t>
            </w:r>
          </w:p>
        </w:tc>
        <w:tc>
          <w:tcPr>
            <w:tcW w:w="1860" w:type="dxa"/>
            <w:vAlign w:val="bottom"/>
            <w:gridSpan w:val="2"/>
            <w:shd w:val="clear" w:color="auto" w:fill="CCEEFF"/>
          </w:tcPr>
          <w:p>
            <w:pPr>
              <w:ind w:left="174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2,055</w:t>
            </w: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4,098</w:t>
            </w:r>
          </w:p>
        </w:tc>
        <w:tc>
          <w:tcPr>
            <w:tcW w:w="46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1,164</w:t>
            </w: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5,664</w:t>
            </w:r>
          </w:p>
        </w:tc>
      </w:tr>
      <w:tr>
        <w:trPr>
          <w:trHeight w:val="239"/>
        </w:trPr>
        <w:tc>
          <w:tcPr>
            <w:tcW w:w="3340" w:type="dxa"/>
            <w:vAlign w:val="bottom"/>
          </w:tcPr>
          <w:p>
            <w:pPr>
              <w:spacing w:after="0"/>
              <w:rPr>
                <w:sz w:val="20"/>
                <w:szCs w:val="20"/>
                <w:color w:val="auto"/>
              </w:rPr>
            </w:pPr>
            <w:r>
              <w:rPr>
                <w:rFonts w:ascii="Arial" w:cs="Arial" w:eastAsia="Arial" w:hAnsi="Arial"/>
                <w:sz w:val="18"/>
                <w:szCs w:val="18"/>
                <w:color w:val="auto"/>
              </w:rPr>
              <w:t>Effective tax rate</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24.7%</w:t>
            </w:r>
          </w:p>
        </w:tc>
      </w:tr>
    </w:tbl>
    <w:p>
      <w:pPr>
        <w:spacing w:after="0" w:line="147"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For the 13-week period ended June 30, 2024, the Company's effective tax rate of 10.7% differed from the 21% federal statutory rate primarily due to permanent differences related to changes in fair value of the warrant and earn-out liabilities recognized during the period and the impact of foreign taxes in higher tax rate jurisdictions. For the 13-week period ended July 2, 2023, the Company’s effective tax rate of 24.0% differed from the 21% federal statutory rate primarily due to permanent differences related to changes in the fair value of the warrant and earn-out liabilities recognized during the period.</w:t>
      </w:r>
    </w:p>
    <w:p>
      <w:pPr>
        <w:spacing w:after="0" w:line="163"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For the 26-week period ended June 30, 2024, the Company's effective tax rate of 5.3% differed from the 21% federal statutory rate primarily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was recorded during the year as a discrete adjustment. For the 26-week period ended July 2, 2023, the Company’s effective tax rate of 24.7% differed from the 21% federal statutory rate primarily due to permanent differences related to changes in the fair value of the warrant and earn-out liabilities recognized during the period.</w:t>
      </w:r>
    </w:p>
    <w:p>
      <w:pPr>
        <w:sectPr>
          <w:pgSz w:w="11900" w:h="16838" w:orient="portrait"/>
          <w:cols w:equalWidth="0" w:num="1">
            <w:col w:w="11240"/>
          </w:cols>
          <w:pgMar w:left="320" w:top="121" w:right="339" w:bottom="1440" w:gutter="0" w:footer="0" w:header="0"/>
          <w:type w:val="continuous"/>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320" w:type="dxa"/>
            <w:vAlign w:val="bottom"/>
            <w:tcBorders>
              <w:top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June 30, 2024</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top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June 30, 2024</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17,105</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12,979</w:t>
            </w: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20,835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17,226</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118,470,358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117,221,419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118,171,093</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117,187,287</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RSUs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790,878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647,503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1,110,038</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369,370</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Dilutive effect of potential common shares from PSUs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102,151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119,261,236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117,868,922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119,383,282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117,556,657</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0.14</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0.11</w:t>
            </w:r>
          </w:p>
        </w:tc>
        <w:tc>
          <w:tcPr>
            <w:tcW w:w="2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0.15</w:t>
            </w:r>
          </w:p>
        </w:tc>
      </w:tr>
      <w:tr>
        <w:trPr>
          <w:trHeight w:val="239"/>
        </w:trPr>
        <w:tc>
          <w:tcPr>
            <w:tcW w:w="522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bl>
    <w:p>
      <w:pPr>
        <w:spacing w:after="0" w:line="1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are excluded from the calculation of diluted earnings per share.</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360"/>
              <w:spacing w:after="0"/>
              <w:rPr>
                <w:sz w:val="20"/>
                <w:szCs w:val="20"/>
                <w:color w:val="auto"/>
              </w:rPr>
            </w:pPr>
            <w:r>
              <w:rPr>
                <w:rFonts w:ascii="Arial" w:cs="Arial" w:eastAsia="Arial" w:hAnsi="Arial"/>
                <w:sz w:val="18"/>
                <w:szCs w:val="18"/>
                <w:color w:val="auto"/>
              </w:rPr>
              <w:t>For the twenty-six weeks</w:t>
            </w:r>
          </w:p>
        </w:tc>
      </w:tr>
      <w:tr>
        <w:trPr>
          <w:trHeight w:val="221"/>
        </w:trPr>
        <w:tc>
          <w:tcPr>
            <w:tcW w:w="5220" w:type="dxa"/>
            <w:vAlign w:val="bottom"/>
          </w:tcPr>
          <w:p>
            <w:pPr>
              <w:spacing w:after="0"/>
              <w:rPr>
                <w:sz w:val="19"/>
                <w:szCs w:val="19"/>
                <w:color w:val="auto"/>
              </w:rPr>
            </w:pPr>
          </w:p>
        </w:tc>
        <w:tc>
          <w:tcPr>
            <w:tcW w:w="2820" w:type="dxa"/>
            <w:vAlign w:val="bottom"/>
            <w:gridSpan w:val="4"/>
          </w:tcPr>
          <w:p>
            <w:pPr>
              <w:jc w:val="right"/>
              <w:ind w:right="340"/>
              <w:spacing w:after="0"/>
              <w:rPr>
                <w:sz w:val="20"/>
                <w:szCs w:val="20"/>
                <w:color w:val="auto"/>
              </w:rPr>
            </w:pPr>
            <w:r>
              <w:rPr>
                <w:rFonts w:ascii="Arial" w:cs="Arial" w:eastAsia="Arial" w:hAnsi="Arial"/>
                <w:sz w:val="18"/>
                <w:szCs w:val="18"/>
                <w:color w:val="auto"/>
              </w:rPr>
              <w:t>For the thirteen weeks ended</w:t>
            </w:r>
          </w:p>
        </w:tc>
        <w:tc>
          <w:tcPr>
            <w:tcW w:w="2620" w:type="dxa"/>
            <w:vAlign w:val="bottom"/>
            <w:gridSpan w:val="4"/>
          </w:tcPr>
          <w:p>
            <w:pPr>
              <w:jc w:val="right"/>
              <w:ind w:right="1100"/>
              <w:spacing w:after="0"/>
              <w:rPr>
                <w:sz w:val="20"/>
                <w:szCs w:val="20"/>
                <w:color w:val="auto"/>
              </w:rPr>
            </w:pPr>
            <w:r>
              <w:rPr>
                <w:rFonts w:ascii="Arial" w:cs="Arial" w:eastAsia="Arial" w:hAnsi="Arial"/>
                <w:sz w:val="18"/>
                <w:szCs w:val="18"/>
                <w:color w:val="auto"/>
              </w:rPr>
              <w:t>ended</w:t>
            </w:r>
          </w:p>
        </w:tc>
      </w:tr>
      <w:tr>
        <w:trPr>
          <w:trHeight w:val="196"/>
        </w:trPr>
        <w:tc>
          <w:tcPr>
            <w:tcW w:w="5220" w:type="dxa"/>
            <w:vAlign w:val="bottom"/>
          </w:tcPr>
          <w:p>
            <w:pPr>
              <w:spacing w:after="0"/>
              <w:rPr>
                <w:sz w:val="17"/>
                <w:szCs w:val="17"/>
                <w:color w:val="auto"/>
              </w:rPr>
            </w:pPr>
          </w:p>
        </w:tc>
        <w:tc>
          <w:tcPr>
            <w:tcW w:w="1420" w:type="dxa"/>
            <w:vAlign w:val="bottom"/>
            <w:tcBorders>
              <w:top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June 30, 2024</w:t>
            </w:r>
          </w:p>
        </w:tc>
        <w:tc>
          <w:tcPr>
            <w:tcW w:w="11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July 2, 2023</w:t>
            </w: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June 30, 2024</w:t>
            </w:r>
          </w:p>
        </w:tc>
        <w:tc>
          <w:tcPr>
            <w:tcW w:w="11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Anti-dilutive shares excluded from calculation of diluted EPS:</w:t>
            </w: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Warrants</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14,633,311</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14,633,311</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options</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454,064</w:t>
            </w: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922,228</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454,064</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922,228</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Restricted stock units</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1,685,423</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1,224,507</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1,685,423</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1,224,507</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Performance stock units</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2,133,100</w:t>
            </w: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2,469,412</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2,133,100</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2,469,412</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Unvested Earn-Out Shares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1,093,750</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1,093,750</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1,093,750</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1,093,750</w:t>
            </w:r>
          </w:p>
        </w:tc>
      </w:tr>
      <w:tr>
        <w:trPr>
          <w:trHeight w:val="20"/>
        </w:trPr>
        <w:tc>
          <w:tcPr>
            <w:tcW w:w="5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anti-dilutive shares</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19,999,648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20,343,208</w:t>
            </w:r>
          </w:p>
        </w:tc>
        <w:tc>
          <w:tcPr>
            <w:tcW w:w="136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19,999,648</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20,343,208</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198"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under which awards, including stock options, restricted stock units ("RSUs") and performance stock units ("PSUs") may be granted to employees and non-employee directors. The 2021 Plan authorized 8,850,000 shares of Common Stock to be available for award grants. As of June 30, 2024, 4,517,226 shares of Common Stock remained available for future issuance under the 2021 Plan. On June 6, 2023, the Company granted 1,000,000 RSUs and 1,520,000 PSUs to its new President and Chief Executive Officer. These awards were granted outside of the 2021 Plan as employment inducement awards and did not require shareholder approval under the rules of the NYSE or otherwise.</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June 30, 2024</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30, 2024</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968</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1,167</w:t>
            </w:r>
          </w:p>
        </w:tc>
        <w:tc>
          <w:tcPr>
            <w:tcW w:w="5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1,815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Performance stock units</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885</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374</w:t>
            </w:r>
          </w:p>
        </w:tc>
      </w:tr>
      <w:tr>
        <w:trPr>
          <w:trHeight w:val="202"/>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w:t>
            </w:r>
          </w:p>
        </w:tc>
      </w:tr>
    </w:tbl>
    <w:p>
      <w:pPr>
        <w:spacing w:after="0" w:line="197"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All equity-based compensation expenses are recorded in selling, general and administrative costs in the condensed consolidated statements of comprehensive income.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RSUs and PSUs are collectively referred to as "Restricted Stock Awards". The Compensation Committee has awarded RSUs to select employees and non-employee directors and has awarded PSUs to select employees. The RSUs vest ratably over one to four years of continued employment.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June 30, 2024, there was $9,621 of unrecognized compensation cost related to unvested Restricted Stock Awards that is expected to be recognized over a remaining weighted average period of 2.1 years.</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weighted-average grant-date fair value of Restricted Stock Awards granted during the 26-week periods ended June 30, 2024 and July 2, 2023, was $4.12 and $2.59, respectively. The fair value of Restricted Stock Awards vested and converted to shares of Common Stock during the 26-week periods ended June 30, 2024 and July 2, 2023, was $5,262 and $158, respectively.</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Restricted Stock Award for the 26-week period ended June 30, 2024:</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3300" w:type="dxa"/>
            <w:vAlign w:val="bottom"/>
            <w:gridSpan w:val="5"/>
          </w:tcPr>
          <w:p>
            <w:pPr>
              <w:jc w:val="right"/>
              <w:ind w:right="320"/>
              <w:spacing w:after="0"/>
              <w:rPr>
                <w:sz w:val="20"/>
                <w:szCs w:val="20"/>
                <w:color w:val="auto"/>
              </w:rPr>
            </w:pPr>
            <w:r>
              <w:rPr>
                <w:rFonts w:ascii="Arial" w:cs="Arial" w:eastAsia="Arial" w:hAnsi="Arial"/>
                <w:sz w:val="18"/>
                <w:szCs w:val="18"/>
                <w:color w:val="auto"/>
              </w:rPr>
              <w:t>Unvested Restricted Stock Awards</w:t>
            </w:r>
          </w:p>
        </w:tc>
      </w:tr>
      <w:tr>
        <w:trPr>
          <w:trHeight w:val="177"/>
        </w:trPr>
        <w:tc>
          <w:tcPr>
            <w:tcW w:w="736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rPr>
              <w:t>Weighted Average</w:t>
            </w:r>
          </w:p>
        </w:tc>
        <w:tc>
          <w:tcPr>
            <w:tcW w:w="100" w:type="dxa"/>
            <w:vAlign w:val="bottom"/>
          </w:tcPr>
          <w:p>
            <w:pPr>
              <w:spacing w:after="0"/>
              <w:rPr>
                <w:sz w:val="15"/>
                <w:szCs w:val="15"/>
                <w:color w:val="auto"/>
              </w:rPr>
            </w:pPr>
          </w:p>
        </w:tc>
      </w:tr>
      <w:tr>
        <w:trPr>
          <w:trHeight w:val="203"/>
        </w:trPr>
        <w:tc>
          <w:tcPr>
            <w:tcW w:w="7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Grant Date Fair</w:t>
            </w:r>
          </w:p>
        </w:tc>
      </w:tr>
      <w:tr>
        <w:trPr>
          <w:trHeight w:val="221"/>
        </w:trPr>
        <w:tc>
          <w:tcPr>
            <w:tcW w:w="73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Number of RSAs</w:t>
            </w:r>
          </w:p>
        </w:tc>
        <w:tc>
          <w:tcPr>
            <w:tcW w:w="18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Value</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on December 31, 2023</w:t>
            </w:r>
          </w:p>
        </w:tc>
        <w:tc>
          <w:tcPr>
            <w:tcW w:w="1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4,904,801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2.86</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1,417,983</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4.12</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(1,325,521)</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2.83</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(474,592)</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3.13</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on June 30, 2024</w:t>
            </w:r>
          </w:p>
        </w:tc>
        <w:tc>
          <w:tcPr>
            <w:tcW w:w="164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4,522,671</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3.24</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96"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The PSUs granted under the 2021 Plan represent shares of Common Stock that are potentially issuable in the future based on a combination of performance and service requirements. On March 4, 2024, the Company granted 340,895 PSUs under the 2021 Plan to key employees with a grant date fair value of $4.22 and on March 18, 2024, the Company granted an additional 26,020 PSUs with a grant date fair value of $4.25. On April 1, the Company granted 5,654 PSUs with a grant date fair value of $4.49; on April 8, the Company granted 30,544 PSUs with a grant date fair value of $4.44; on April 15, the Company granted 36,144 PSUs with a grant date fair value of $4.15; on April 29, the Company granted 28,741 PSUs with a grant date fair value of $4.05; and on May 13, the Company granted 14,138 PSUs with a grant date fair value of $3.93.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0% to 150% of the initial target awards.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June 30, 2024, there was $206 of unrecognized compensation cost related to unvested stock options that is expected to be recognized over a remaining weighted-average period of 0.6 years.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26-week period ended June 30, 2024:</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Weighted</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Average</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Weighted</w:t>
            </w: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Remaining</w:t>
            </w:r>
          </w:p>
        </w:tc>
      </w:tr>
      <w:tr>
        <w:trPr>
          <w:trHeight w:val="203"/>
        </w:trPr>
        <w:tc>
          <w:tcPr>
            <w:tcW w:w="5640" w:type="dxa"/>
            <w:vAlign w:val="bottom"/>
          </w:tcPr>
          <w:p>
            <w:pPr>
              <w:spacing w:after="0"/>
              <w:rPr>
                <w:sz w:val="17"/>
                <w:szCs w:val="17"/>
                <w:color w:val="auto"/>
              </w:rPr>
            </w:pPr>
          </w:p>
        </w:tc>
        <w:tc>
          <w:tcPr>
            <w:tcW w:w="17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rPr>
              <w:t>Average</w:t>
            </w:r>
          </w:p>
        </w:tc>
        <w:tc>
          <w:tcPr>
            <w:tcW w:w="15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Contractual</w:t>
            </w:r>
          </w:p>
        </w:tc>
      </w:tr>
      <w:tr>
        <w:trPr>
          <w:trHeight w:val="221"/>
        </w:trPr>
        <w:tc>
          <w:tcPr>
            <w:tcW w:w="564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Stock Options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Term (years)</w:t>
            </w:r>
          </w:p>
        </w:tc>
        <w:tc>
          <w:tcPr>
            <w:tcW w:w="100" w:type="dxa"/>
            <w:vAlign w:val="bottom"/>
          </w:tcPr>
          <w:p>
            <w:pPr>
              <w:spacing w:after="0"/>
              <w:rPr>
                <w:sz w:val="19"/>
                <w:szCs w:val="19"/>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on December 31, 2023</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886,046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10.97</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(134,066)</w:t>
            </w:r>
          </w:p>
        </w:tc>
        <w:tc>
          <w:tcPr>
            <w:tcW w:w="14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11.03</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Expired</w:t>
            </w:r>
          </w:p>
        </w:tc>
        <w:tc>
          <w:tcPr>
            <w:tcW w:w="1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(297,916)</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10.90</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line="182" w:lineRule="exact"/>
              <w:rPr>
                <w:sz w:val="20"/>
                <w:szCs w:val="20"/>
                <w:color w:val="auto"/>
              </w:rPr>
            </w:pPr>
            <w:r>
              <w:rPr>
                <w:rFonts w:ascii="Arial" w:cs="Arial" w:eastAsia="Arial" w:hAnsi="Arial"/>
                <w:sz w:val="18"/>
                <w:szCs w:val="18"/>
                <w:color w:val="auto"/>
              </w:rPr>
              <w:t>Options outstanding on June 30, 2024</w:t>
            </w:r>
          </w:p>
        </w:tc>
        <w:tc>
          <w:tcPr>
            <w:tcW w:w="17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454,064</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11.01</w:t>
            </w:r>
          </w:p>
        </w:tc>
        <w:tc>
          <w:tcPr>
            <w:tcW w:w="15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7.26</w:t>
            </w:r>
          </w:p>
        </w:tc>
      </w:tr>
      <w:tr>
        <w:trPr>
          <w:trHeight w:val="20"/>
        </w:trPr>
        <w:tc>
          <w:tcPr>
            <w:tcW w:w="56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on June 30, 2024</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302,705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98"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10 years, inclusive of renewal options that the Company is reasonably certain to exercise.</w:t>
      </w:r>
    </w:p>
    <w:p>
      <w:pPr>
        <w:spacing w:after="0" w:line="155"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operating lease assets and obligations, and provides information associated with the measurement of operating lease obligations.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As of</w:t>
            </w:r>
          </w:p>
        </w:tc>
        <w:tc>
          <w:tcPr>
            <w:tcW w:w="1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77"/>
        </w:trPr>
        <w:tc>
          <w:tcPr>
            <w:tcW w:w="5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90"/>
              <w:spacing w:after="0" w:line="177" w:lineRule="exact"/>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5"/>
                <w:szCs w:val="15"/>
                <w:color w:val="auto"/>
              </w:rPr>
            </w:pPr>
          </w:p>
        </w:tc>
      </w:tr>
      <w:tr>
        <w:trPr>
          <w:trHeight w:val="221"/>
        </w:trPr>
        <w:tc>
          <w:tcPr>
            <w:tcW w:w="5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June 30, 2024</w:t>
            </w:r>
          </w:p>
        </w:tc>
        <w:tc>
          <w:tcPr>
            <w:tcW w:w="14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Operating right of use assets</w:t>
            </w: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29,767</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29,250</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Current operating lease liabilities - Accrued liabilities</w:t>
            </w: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4,302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4,948</w:t>
            </w:r>
          </w:p>
        </w:tc>
      </w:tr>
      <w:tr>
        <w:trPr>
          <w:trHeight w:val="203"/>
        </w:trPr>
        <w:tc>
          <w:tcPr>
            <w:tcW w:w="58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operating lease liabilities</w:t>
            </w:r>
          </w:p>
        </w:tc>
        <w:tc>
          <w:tcPr>
            <w:tcW w:w="1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26,435</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25,177</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580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160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30,737</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30,125</w:t>
            </w:r>
          </w:p>
        </w:tc>
      </w:tr>
      <w:tr>
        <w:trPr>
          <w:trHeight w:val="20"/>
        </w:trPr>
        <w:tc>
          <w:tcPr>
            <w:tcW w:w="5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8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Lease term and discount rate</w:t>
            </w: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7.2</w:t>
            </w:r>
          </w:p>
        </w:tc>
      </w:tr>
      <w:tr>
        <w:trPr>
          <w:trHeight w:val="203"/>
        </w:trPr>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Weighted average discount rate</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6.21%</w:t>
            </w:r>
          </w:p>
        </w:tc>
      </w:tr>
    </w:tbl>
    <w:p>
      <w:pPr>
        <w:spacing w:after="0" w:line="18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7"/>
          </w:tcPr>
          <w:p>
            <w:pPr>
              <w:ind w:left="14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June 30, 2024</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top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June 30, 2024</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lease expense:</w:t>
            </w: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expense</w:t>
            </w:r>
          </w:p>
        </w:tc>
        <w:tc>
          <w:tcPr>
            <w:tcW w:w="560" w:type="dxa"/>
            <w:vAlign w:val="bottom"/>
            <w:gridSpan w:val="2"/>
          </w:tcPr>
          <w:p>
            <w:pPr>
              <w:jc w:val="center"/>
              <w:ind w:right="13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1,707</w:t>
            </w:r>
          </w:p>
        </w:tc>
        <w:tc>
          <w:tcPr>
            <w:tcW w:w="5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3,506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3,293</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lease expense</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Variable lease expense</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169</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expense</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center"/>
              <w:ind w:right="230"/>
              <w:spacing w:after="0" w:line="18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4,396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4,440</w:t>
            </w:r>
          </w:p>
        </w:tc>
        <w:tc>
          <w:tcPr>
            <w:tcW w:w="240" w:type="dxa"/>
            <w:vAlign w:val="bottom"/>
          </w:tcPr>
          <w:p>
            <w:pPr>
              <w:spacing w:after="0"/>
              <w:rPr>
                <w:sz w:val="20"/>
                <w:szCs w:val="20"/>
                <w:color w:val="auto"/>
              </w:rPr>
            </w:pPr>
          </w:p>
        </w:tc>
      </w:tr>
      <w:tr>
        <w:trPr>
          <w:trHeight w:val="183"/>
        </w:trPr>
        <w:tc>
          <w:tcPr>
            <w:tcW w:w="340" w:type="dxa"/>
            <w:vAlign w:val="bottom"/>
          </w:tcPr>
          <w:p>
            <w:pPr>
              <w:spacing w:after="0"/>
              <w:rPr>
                <w:sz w:val="15"/>
                <w:szCs w:val="15"/>
                <w:color w:val="auto"/>
              </w:rPr>
            </w:pPr>
          </w:p>
        </w:tc>
        <w:tc>
          <w:tcPr>
            <w:tcW w:w="512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Supplemental cash flow information related to leases:</w:t>
            </w:r>
          </w:p>
        </w:tc>
        <w:tc>
          <w:tcPr>
            <w:tcW w:w="1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Pr>
          <w:p>
            <w:pPr>
              <w:spacing w:after="0"/>
              <w:rPr>
                <w:sz w:val="15"/>
                <w:szCs w:val="15"/>
                <w:color w:val="auto"/>
              </w:rPr>
            </w:pPr>
          </w:p>
        </w:tc>
      </w:tr>
      <w:tr>
        <w:trPr>
          <w:trHeight w:val="184"/>
        </w:trPr>
        <w:tc>
          <w:tcPr>
            <w:tcW w:w="340" w:type="dxa"/>
            <w:vAlign w:val="bottom"/>
          </w:tcPr>
          <w:p>
            <w:pPr>
              <w:spacing w:after="0"/>
              <w:rPr>
                <w:sz w:val="15"/>
                <w:szCs w:val="15"/>
                <w:color w:val="auto"/>
              </w:rPr>
            </w:pPr>
          </w:p>
        </w:tc>
        <w:tc>
          <w:tcPr>
            <w:tcW w:w="51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Cash paid for amounts included in measurement of operating</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60" w:type="dxa"/>
            <w:vAlign w:val="bottom"/>
            <w:gridSpan w:val="2"/>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w:t>
            </w:r>
          </w:p>
        </w:tc>
        <w:tc>
          <w:tcPr>
            <w:tcW w:w="240" w:type="dxa"/>
            <w:vAlign w:val="bottom"/>
          </w:tcPr>
          <w:p>
            <w:pPr>
              <w:spacing w:after="0"/>
              <w:rPr>
                <w:sz w:val="19"/>
                <w:szCs w:val="19"/>
                <w:color w:val="auto"/>
              </w:rPr>
            </w:pPr>
          </w:p>
        </w:tc>
      </w:tr>
      <w:tr>
        <w:trPr>
          <w:trHeight w:val="184"/>
        </w:trPr>
        <w:tc>
          <w:tcPr>
            <w:tcW w:w="340" w:type="dxa"/>
            <w:vAlign w:val="bottom"/>
          </w:tcPr>
          <w:p>
            <w:pPr>
              <w:spacing w:after="0"/>
              <w:rPr>
                <w:sz w:val="15"/>
                <w:szCs w:val="15"/>
                <w:color w:val="auto"/>
              </w:rPr>
            </w:pPr>
          </w:p>
        </w:tc>
        <w:tc>
          <w:tcPr>
            <w:tcW w:w="5120" w:type="dxa"/>
            <w:vAlign w:val="bottom"/>
          </w:tcPr>
          <w:p>
            <w:pPr>
              <w:spacing w:after="0" w:line="183" w:lineRule="exact"/>
              <w:rPr>
                <w:sz w:val="20"/>
                <w:szCs w:val="20"/>
                <w:color w:val="auto"/>
              </w:rPr>
            </w:pPr>
            <w:r>
              <w:rPr>
                <w:rFonts w:ascii="Arial" w:cs="Arial" w:eastAsia="Arial" w:hAnsi="Arial"/>
                <w:sz w:val="18"/>
                <w:szCs w:val="18"/>
                <w:color w:val="auto"/>
              </w:rPr>
              <w:t>Right-of-use assets obtained in exchange for new operating</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4,376</w:t>
            </w: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c>
          <w:tcPr>
            <w:tcW w:w="240" w:type="dxa"/>
            <w:vAlign w:val="bottom"/>
          </w:tcPr>
          <w:p>
            <w:pPr>
              <w:spacing w:after="0"/>
              <w:rPr>
                <w:sz w:val="19"/>
                <w:szCs w:val="19"/>
                <w:color w:val="auto"/>
              </w:rPr>
            </w:pPr>
          </w:p>
        </w:tc>
      </w:tr>
      <w:tr>
        <w:trPr>
          <w:trHeight w:val="184"/>
        </w:trPr>
        <w:tc>
          <w:tcPr>
            <w:tcW w:w="340" w:type="dxa"/>
            <w:vAlign w:val="bottom"/>
          </w:tcPr>
          <w:p>
            <w:pPr>
              <w:spacing w:after="0"/>
              <w:rPr>
                <w:sz w:val="15"/>
                <w:szCs w:val="15"/>
                <w:color w:val="auto"/>
              </w:rPr>
            </w:pPr>
          </w:p>
        </w:tc>
        <w:tc>
          <w:tcPr>
            <w:tcW w:w="51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Decapitalization of right-of-use assets upon lease termination or</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modification</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r>
      <w:tr>
        <w:trPr>
          <w:trHeight w:val="422"/>
        </w:trPr>
        <w:tc>
          <w:tcPr>
            <w:tcW w:w="3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60" w:type="dxa"/>
            <w:vAlign w:val="bottom"/>
            <w:gridSpan w:val="2"/>
          </w:tcPr>
          <w:p>
            <w:pPr>
              <w:jc w:val="center"/>
              <w:ind w:right="150"/>
              <w:spacing w:after="0"/>
              <w:rPr>
                <w:sz w:val="20"/>
                <w:szCs w:val="20"/>
                <w:color w:val="auto"/>
              </w:rPr>
            </w:pPr>
            <w:r>
              <w:rPr>
                <w:rFonts w:ascii="Arial" w:cs="Arial" w:eastAsia="Arial" w:hAnsi="Arial"/>
                <w:sz w:val="18"/>
                <w:szCs w:val="18"/>
                <w:color w:val="auto"/>
                <w:w w:val="99"/>
              </w:rPr>
              <w:t>21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9060" w:type="dxa"/>
            <w:vAlign w:val="bottom"/>
          </w:tcPr>
          <w:p>
            <w:pPr>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June 30, 2024:</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5"/>
        </w:trPr>
        <w:tc>
          <w:tcPr>
            <w:tcW w:w="9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 (excluding the twenty-six weeks ended June 30, 2024)</w:t>
            </w:r>
          </w:p>
        </w:tc>
        <w:tc>
          <w:tcPr>
            <w:tcW w:w="5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3,166</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5,817</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5,364</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5,380</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5,163</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13,357</w:t>
            </w:r>
          </w:p>
        </w:tc>
      </w:tr>
      <w:tr>
        <w:trPr>
          <w:trHeight w:val="20"/>
        </w:trPr>
        <w:tc>
          <w:tcPr>
            <w:tcW w:w="9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38,247</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(7,510)</w:t>
            </w:r>
          </w:p>
        </w:tc>
      </w:tr>
      <w:tr>
        <w:trPr>
          <w:trHeight w:val="20"/>
        </w:trPr>
        <w:tc>
          <w:tcPr>
            <w:tcW w:w="9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30,737</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right="7560" w:hanging="332"/>
        <w:spacing w:after="0" w:line="469" w:lineRule="auto"/>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 The Company has established loss provision for matters in which losses are probable and can be reasonably estimated. Although management will continue to reassess the estimated liability based on future developments, an objective assessment of such claims may not always be predictive of the outcome and actual results may vary from current estimates.</w:t>
      </w:r>
    </w:p>
    <w:p>
      <w:pPr>
        <w:spacing w:after="0" w:line="166"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 putative securities class action was filed on November 6, 2023, 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No. 1:23-cv-148-S.</w:t>
      </w:r>
    </w:p>
    <w:p>
      <w:pPr>
        <w:spacing w:after="0" w:line="16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On February 26, 2024, the court appointed City of Fort Lauderdale General Employees’ Retirement System to serve as lead plaintiff to prosecute claims on behalf of a proposed class of stockholders who purchased or otherwise acquired Holley securities between July 21, 2021 and February 6, 2023. On April 26, 2024, lead plaintiff filed an amended complaint, adding Vinod Nimmagadda (the Company’s Executive Vice President of Corporate Development and New Ventures) as a defendant. Lead plaintiff alleges that statements made regarding the Company’s business, operations, and prospects violated Sections 10(b), Section 20(a) and Rule 10b-5 of the Securities Exchange Act of 1934 and seeks class certification, damages, interest, attorneys’ fees, and other relief. The Company filed a motion to dismiss on June 28, 2024.</w:t>
      </w:r>
    </w:p>
    <w:p>
      <w:pPr>
        <w:spacing w:after="0" w:line="171"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Due to the early stage of this proceeding, we cannot reasonably estimate the potential range of loss, if any. The Company disputes the allegations and intends to vigorously defend against them.</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5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6"/>
          </w:tcPr>
          <w:p>
            <w:pPr>
              <w:jc w:val="right"/>
              <w:ind w:right="32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June 30, 2024</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180" w:type="dxa"/>
            <w:vAlign w:val="bottom"/>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30, 2024</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4,771</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3,181</w:t>
            </w: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3,584</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Accrued for current year warranty claims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3,513</w:t>
            </w:r>
          </w:p>
        </w:tc>
        <w:tc>
          <w:tcPr>
            <w:tcW w:w="38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6,747</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6,467</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warranty claims</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(2,818)</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(4,026)</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(6,175)</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6,046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3,876</w:t>
            </w:r>
          </w:p>
        </w:tc>
        <w:tc>
          <w:tcPr>
            <w:tcW w:w="180" w:type="dxa"/>
            <w:vAlign w:val="bottom"/>
          </w:tcPr>
          <w:p>
            <w:pPr>
              <w:spacing w:after="0"/>
              <w:rPr>
                <w:sz w:val="17"/>
                <w:szCs w:val="17"/>
                <w:color w:val="auto"/>
              </w:rPr>
            </w:pPr>
          </w:p>
        </w:tc>
        <w:tc>
          <w:tcPr>
            <w:tcW w:w="38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6,046</w:t>
            </w:r>
          </w:p>
        </w:tc>
        <w:tc>
          <w:tcPr>
            <w:tcW w:w="18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3,876</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has a defined-contribution savings plan under Section 401(k) of the Internal Revenue Code that covers United States-based employees.United States-based eligible employees may contribute up to the current statutory limits under the Internal Revenue Service regulations. Holley matches employee contributions to the 401(k) Plan up to 3.5% each pay period, and an additional discretionary match of up to 1.5% is made based on company performance targets. The Company also has a defined-contribution saving plan for Canada-based employees. Canada-based eligible employees may contribute up to the current statutory limits for a Registered Retirement Savings Plan. Holley matches employee contributions to the Group Savings Plan up to 3.0% each pay period, and an additional discretionary match of up to 1.5% is made based on company performance targets.</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During the 13-week periods ended June 30, 2024 and July 2, 2023, the Company made matching contributions under the savings plans totaling $512 and $565, respectively. During the 26-week periods ended June 30, 2024 and July 2, 2023, the Company made matching contributions under the savings plans totaling $1,129 and $1,140,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Unless the context requires otherwise, references to </w:t>
      </w:r>
      <w:r>
        <w:rPr>
          <w:rFonts w:ascii="Arial" w:cs="Arial" w:eastAsia="Arial" w:hAnsi="Arial"/>
          <w:sz w:val="18"/>
          <w:szCs w:val="18"/>
          <w:color w:val="auto"/>
        </w:rPr>
        <w:t>“</w:t>
      </w:r>
      <w:r>
        <w:rPr>
          <w:rFonts w:ascii="Arial" w:cs="Arial" w:eastAsia="Arial" w:hAnsi="Arial"/>
          <w:sz w:val="18"/>
          <w:szCs w:val="18"/>
          <w:i w:val="1"/>
          <w:iCs w:val="1"/>
          <w:color w:val="auto"/>
        </w:rPr>
        <w:t>Holley,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section are to the business and operations of Holley Inc. and its subsidiaries unless the context otherwise indicates. The following discussion and analysis should be read in conjunction with Holley</w:t>
      </w:r>
      <w:r>
        <w:rPr>
          <w:rFonts w:ascii="Arial" w:cs="Arial" w:eastAsia="Arial" w:hAnsi="Arial"/>
          <w:sz w:val="18"/>
          <w:szCs w:val="18"/>
          <w:color w:val="auto"/>
        </w:rPr>
        <w:t>’</w:t>
      </w:r>
      <w:r>
        <w:rPr>
          <w:rFonts w:ascii="Arial" w:cs="Arial" w:eastAsia="Arial" w:hAnsi="Arial"/>
          <w:sz w:val="18"/>
          <w:szCs w:val="18"/>
          <w:i w:val="1"/>
          <w:iCs w:val="1"/>
          <w:color w:val="auto"/>
        </w:rPr>
        <w:t>s condensed consolidated financial statements and related notes thereto included in this Quarterly Report on Form 10-Q. In addition to historical information, this discussion contains forward-looking statements that involve risks, uncertainties, and assumptions that could cause Holley</w:t>
      </w:r>
      <w:r>
        <w:rPr>
          <w:rFonts w:ascii="Arial" w:cs="Arial" w:eastAsia="Arial" w:hAnsi="Arial"/>
          <w:sz w:val="18"/>
          <w:szCs w:val="18"/>
          <w:color w:val="auto"/>
        </w:rPr>
        <w:t>’</w:t>
      </w:r>
      <w:r>
        <w:rPr>
          <w:rFonts w:ascii="Arial" w:cs="Arial" w:eastAsia="Arial" w:hAnsi="Arial"/>
          <w:sz w:val="18"/>
          <w:szCs w:val="18"/>
          <w:i w:val="1"/>
          <w:iCs w:val="1"/>
          <w:color w:val="auto"/>
        </w:rPr>
        <w:t>s actual results to differ materially from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expectations. Factors that could cause such differences are discussed herein and under the caption,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 leading designer, marketer, and manufacturer of high performance automotive aftermarket products serving car and truck enthusiasts, with sales, processing, and distribution facilities reaching most major markets in the United States, Canada, Europe and China. We design, market, manufacture and distribute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Innovation is at the core of our business and growth strategy.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above, under the caption, "Cautionary Note Regarding Forward-Looking Statements," in this Quarterly Report on Form 10-Q, under the caption, “Risk Factors,” in our Annual Report on Form 10-K for the year ended December 31, 2023, as filed with the SEC on March 14, 2024, and in our subsequent filings with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Our business is impacted by various economic factors that affect both consumers and the automotive industry, including by not limited to inflation, fuel costs, wage rates, supply chain disruptions, hiring, and other economic conditions. In response to inflationary impacts and supply chain disruptions, we have attempted to minimize potential adverse impacts on our business with cost savings initiatives, price increases to customers, and increased attention to maintaining appropriate inventory levels in the distribution channel. Our profitability has been, and may continue to be, adversely affected by constrained consumer demand, a shift in sales to lower-margin products, and demands on our performance that increase our costs. Should the ongoing macroeconomic conditions not improve, or worsen, or if our attempt to mitigate the impact on our supply chain, operations and costs is not successful, our business, results of operations and financial condition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activity from which we generate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costs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Restructuring costs include charges attributable to operational restructuring and integration activities, including professional and consulting services; termination related benefits; facilities relocation; and executive transition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SOFR or the base rate, at the Company's election, plus the applicable margin rate. As of June 30, 2024, $564.2 million was outstanding under our Credit Agreement.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June 30, 2024 Compared With 13-Week Period Ended July 2,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13-week periods ended June 30, 2024 and July 2, 2023 (dollars in thousands):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For the thirteen weeks ended</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380"/>
              <w:spacing w:after="0" w:line="177" w:lineRule="exact"/>
              <w:rPr>
                <w:sz w:val="20"/>
                <w:szCs w:val="20"/>
                <w:color w:val="auto"/>
              </w:rPr>
            </w:pPr>
            <w:r>
              <w:rPr>
                <w:rFonts w:ascii="Arial" w:cs="Arial" w:eastAsia="Arial" w:hAnsi="Arial"/>
                <w:sz w:val="18"/>
                <w:szCs w:val="18"/>
                <w:color w:val="auto"/>
              </w:rPr>
              <w:t>June 30,</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5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July 2, 2023</w:t>
            </w:r>
          </w:p>
        </w:tc>
        <w:tc>
          <w:tcPr>
            <w:tcW w:w="200" w:type="dxa"/>
            <w:vAlign w:val="bottom"/>
          </w:tcPr>
          <w:p>
            <w:pPr>
              <w:spacing w:after="0"/>
              <w:rPr>
                <w:sz w:val="19"/>
                <w:szCs w:val="19"/>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Change ($)</w:t>
            </w:r>
          </w:p>
        </w:tc>
        <w:tc>
          <w:tcPr>
            <w:tcW w:w="200" w:type="dxa"/>
            <w:vAlign w:val="bottom"/>
          </w:tcPr>
          <w:p>
            <w:pPr>
              <w:spacing w:after="0"/>
              <w:rPr>
                <w:sz w:val="19"/>
                <w:szCs w:val="19"/>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9"/>
                <w:szCs w:val="19"/>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169,496</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175,262</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(5,766)</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(3.3)%</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99,203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105,514</w:t>
            </w:r>
          </w:p>
        </w:tc>
        <w:tc>
          <w:tcPr>
            <w:tcW w:w="3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(6,311)</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w:t>
            </w: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70,293</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69,748</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545</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0.8%</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34,570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29,101</w:t>
            </w:r>
          </w:p>
        </w:tc>
        <w:tc>
          <w:tcPr>
            <w:tcW w:w="3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5,469</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18.8%</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4,311</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6,182</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(1,871)</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(30.3)%</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3,435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3,674</w:t>
            </w:r>
          </w:p>
        </w:tc>
        <w:tc>
          <w:tcPr>
            <w:tcW w:w="3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(239)</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(355)</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(100.9)%</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Other operating expense</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485</w:t>
            </w:r>
          </w:p>
        </w:tc>
        <w:tc>
          <w:tcPr>
            <w:tcW w:w="3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(383)</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27,878</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29,954</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(2,076)</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(6.9)%</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(3,402)</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2,017</w:t>
            </w:r>
          </w:p>
        </w:tc>
        <w:tc>
          <w:tcPr>
            <w:tcW w:w="3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(5,419)</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(1,058)</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961</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(2,019)</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13,178</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9,899</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3,279</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33.1%</w:t>
            </w:r>
          </w:p>
        </w:tc>
      </w:tr>
      <w:tr>
        <w:trPr>
          <w:trHeight w:val="20"/>
        </w:trPr>
        <w:tc>
          <w:tcPr>
            <w:tcW w:w="5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19,160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17,077</w:t>
            </w:r>
          </w:p>
        </w:tc>
        <w:tc>
          <w:tcPr>
            <w:tcW w:w="320" w:type="dxa"/>
            <w:vAlign w:val="bottom"/>
          </w:tcPr>
          <w:p>
            <w:pPr>
              <w:spacing w:after="0"/>
              <w:rPr>
                <w:sz w:val="17"/>
                <w:szCs w:val="17"/>
                <w:color w:val="auto"/>
              </w:rPr>
            </w:pPr>
          </w:p>
        </w:tc>
        <w:tc>
          <w:tcPr>
            <w:tcW w:w="9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2,083</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12.2%</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2,055</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4,098</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(2,043)</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(49.9)%</w:t>
            </w:r>
          </w:p>
        </w:tc>
      </w:tr>
      <w:tr>
        <w:trPr>
          <w:trHeight w:val="20"/>
        </w:trPr>
        <w:tc>
          <w:tcPr>
            <w:tcW w:w="5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17,105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12,979</w:t>
            </w:r>
          </w:p>
        </w:tc>
        <w:tc>
          <w:tcPr>
            <w:tcW w:w="320" w:type="dxa"/>
            <w:vAlign w:val="bottom"/>
          </w:tcPr>
          <w:p>
            <w:pPr>
              <w:spacing w:after="0"/>
              <w:rPr>
                <w:sz w:val="17"/>
                <w:szCs w:val="17"/>
                <w:color w:val="auto"/>
              </w:rPr>
            </w:pPr>
          </w:p>
        </w:tc>
        <w:tc>
          <w:tcPr>
            <w:tcW w:w="9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4,126</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31.8%</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272</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(228)</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(83.8)%</w:t>
            </w:r>
          </w:p>
        </w:tc>
      </w:tr>
      <w:tr>
        <w:trPr>
          <w:trHeight w:val="20"/>
        </w:trPr>
        <w:tc>
          <w:tcPr>
            <w:tcW w:w="5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82" w:lineRule="exact"/>
              <w:rPr>
                <w:sz w:val="20"/>
                <w:szCs w:val="20"/>
                <w:color w:val="auto"/>
              </w:rPr>
            </w:pPr>
            <w:r>
              <w:rPr>
                <w:rFonts w:ascii="Arial" w:cs="Arial" w:eastAsia="Arial" w:hAnsi="Arial"/>
                <w:sz w:val="18"/>
                <w:szCs w:val="18"/>
                <w:color w:val="auto"/>
              </w:rPr>
              <w:t>Total comprehensive income</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17,149</w:t>
            </w:r>
          </w:p>
        </w:tc>
        <w:tc>
          <w:tcPr>
            <w:tcW w:w="180" w:type="dxa"/>
            <w:vAlign w:val="bottom"/>
          </w:tcPr>
          <w:p>
            <w:pPr>
              <w:spacing w:after="0"/>
              <w:rPr>
                <w:sz w:val="17"/>
                <w:szCs w:val="17"/>
                <w:color w:val="auto"/>
              </w:rPr>
            </w:pPr>
          </w:p>
        </w:tc>
        <w:tc>
          <w:tcPr>
            <w:tcW w:w="2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13,251</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3,898</w:t>
            </w:r>
          </w:p>
        </w:tc>
        <w:tc>
          <w:tcPr>
            <w:tcW w:w="12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29.4%</w:t>
            </w: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Net sales for the 13-week period ended June 30, 2024 decreased $5.8 million, or 3.3%, to $169.5 million, as compared to $175.3 million for the 13-week period ended July 2, 2023. Lower sales volume resulted in a decrease of approximately $9.0 million, offset partially by improved price realization of approximately $3.2 million compared to the prior year period. Major categories driving the comparable year-over-year results include a decrease in electronic systems sales of $2.8 million (3.7% category decline), a decrease in exhaust sales of $2.2 million (12.6% category decline), and a decrease in accessories sales of $2.0 million (7.4% category decline). An increase in safety sales of $2.3 million (14.3% category incline) partially offset the decrease in electronic systems, exhaust and accessories sales.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for the 13-week period ended June 30, 2024 decreased $6.3 million, or 6.0%, to $99.2 million, as compared to $105.5 million for the 13-week period ended July 2, 2023. The decrease in cost of goods sold in 2024, a period in which product sales decreased 3.3%, was impacted by lower freight costs and product mix.</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for the 13-week period ended June 30, 2024 increased $0.6 million, or 0.8%, to $70.3 million, as compared to $69.8 million for the 13-week period ended July 2, 2023. Gross margin for the 13-week period ended June 30, 2024 was 41.5% as compared to a gross margin of 39.8% for the 13-week period ended July 2, 2023. Gross profit margin slightly increased primarily due to improvements in freight costs and product mix.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Selling, general and administrative costs for the 13-week period ended June 30, 2024 increased $5.5 million, or 18.8%, to $34.6 million, as compared to $29.1 million for the 13-week period ended July 2, 2023. Selling, general and administrative costs expressed as a percentage of sales increased to 20.4% for the 13-week period ended June 30, 2024 compared to 16.6% for the 13-week period ended July 2, 2023. The increase in selling, general and administrative costs was driven by $1.3 million increase in consulting and accounting fees, an increase of $0.8 million in wages, an increase of $0.5 million in promotion and advertisement, and $2.6 million of costs incurred for advisory services related to supporting transformation initiatives.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for the 13-week period ended June 30, 2024 decreased to $4.3 million as compared to $6.2 million for the 13-week period ended July 2, 2023, primarily due to headcount reductions, reflecting the implementation of resource allocation efforts in support of portfolio development optimization.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Amortization of intangible assets was $3.4 million for the 13-week period ended June 30, 2024 compared to $3.7 million for the 13-week period ended July 2,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Restructuring costs for the 13-week period ended June 30, 2024 decreased by $0.4 million to $0.0 million, as compared to $0.4 million for the 13-week period ended July 2, 2023, reflecting a reduction in restructuring and integration activities associated with acquisitions.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operating income for the 13-week period ended June 30, 2024 decreased $2.1 million, or 6.9%, to $27.9 million, as compared to $30.0 million for the 13-week period ended July 2,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13-week period ended June 30, 2024, we recognized a gain of $3.4 million from the change in fair value of the warrant liability. For the 13-week period ended July 2, 2023, we recognized a loss of $2.0 million from the change in fair value of the warrant liability. The warrant liability reflects the fair value of the Warrants issued in connection with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13-week period ended June 30, 2024, we recognized a gain of $1.1 million from the change in fair value of the earn-out liability. For the 13-week period ended July 2, 2023, we recognized a loss of $1.0 million, from the change in fair value of the earn-out liability. The earn-out liability reflects the fair value of the unvested Earn-Out Shares resulting from the Business Combination.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for the 13-week period ended June 30, 2024 increased $3.3 million, or 33.1%, to $13.2 million, as compared to $9.9 million for the 13-week period ended July 2, 2023, reflecting lower outstanding debt balances and the positive impact of the interest rate collar, offset in part by a higher effective interest rate on outstanding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we recognized $19.2 million of income before income taxes for the 13-week period ended June 30, 2024, as compared to income before income taxes of $17.1 million for the 13-week period ended July 2,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Income tax expense for the 13-week period ended June 30, 2024 was $2.1 million, as compared to income tax expense of $4.1 million for the 13-week period ended July 2, 2023. Our effective tax rate for the 13-week period ended June 30, 2024 was 10.7%. The difference between the effective tax rate for the 13-week period ended June 30, 2024 and the federal statutory rate in 2024 was due to permanent differences related to changes in fair value of the warrant and earn-out liabilities recognized during the period and the impact of foreign taxes in higher tax rate jurisdictions. The effective tax rate for the 13-week period ended July 2, 2023 was 24.0%. The difference between the effective tax rate and the federal statutory rate in 2023 was primarily due to permanent differences resulting from the change in fair value of the warrant and earn-out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recognized net income of $17.1 million for the 13-week period ended June 30, 2024, as compared to net income of $13.0 million for the 13-week period ended July 2, 2023. Additionally, we recognized total comprehensive income of $17.2 million for the 13-week period ended June 30, 2024, as compared to total comprehensive income of $13.3 million for the 13-week period ended July 2, 2023. Comprehensive income includes the effect of foreign currency translation adjustments.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26-Week Period Ended June 30, 2024 Compared With 26-Week Period Ended July 2,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26-week periods ended June 30, 2024 and July 2, 2023 (dollars in thousands):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For the twenty-six weeks ended</w:t>
            </w: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5180" w:type="dxa"/>
            <w:vAlign w:val="bottom"/>
          </w:tcPr>
          <w:p>
            <w:pPr>
              <w:spacing w:after="0"/>
              <w:rPr>
                <w:sz w:val="17"/>
                <w:szCs w:val="17"/>
                <w:color w:val="auto"/>
              </w:rPr>
            </w:pPr>
          </w:p>
        </w:tc>
        <w:tc>
          <w:tcPr>
            <w:tcW w:w="118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30, 2024</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2, 2023</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Change ($)</w:t>
            </w:r>
          </w:p>
        </w:tc>
        <w:tc>
          <w:tcPr>
            <w:tcW w:w="180" w:type="dxa"/>
            <w:vAlign w:val="bottom"/>
          </w:tcPr>
          <w:p>
            <w:pPr>
              <w:spacing w:after="0"/>
              <w:rPr>
                <w:sz w:val="17"/>
                <w:szCs w:val="17"/>
                <w:color w:val="auto"/>
              </w:rPr>
            </w:pPr>
          </w:p>
        </w:tc>
        <w:tc>
          <w:tcPr>
            <w:tcW w:w="11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7"/>
                <w:szCs w:val="17"/>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328,132</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347,467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(19,335)</w:t>
            </w: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(5.6)%</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205,780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210,006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(4,226)</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r>
      <w:tr>
        <w:trPr>
          <w:trHeight w:val="20"/>
        </w:trPr>
        <w:tc>
          <w:tcPr>
            <w:tcW w:w="5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122,352</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137,461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(15,109)</w:t>
            </w: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(11.0)%</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67,566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59,118</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8,448</w:t>
            </w: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14.3%</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9,123</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12,835</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(3,712)</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(28.9)%</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6,871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7,353</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(482)</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1,691</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(1,079)</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(63.8)%</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Other operating expense</w:t>
            </w: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(442)</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
        </w:trPr>
        <w:tc>
          <w:tcPr>
            <w:tcW w:w="5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38,086</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55,928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(17,842)</w:t>
            </w: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(31.9)%</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(6,529)</w:t>
            </w: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3,452</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(9,981)</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3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1,389</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(3,096)</w:t>
            </w: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141</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24,182</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(4,015)</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(14.2)%</w:t>
            </w:r>
          </w:p>
        </w:tc>
      </w:tr>
      <w:tr>
        <w:trPr>
          <w:trHeight w:val="20"/>
        </w:trPr>
        <w:tc>
          <w:tcPr>
            <w:tcW w:w="5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18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21,999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22,890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(891)</w:t>
            </w:r>
          </w:p>
        </w:tc>
        <w:tc>
          <w:tcPr>
            <w:tcW w:w="1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1,164</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(4,500)</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(79.4)%</w:t>
            </w:r>
          </w:p>
        </w:tc>
      </w:tr>
      <w:tr>
        <w:trPr>
          <w:trHeight w:val="196"/>
        </w:trPr>
        <w:tc>
          <w:tcPr>
            <w:tcW w:w="51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20,835</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17,226</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3,609</w:t>
            </w:r>
          </w:p>
        </w:tc>
        <w:tc>
          <w:tcPr>
            <w:tcW w:w="18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gridSpan w:val="2"/>
          </w:tcPr>
          <w:p>
            <w:pPr>
              <w:jc w:val="right"/>
              <w:ind w:right="80"/>
              <w:spacing w:after="0" w:line="196" w:lineRule="exact"/>
              <w:rPr>
                <w:sz w:val="20"/>
                <w:szCs w:val="20"/>
                <w:color w:val="auto"/>
              </w:rPr>
            </w:pPr>
            <w:r>
              <w:rPr>
                <w:rFonts w:ascii="Arial" w:cs="Arial" w:eastAsia="Arial" w:hAnsi="Arial"/>
                <w:sz w:val="18"/>
                <w:szCs w:val="18"/>
                <w:color w:val="auto"/>
              </w:rPr>
              <w:t>21.0%</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(215)</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(294.5)%</w:t>
            </w:r>
          </w:p>
        </w:tc>
      </w:tr>
      <w:tr>
        <w:trPr>
          <w:trHeight w:val="20"/>
        </w:trPr>
        <w:tc>
          <w:tcPr>
            <w:tcW w:w="5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180" w:type="dxa"/>
            <w:vAlign w:val="bottom"/>
          </w:tcPr>
          <w:p>
            <w:pPr>
              <w:spacing w:after="0" w:line="182" w:lineRule="exact"/>
              <w:rPr>
                <w:sz w:val="20"/>
                <w:szCs w:val="20"/>
                <w:color w:val="auto"/>
              </w:rPr>
            </w:pPr>
            <w:r>
              <w:rPr>
                <w:rFonts w:ascii="Arial" w:cs="Arial" w:eastAsia="Arial" w:hAnsi="Arial"/>
                <w:sz w:val="18"/>
                <w:szCs w:val="18"/>
                <w:color w:val="auto"/>
              </w:rPr>
              <w:t>Total comprehensive income</w:t>
            </w:r>
          </w:p>
        </w:tc>
        <w:tc>
          <w:tcPr>
            <w:tcW w:w="3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20,693</w:t>
            </w:r>
          </w:p>
        </w:tc>
        <w:tc>
          <w:tcPr>
            <w:tcW w:w="180" w:type="dxa"/>
            <w:vAlign w:val="bottom"/>
          </w:tcPr>
          <w:p>
            <w:pPr>
              <w:spacing w:after="0"/>
              <w:rPr>
                <w:sz w:val="17"/>
                <w:szCs w:val="17"/>
                <w:color w:val="auto"/>
              </w:rPr>
            </w:pPr>
          </w:p>
        </w:tc>
        <w:tc>
          <w:tcPr>
            <w:tcW w:w="100" w:type="dxa"/>
            <w:vAlign w:val="bottom"/>
          </w:tcPr>
          <w:p>
            <w:pPr>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17,299</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3,394</w:t>
            </w:r>
          </w:p>
        </w:tc>
        <w:tc>
          <w:tcPr>
            <w:tcW w:w="14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19.6%</w:t>
            </w: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sales for the 26-week period ended June 30, 2024 decreased $19.3 million, or 5.6%, to $328.1 million, as compared to $347.4 million for the 26-week period ended July 2, 2023. Lower sales volume resulted in a decrease of approximately $27.7 million offset partially by improved price realization of approximately $8.4 million compared to the prior year period. Major categories driving the comparable year-over-year results include a decrease in mechanical systems sales of $6.1 million (7.2% category decline), a decrease in electronic systems sales of $7.7 million (5.3% category decline), a decrease in exhaust sales of $4.0 million (12.1% category decline), and a decrease in accessories sales of $6.0 million (11.2% category decline). An increase in safety sales of $4.5 million (13.5% category incline) partially offset the decrease in electronic systems, exhaust and accessories sales.</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goods sold for the 26-week period ended June 30, 2024 decreased $4.2 million, or 2.0%, to $205.8 million, as compared to $210.0 million for the 26-week period ended July 2, 2023. The decrease in cost of goods sold in 2024, resulted from a 5.6% decrease in product sales and lower freight costs, partially offset by $8.2 million of product rationalization initiatives that are part of a portfolio transformation aimed at eliminating unprofitable or slow-moving stock keeping units ("SKUs").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profit for the 26-week period ended June 30, 2024 decreased $15.1 million , or 11.0% , to $122.4 million , as compared to $137.5 million for the 26-week period ended July 2, 2023 . Gross margin for the 26-week period ended June 30, 2024 was 37.3% as compared to a gross margin of 39.6% for the 26-week period ended July 2, 2023 . Gross profit margin declined primarily due to inventory charges driven by product rationalization initiatives, which was partially offset by improvements in freight costs. After adjusting for the $8.2 million of product rationalization and $0.6 million in other inventory charges, Adjusted Gross Margin for the year was 40.0% for the 26-week period ended June 30, 2024 compared to 39.3% for the 26-week period ended July 2, 2023 . Gross profit was also negatively affected by lower sales volume.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Selling, general and administrative costs for the 26-week period ended June 30, 2024 increased $8.4 million, or 14.3%, to $67.6 million, as compared to $59.1 million for the 26-week period ended July 2, 2023. Selling, general and administrative costs expressed as a percentage of sales increased to 20.6% for the 26-week period ended June 30, 2024 compared to 17.0%for the 26-week period ended July 2, 2023. The increase in selling, general and administrative costs was driven by $0.6 million increase in equity compensation, a $2 million reserve related to litigation settlements, a $2.3 million increase in wages, and $3.7 million of costs incurred for advisory services related to supporting transformation initiatives. These increases were partially offset by lower outbound shipping and handling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for the 26-week period ended June 30, 2024 decreased to $9.1 million as compared to $12.8 million for the 26-week period ended July 2, 2023, primarily due to headcount reductions, reflecting the implementation of resource allocation efforts in support of portfolio development optimization.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Amortization of intangible assets was $6.9 million for the 26-week period ended June 30, 2024 compared to $7.4 million for the 26-week period ended July 2,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Restructuring costs for the 26-week period ended June 30, 2024 decreased by $1.1 million to $0.6 million, as compared to $1.7 million for the 26-week period ended July 2, 2023, reflecting a reduction in restructuring and integration activities associated with acquisitions.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operating income for the 26-week period ended June 30, 2024 decreased $17.8 million, or 31.9%, to $38.1 million, as compared to $55.9 million for the 26-week period ended July 2,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26-week period ended June 30, 2024, we recognized a gain of $6.5 million from the change in fair value of the warrant liability. For the 26-week period ended July 2, 2023, we recognized a loss of $3.5 million from the change in fair value of the warrant liability. The warrant liability reflects the fair value of the Warrants issued in connection with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26-week period ended June 30, 2024, we recognized a gain of $1.7 million from the change in fair value of the earn-out liability. For the 26-week period ended July 2, 2023, we recognized a loss of $1.4 million, from the change in fair value of the earn-out liability. The earn-out liability reflects the fair value of the unvested Earn-Out Shares resulting from the Business Combination.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for the 26-week period ended June 30, 2024 decreased $4.0 million, or 14.2%, to $24.2 million, as compared to $ 28.2 million for the 26-week period ended July 2, 2023, reflecting lower outstanding debt balances and the positive impact of the interest rate collar, offset in part by a higher effective interest rate on outstanding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we recognized $22.0 million of income before income taxes for the 26-week period ended June 30, 2024, as compared to income before income taxes of $22.9 million for the 26-week period ended July 2,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Income tax expense for the 26-week period ended June 30, 2024 was $1.1 million, as compared to income tax expense of $5.7 million for the 26-week period ended July 2, 2023. Our effective tax rate for the 26-week period ended June 30, 2024 was 5.3%. The difference between the effective tax rate for the 26-week period ended June 30, 2024 and the federal statutory rate in 2024 was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was recorded during the year as a discrete adjustment. The effective tax rate for the 26-week period ended July 2, 2023 was 24.7%. The difference between the effective tax rate and the federal statutory rate in 2023 was primarily due to permanent differences resulting from the change in fair value of the warrant and earn-out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recognized net income of $20.8 million for the 26-week period ended June 30, 2024, as compared to net income of $17.2 million for the 26-week period ended July 2, 2023. Additionally, we recognized total comprehensive income of $20.6 million for the 26-week period ended June 30, 2024, as compared to total comprehensive income of $17.3 million for the 26-week period ended July 2, 2023. Comprehensive income includes the effect of foreign currency translation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present certain information with respect to EBITDA, Adjusted EBITDA, Adjusted EBITDA Margin, Adjusted Gross Profit, Adjusted Gross Margin, Adjusted Net Income, Adjusted Diluted EPS, and Free Cash Flow as supplemental measures of our operating performance and believe that such non-GAAP financial measures are useful to investors in evaluating our financial performance and in comparing our financial results between periods because they exclude the impact of certain items that we do not consider indicative of our ongoing operating performance. We believe that the presentation of these non-GAAP financial measures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EBITDA, Adjusted EBITDA, Adjusted EBITDA Margin, Adjusted Gross Profit, Adjusted Gross Margin, Adjusted Net Income, Adjusted Diluted EPS, and Free Cash Flow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GAAP.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define EBITDA as earnings before depreciation, amortization of intangible assets, interest expense, and income tax expense. We define Adjusted EBITDA as EBITDA adjusted to exclude, to the extent applicable, restructuring costs, which includes operational restructuring and integration activities, termination related benefits, facilities relocation, and executive transition costs; changes in the fair value of the warrant liability; changes in the fair value of the earn-out liability; equity-based compensation expense; inventory charges primarily due to product rationalization initiatives that are part of a portfolio transformation aimed at eliminating unprofitable or slow-moving SKUs; gain or loss on the early extinguishment of debt; notable items that we do not believe are reflective of our underlying operating performance, including litigation settlements and certain costs incurred for advisory services related to identifying performance initiatives; and other expenses or gains, which includes gains or losses from disposal of fixed assets, franchise taxes, and gains or losses from foreign currency transactions. We define Adjusted EBITDA Margin as Adjusted EBITDA divided by net sales.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unaudited table presents the reconciliation of net income, the most directly comparable GAAP measure, to EBITDA, Adjusted EBITDA, and Adjusted EBITDA Margin for the 13-week and 26-week periods ended June 30, 2024 and July 2, 2023 (dollars in thousands):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5"/>
          </w:tcPr>
          <w:p>
            <w:pPr>
              <w:jc w:val="right"/>
              <w:ind w:right="380"/>
              <w:spacing w:after="0"/>
              <w:rPr>
                <w:sz w:val="20"/>
                <w:szCs w:val="20"/>
                <w:color w:val="auto"/>
              </w:rPr>
            </w:pPr>
            <w:r>
              <w:rPr>
                <w:rFonts w:ascii="Arial" w:cs="Arial" w:eastAsia="Arial" w:hAnsi="Arial"/>
                <w:sz w:val="18"/>
                <w:szCs w:val="18"/>
                <w:color w:val="auto"/>
                <w:w w:val="99"/>
              </w:rPr>
              <w:t>For the thirteen weeks ended</w:t>
            </w:r>
          </w:p>
        </w:tc>
        <w:tc>
          <w:tcPr>
            <w:tcW w:w="2760" w:type="dxa"/>
            <w:vAlign w:val="bottom"/>
            <w:gridSpan w:val="6"/>
          </w:tcPr>
          <w:p>
            <w:pPr>
              <w:ind w:left="40"/>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060" w:type="dxa"/>
            <w:vAlign w:val="bottom"/>
          </w:tcPr>
          <w:p>
            <w:pPr>
              <w:spacing w:after="0"/>
              <w:rPr>
                <w:sz w:val="17"/>
                <w:szCs w:val="17"/>
                <w:color w:val="auto"/>
              </w:rPr>
            </w:pPr>
          </w:p>
        </w:tc>
        <w:tc>
          <w:tcPr>
            <w:tcW w:w="116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8"/>
              </w:rPr>
              <w:t>June 30, 2024</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2, 2023</w:t>
            </w:r>
          </w:p>
        </w:tc>
        <w:tc>
          <w:tcPr>
            <w:tcW w:w="260" w:type="dxa"/>
            <w:vAlign w:val="bottom"/>
          </w:tcPr>
          <w:p>
            <w:pPr>
              <w:spacing w:after="0"/>
              <w:rPr>
                <w:sz w:val="17"/>
                <w:szCs w:val="17"/>
                <w:color w:val="auto"/>
              </w:rPr>
            </w:pPr>
          </w:p>
        </w:tc>
        <w:tc>
          <w:tcPr>
            <w:tcW w:w="116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8"/>
              </w:rPr>
              <w:t>June 30, 2024</w:t>
            </w: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2, 2023</w:t>
            </w:r>
          </w:p>
        </w:tc>
        <w:tc>
          <w:tcPr>
            <w:tcW w:w="160" w:type="dxa"/>
            <w:vAlign w:val="bottom"/>
          </w:tcPr>
          <w:p>
            <w:pPr>
              <w:spacing w:after="0"/>
              <w:rPr>
                <w:sz w:val="17"/>
                <w:szCs w:val="17"/>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CCEEFF"/>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17,105</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12,979</w:t>
            </w: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20,835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17,226</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2,669</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2,468</w:t>
            </w:r>
          </w:p>
        </w:tc>
        <w:tc>
          <w:tcPr>
            <w:tcW w:w="3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5,133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4,953</w:t>
            </w:r>
          </w:p>
        </w:tc>
      </w:tr>
      <w:tr>
        <w:trPr>
          <w:trHeight w:val="203"/>
        </w:trPr>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3,435</w:t>
            </w:r>
          </w:p>
        </w:tc>
        <w:tc>
          <w:tcPr>
            <w:tcW w:w="3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3,674</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6,871</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7,353</w:t>
            </w:r>
          </w:p>
        </w:tc>
      </w:tr>
      <w:tr>
        <w:trPr>
          <w:trHeight w:val="203"/>
        </w:trPr>
        <w:tc>
          <w:tcPr>
            <w:tcW w:w="5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13,178</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9,899</w:t>
            </w:r>
          </w:p>
        </w:tc>
        <w:tc>
          <w:tcPr>
            <w:tcW w:w="3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24,182</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28,197</w:t>
            </w:r>
          </w:p>
        </w:tc>
      </w:tr>
      <w:tr>
        <w:trPr>
          <w:trHeight w:val="203"/>
        </w:trPr>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2,055</w:t>
            </w:r>
          </w:p>
        </w:tc>
        <w:tc>
          <w:tcPr>
            <w:tcW w:w="3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4,098</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1,164</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5,664</w:t>
            </w:r>
          </w:p>
        </w:tc>
      </w:tr>
      <w:tr>
        <w:trPr>
          <w:trHeight w:val="20"/>
        </w:trPr>
        <w:tc>
          <w:tcPr>
            <w:tcW w:w="5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38,442</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33,118</w:t>
            </w:r>
          </w:p>
        </w:tc>
        <w:tc>
          <w:tcPr>
            <w:tcW w:w="3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58,185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63,393</w:t>
            </w:r>
          </w:p>
        </w:tc>
      </w:tr>
      <w:tr>
        <w:trPr>
          <w:trHeight w:val="202"/>
        </w:trPr>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7"/>
                <w:szCs w:val="17"/>
                <w:color w:val="auto"/>
              </w:rPr>
            </w:pP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(3,402)</w:t>
            </w:r>
          </w:p>
        </w:tc>
        <w:tc>
          <w:tcPr>
            <w:tcW w:w="3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2,017</w:t>
            </w:r>
          </w:p>
        </w:tc>
        <w:tc>
          <w:tcPr>
            <w:tcW w:w="3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(6,529)</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3,452</w:t>
            </w:r>
          </w:p>
        </w:tc>
      </w:tr>
      <w:tr>
        <w:trPr>
          <w:trHeight w:val="203"/>
        </w:trPr>
        <w:tc>
          <w:tcPr>
            <w:tcW w:w="5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(1,058)</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961</w:t>
            </w:r>
          </w:p>
        </w:tc>
        <w:tc>
          <w:tcPr>
            <w:tcW w:w="3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1,389</w:t>
            </w:r>
          </w:p>
        </w:tc>
      </w:tr>
      <w:tr>
        <w:trPr>
          <w:trHeight w:val="203"/>
        </w:trPr>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Equity-based compensation expense</w:t>
            </w:r>
          </w:p>
        </w:tc>
        <w:tc>
          <w:tcPr>
            <w:tcW w:w="12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1,621</w:t>
            </w:r>
          </w:p>
        </w:tc>
        <w:tc>
          <w:tcPr>
            <w:tcW w:w="3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1,806</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2,762</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2,200</w:t>
            </w:r>
          </w:p>
        </w:tc>
      </w:tr>
      <w:tr>
        <w:trPr>
          <w:trHeight w:val="203"/>
        </w:trPr>
        <w:tc>
          <w:tcPr>
            <w:tcW w:w="5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Inventory charges</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(878)</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8,835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(800)</w:t>
            </w:r>
          </w:p>
        </w:tc>
      </w:tr>
      <w:tr>
        <w:trPr>
          <w:trHeight w:val="203"/>
        </w:trPr>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141</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1,691</w:t>
            </w:r>
          </w:p>
        </w:tc>
      </w:tr>
      <w:tr>
        <w:trPr>
          <w:trHeight w:val="203"/>
        </w:trPr>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Notable items</w:t>
            </w:r>
          </w:p>
        </w:tc>
        <w:tc>
          <w:tcPr>
            <w:tcW w:w="12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2,594</w:t>
            </w:r>
          </w:p>
        </w:tc>
        <w:tc>
          <w:tcPr>
            <w:tcW w:w="3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5,694</w:t>
            </w:r>
          </w:p>
        </w:tc>
        <w:tc>
          <w:tcPr>
            <w:tcW w:w="10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r>
      <w:tr>
        <w:trPr>
          <w:trHeight w:val="203"/>
        </w:trPr>
        <w:tc>
          <w:tcPr>
            <w:tcW w:w="5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536</w:t>
            </w:r>
          </w:p>
        </w:tc>
      </w:tr>
      <w:tr>
        <w:trPr>
          <w:trHeight w:val="20"/>
        </w:trPr>
        <w:tc>
          <w:tcPr>
            <w:tcW w:w="5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6"/>
        </w:trPr>
        <w:tc>
          <w:tcPr>
            <w:tcW w:w="506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37,418</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37,923</w:t>
            </w:r>
          </w:p>
        </w:tc>
        <w:tc>
          <w:tcPr>
            <w:tcW w:w="3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68,087</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71,869</w:t>
            </w:r>
          </w:p>
        </w:tc>
      </w:tr>
      <w:tr>
        <w:trPr>
          <w:trHeight w:val="20"/>
        </w:trPr>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0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CCEEFF"/>
            </w:tcBorders>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169,496</w:t>
            </w:r>
          </w:p>
        </w:tc>
        <w:tc>
          <w:tcPr>
            <w:tcW w:w="320" w:type="dxa"/>
            <w:vAlign w:val="bottom"/>
            <w:shd w:val="clear" w:color="auto" w:fill="CCEEFF"/>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175,262</w:t>
            </w:r>
          </w:p>
        </w:tc>
        <w:tc>
          <w:tcPr>
            <w:tcW w:w="3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328,132</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8"/>
                <w:szCs w:val="18"/>
                <w:color w:val="auto"/>
              </w:rPr>
              <w:t>347,467</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Net income margin</w:t>
            </w:r>
          </w:p>
        </w:tc>
        <w:tc>
          <w:tcPr>
            <w:tcW w:w="120" w:type="dxa"/>
            <w:vAlign w:val="bottom"/>
          </w:tcPr>
          <w:p>
            <w:pPr>
              <w:spacing w:after="0"/>
              <w:rPr>
                <w:sz w:val="17"/>
                <w:szCs w:val="17"/>
                <w:color w:val="auto"/>
              </w:rPr>
            </w:pP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w:t>
            </w:r>
          </w:p>
        </w:tc>
        <w:tc>
          <w:tcPr>
            <w:tcW w:w="3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w:t>
            </w:r>
          </w:p>
        </w:tc>
        <w:tc>
          <w:tcPr>
            <w:tcW w:w="30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and Adjusted Gross Margin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adjusted gross profit as gross profit excluding inventory charges primarily due to product rationalization initiatives that are part of a portfolio transformation aimed at eliminating unprofitable or slow-moving SKUs. We define Adjusted Gross Margin as Adjusted Gross Profit divided by net sales.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unaudited table presents the reconciliation of gross profit, the most directly comparable GAAP measure, to Adjusted Gross Profit and Adjusted Gross Margin for the 13-week and 26-week periods ended June 30, 2024 and July 2, 2023 (dollars in thousands):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3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color w:val="auto"/>
                <w:w w:val="99"/>
              </w:rPr>
              <w:t>For the thirteen weeks ended</w:t>
            </w:r>
          </w:p>
        </w:tc>
        <w:tc>
          <w:tcPr>
            <w:tcW w:w="80" w:type="dxa"/>
            <w:vAlign w:val="bottom"/>
          </w:tcPr>
          <w:p>
            <w:pPr>
              <w:spacing w:after="0"/>
              <w:rPr>
                <w:sz w:val="19"/>
                <w:szCs w:val="19"/>
                <w:color w:val="auto"/>
              </w:rPr>
            </w:pPr>
          </w:p>
        </w:tc>
        <w:tc>
          <w:tcPr>
            <w:tcW w:w="2780" w:type="dxa"/>
            <w:vAlign w:val="bottom"/>
            <w:gridSpan w:val="7"/>
          </w:tcPr>
          <w:p>
            <w:pPr>
              <w:ind w:left="40"/>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3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9"/>
              </w:rPr>
              <w:t>June 30, 2024</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July 2, 2023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30, 2024</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2, 2023</w:t>
            </w:r>
          </w:p>
        </w:tc>
        <w:tc>
          <w:tcPr>
            <w:tcW w:w="160" w:type="dxa"/>
            <w:vAlign w:val="bottom"/>
          </w:tcPr>
          <w:p>
            <w:pPr>
              <w:spacing w:after="0"/>
              <w:rPr>
                <w:sz w:val="17"/>
                <w:szCs w:val="17"/>
                <w:color w:val="auto"/>
              </w:rPr>
            </w:pPr>
          </w:p>
        </w:tc>
      </w:tr>
      <w:tr>
        <w:trPr>
          <w:trHeight w:val="196"/>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500" w:type="dxa"/>
            <w:vAlign w:val="bottom"/>
            <w:gridSpan w:val="2"/>
            <w:shd w:val="clear" w:color="auto" w:fill="CCEEFF"/>
          </w:tcPr>
          <w:p>
            <w:pPr>
              <w:ind w:left="140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70,293</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69,748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122,352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137,461</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Adjust for: Inventory charges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(878)</w:t>
            </w:r>
          </w:p>
        </w:tc>
        <w:tc>
          <w:tcPr>
            <w:tcW w:w="3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8,835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(800.0)</w:t>
            </w:r>
          </w:p>
        </w:tc>
      </w:tr>
      <w:tr>
        <w:trPr>
          <w:trHeight w:val="20"/>
        </w:trPr>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Adjusted Gross Profit</w:t>
            </w:r>
          </w:p>
        </w:tc>
        <w:tc>
          <w:tcPr>
            <w:tcW w:w="1500" w:type="dxa"/>
            <w:vAlign w:val="bottom"/>
            <w:gridSpan w:val="2"/>
            <w:shd w:val="clear" w:color="auto" w:fill="CCEEFF"/>
          </w:tcPr>
          <w:p>
            <w:pPr>
              <w:ind w:left="140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69,415</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68,948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131,187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136,661</w:t>
            </w: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82"/>
        </w:trPr>
        <w:tc>
          <w:tcPr>
            <w:tcW w:w="3660" w:type="dxa"/>
            <w:vAlign w:val="bottom"/>
          </w:tcPr>
          <w:p>
            <w:pPr>
              <w:spacing w:after="0" w:line="182" w:lineRule="exact"/>
              <w:rPr>
                <w:sz w:val="20"/>
                <w:szCs w:val="20"/>
                <w:color w:val="auto"/>
              </w:rPr>
            </w:pPr>
            <w:r>
              <w:rPr>
                <w:rFonts w:ascii="Arial" w:cs="Arial" w:eastAsia="Arial" w:hAnsi="Arial"/>
                <w:sz w:val="18"/>
                <w:szCs w:val="18"/>
                <w:color w:val="auto"/>
              </w:rPr>
              <w:t>Net sales</w:t>
            </w:r>
          </w:p>
        </w:tc>
        <w:tc>
          <w:tcPr>
            <w:tcW w:w="1500" w:type="dxa"/>
            <w:vAlign w:val="bottom"/>
            <w:gridSpan w:val="2"/>
          </w:tcPr>
          <w:p>
            <w:pPr>
              <w:ind w:left="140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169,496</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175,262</w:t>
            </w:r>
          </w:p>
        </w:tc>
        <w:tc>
          <w:tcPr>
            <w:tcW w:w="400" w:type="dxa"/>
            <w:vAlign w:val="bottom"/>
            <w:gridSpan w:val="2"/>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328,132</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347,467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3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Gross margin</w:t>
            </w:r>
          </w:p>
        </w:tc>
        <w:tc>
          <w:tcPr>
            <w:tcW w:w="3320" w:type="dxa"/>
            <w:vAlign w:val="bottom"/>
            <w:shd w:val="clear" w:color="auto" w:fill="CCEEFF"/>
          </w:tcPr>
          <w:p>
            <w:pPr>
              <w:jc w:val="right"/>
              <w:ind w:right="350"/>
              <w:spacing w:after="0" w:line="203" w:lineRule="exact"/>
              <w:rPr>
                <w:sz w:val="20"/>
                <w:szCs w:val="20"/>
                <w:color w:val="auto"/>
              </w:rPr>
            </w:pPr>
            <w:r>
              <w:rPr>
                <w:rFonts w:ascii="Arial" w:cs="Arial" w:eastAsia="Arial" w:hAnsi="Arial"/>
                <w:sz w:val="18"/>
                <w:szCs w:val="18"/>
                <w:color w:val="auto"/>
              </w:rPr>
              <w:t>41.5%</w:t>
            </w:r>
          </w:p>
        </w:tc>
        <w:tc>
          <w:tcPr>
            <w:tcW w:w="1440" w:type="dxa"/>
            <w:vAlign w:val="bottom"/>
            <w:shd w:val="clear" w:color="auto" w:fill="CCEEFF"/>
          </w:tcPr>
          <w:p>
            <w:pPr>
              <w:jc w:val="right"/>
              <w:ind w:right="370"/>
              <w:spacing w:after="0" w:line="203" w:lineRule="exact"/>
              <w:rPr>
                <w:sz w:val="20"/>
                <w:szCs w:val="20"/>
                <w:color w:val="auto"/>
              </w:rPr>
            </w:pPr>
            <w:r>
              <w:rPr>
                <w:rFonts w:ascii="Arial" w:cs="Arial" w:eastAsia="Arial" w:hAnsi="Arial"/>
                <w:sz w:val="18"/>
                <w:szCs w:val="18"/>
                <w:color w:val="auto"/>
              </w:rPr>
              <w:t>39.8%</w:t>
            </w:r>
          </w:p>
        </w:tc>
        <w:tc>
          <w:tcPr>
            <w:tcW w:w="1420" w:type="dxa"/>
            <w:vAlign w:val="bottom"/>
            <w:shd w:val="clear" w:color="auto" w:fill="CCEEFF"/>
          </w:tcPr>
          <w:p>
            <w:pPr>
              <w:jc w:val="right"/>
              <w:ind w:right="370"/>
              <w:spacing w:after="0" w:line="203" w:lineRule="exact"/>
              <w:rPr>
                <w:sz w:val="20"/>
                <w:szCs w:val="20"/>
                <w:color w:val="auto"/>
              </w:rPr>
            </w:pPr>
            <w:r>
              <w:rPr>
                <w:rFonts w:ascii="Arial" w:cs="Arial" w:eastAsia="Arial" w:hAnsi="Arial"/>
                <w:sz w:val="18"/>
                <w:szCs w:val="18"/>
                <w:color w:val="auto"/>
              </w:rPr>
              <w:t>37.3%</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39.6%</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Adjusted Gross Margin</w:t>
            </w:r>
          </w:p>
        </w:tc>
        <w:tc>
          <w:tcPr>
            <w:tcW w:w="3320" w:type="dxa"/>
            <w:vAlign w:val="bottom"/>
          </w:tcPr>
          <w:p>
            <w:pPr>
              <w:jc w:val="right"/>
              <w:ind w:right="350"/>
              <w:spacing w:after="0"/>
              <w:rPr>
                <w:sz w:val="20"/>
                <w:szCs w:val="20"/>
                <w:color w:val="auto"/>
              </w:rPr>
            </w:pPr>
            <w:r>
              <w:rPr>
                <w:rFonts w:ascii="Arial" w:cs="Arial" w:eastAsia="Arial" w:hAnsi="Arial"/>
                <w:sz w:val="18"/>
                <w:szCs w:val="18"/>
                <w:color w:val="auto"/>
              </w:rPr>
              <w:t>41.0%</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39.3%</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40.0%</w:t>
            </w:r>
          </w:p>
        </w:tc>
        <w:tc>
          <w:tcPr>
            <w:tcW w:w="980" w:type="dxa"/>
            <w:vAlign w:val="bottom"/>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20"/>
                <w:szCs w:val="20"/>
                <w:color w:val="auto"/>
              </w:rPr>
            </w:pPr>
          </w:p>
        </w:tc>
      </w:tr>
      <w:tr>
        <w:trPr>
          <w:trHeight w:val="386"/>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320" w:type="dxa"/>
            <w:vAlign w:val="bottom"/>
          </w:tcPr>
          <w:p>
            <w:pPr>
              <w:jc w:val="right"/>
              <w:ind w:right="1350"/>
              <w:spacing w:after="0"/>
              <w:rPr>
                <w:sz w:val="20"/>
                <w:szCs w:val="20"/>
                <w:color w:val="auto"/>
              </w:rPr>
            </w:pPr>
            <w:r>
              <w:rPr>
                <w:rFonts w:ascii="Arial" w:cs="Arial" w:eastAsia="Arial" w:hAnsi="Arial"/>
                <w:sz w:val="18"/>
                <w:szCs w:val="18"/>
                <w:color w:val="auto"/>
              </w:rPr>
              <w:t>30</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define Adjusted Net Income as earnings excluding the after-tax effect of changes in the fair value of the warrant liability, changes in the fair value of the earn-out liability, and gain or loss on the early extinguishment of 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tables present the reconciliation of net income and net income per diluted share, the most directly comparable GAAP measures, to Adjusted Net Income and Adjusted Diluted EPS for the 13-week and 26-week periods ended June 30, 2024 and July 2, 2023 (dollars in thousands):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June 30, 2024</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30, 2024</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17,105</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12,979</w:t>
            </w:r>
          </w:p>
        </w:tc>
        <w:tc>
          <w:tcPr>
            <w:tcW w:w="44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20,835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17,226</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Special items: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Change in fair value of Warrant liability</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3,452</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Adjust for: Change in fair value of earn-out liability</w:t>
            </w:r>
          </w:p>
        </w:tc>
        <w:tc>
          <w:tcPr>
            <w:tcW w:w="12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(1,707)</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1,389</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Loss on early extinguishment of debt</w:t>
            </w:r>
          </w:p>
        </w:tc>
        <w:tc>
          <w:tcPr>
            <w:tcW w:w="12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Adjusted Net Income (Loss)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12,645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15,957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12,740</w:t>
            </w:r>
          </w:p>
        </w:tc>
        <w:tc>
          <w:tcPr>
            <w:tcW w:w="18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22,067</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June 30, 2024</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30, 2024</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diluted share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0.11</w:t>
            </w:r>
          </w:p>
        </w:tc>
        <w:tc>
          <w:tcPr>
            <w:tcW w:w="44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0.15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Special items: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Change in fair value of Warrant liability</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Adjust for: Change in fair value of earn-out liability</w:t>
            </w:r>
          </w:p>
        </w:tc>
        <w:tc>
          <w:tcPr>
            <w:tcW w:w="12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Loss on early extinguishment of debt</w:t>
            </w:r>
          </w:p>
        </w:tc>
        <w:tc>
          <w:tcPr>
            <w:tcW w:w="12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Adjusted Diluted EPS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0.10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0.14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0.11</w:t>
            </w:r>
          </w:p>
        </w:tc>
        <w:tc>
          <w:tcPr>
            <w:tcW w:w="18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0.19</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unaudited table presents the reconciliation of net cash provided by operating activities, the most directly comparable GAAP measure, to Free Cash Flow for the 13-week and 26-week periods ended June 30, 2024 and July 2, 2023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gridSpan w:val="7"/>
          </w:tcPr>
          <w:p>
            <w:pPr>
              <w:jc w:val="right"/>
              <w:ind w:right="32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June 30, 2024</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180" w:type="dxa"/>
            <w:vAlign w:val="bottom"/>
          </w:tcPr>
          <w:p>
            <w:pPr>
              <w:spacing w:after="0"/>
              <w:rPr>
                <w:sz w:val="17"/>
                <w:szCs w:val="17"/>
                <w:color w:val="auto"/>
              </w:rPr>
            </w:pPr>
          </w:p>
        </w:tc>
        <w:tc>
          <w:tcPr>
            <w:tcW w:w="1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June 30, 2024</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280" w:type="dxa"/>
            <w:vAlign w:val="bottom"/>
            <w:gridSpan w:val="2"/>
            <w:shd w:val="clear" w:color="auto" w:fill="CCEEFF"/>
          </w:tcPr>
          <w:p>
            <w:pPr>
              <w:jc w:val="center"/>
              <w:ind w:left="4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25,678</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30,744</w:t>
            </w: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44,521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34,383</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60" w:type="dxa"/>
            <w:vAlign w:val="bottom"/>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(1,737)</w:t>
            </w:r>
          </w:p>
        </w:tc>
        <w:tc>
          <w:tcPr>
            <w:tcW w:w="3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(2,645)</w:t>
            </w:r>
          </w:p>
        </w:tc>
        <w:tc>
          <w:tcPr>
            <w:tcW w:w="10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(2,738)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356</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360" w:type="dxa"/>
            <w:vAlign w:val="bottom"/>
          </w:tcPr>
          <w:p>
            <w:pPr>
              <w:spacing w:after="0" w:line="182" w:lineRule="exact"/>
              <w:rPr>
                <w:sz w:val="20"/>
                <w:szCs w:val="20"/>
                <w:color w:val="auto"/>
              </w:rPr>
            </w:pPr>
            <w:r>
              <w:rPr>
                <w:rFonts w:ascii="Arial" w:cs="Arial" w:eastAsia="Arial" w:hAnsi="Arial"/>
                <w:sz w:val="18"/>
                <w:szCs w:val="18"/>
                <w:color w:val="auto"/>
              </w:rPr>
              <w:t>Free Cash Flow</w:t>
            </w:r>
          </w:p>
        </w:tc>
        <w:tc>
          <w:tcPr>
            <w:tcW w:w="860" w:type="dxa"/>
            <w:vAlign w:val="bottom"/>
          </w:tcPr>
          <w:p>
            <w:pPr>
              <w:spacing w:after="0"/>
              <w:rPr>
                <w:sz w:val="17"/>
                <w:szCs w:val="17"/>
                <w:color w:val="auto"/>
              </w:rPr>
            </w:pPr>
          </w:p>
        </w:tc>
        <w:tc>
          <w:tcPr>
            <w:tcW w:w="420" w:type="dxa"/>
            <w:vAlign w:val="bottom"/>
          </w:tcPr>
          <w:p>
            <w:pPr>
              <w:jc w:val="center"/>
              <w:ind w:right="190"/>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24,353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29,045</w:t>
            </w:r>
          </w:p>
        </w:tc>
        <w:tc>
          <w:tcPr>
            <w:tcW w:w="180" w:type="dxa"/>
            <w:vAlign w:val="bottom"/>
          </w:tcPr>
          <w:p>
            <w:pPr>
              <w:spacing w:after="0"/>
              <w:rPr>
                <w:sz w:val="17"/>
                <w:szCs w:val="17"/>
                <w:color w:val="auto"/>
              </w:rPr>
            </w:pPr>
          </w:p>
        </w:tc>
        <w:tc>
          <w:tcPr>
            <w:tcW w:w="3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42,105</w:t>
            </w:r>
          </w:p>
        </w:tc>
        <w:tc>
          <w:tcPr>
            <w:tcW w:w="18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32,001</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8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31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June 30, 2024, the Company had cash of $53.1 million and availability of $ 122.9 million under its revolving credit facility. The Company has a senior secured revolving credit facility with $125 million in borrowing capacity. As of June 30, 2024, the Company had $2.2 million in letters of credit outstanding under the revolving credit facility. In February 2023, the Company entered into an amendment to its Credit Agreement which, among other things, contains a minimum liquidity financial covenant of $45 million, which includes unrestricted cash and any available borrowing capacity under the revolving credit facility. The amendment also increases the Total Leverage Ratio applicable under the Credit Agreement as of the fiscal quarter ending April 2, 2023, to initially 7.25:1.00, and provides for modified step-down levels for such covenant thereafter through the fiscal quarter ending June 30, 2024. Subsequent to June 30, 2024, the Company successfully exited the Covenant Relief Period.</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 is obligated under various operating leases for facilities, equipment and automobiles with estimated lease payments of approximately $3.2 million, including short term leases, due during the remainder of fiscal year 2024.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Condensed Consolidated Financial Statements included elsewhere in this Quarterly Report on Form 10-Q for additional information related to the Company’s lease obligations.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Holley's capital expenditures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$6 million to $8 million in fiscal year 2024.</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Condensed Consolidated Financial Statements included in this Quarterly Report on Form 10-Q for further detail of our credit facility and the timing of principal maturities. As of June 30, 2024, based on the then current weighted average interest rate of 9.2%, expected interest payments associated with outstanding debt totaled approximately $26.0 million for the remainder of fiscal year 2024.</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we believe that cash generated through our current operating performance, and our operating plans, cash position, and borrowings available under our revolving credit facility, will be sufficient to satisfy our liquidity needs and capital expenditure requirements for the next 12 months and thereafter for the foreseeable future.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ectPr>
          <w:pgSz w:w="11900" w:h="16838" w:orient="portrait"/>
          <w:cols w:equalWidth="0" w:num="1">
            <w:col w:w="11240"/>
          </w:cols>
          <w:pgMar w:left="320" w:top="121" w:right="3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26-week period ended June 30, 2024 Compared With 26-week period ended July2,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-118745</wp:posOffset>
            </wp:positionV>
            <wp:extent cx="677227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2275" cy="12827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Cash flows used in investing activities</w:t>
      </w:r>
    </w:p>
    <w:p>
      <w:pPr>
        <w:ind w:left="340"/>
        <w:spacing w:after="0"/>
        <w:rPr>
          <w:sz w:val="20"/>
          <w:szCs w:val="20"/>
          <w:color w:val="auto"/>
        </w:rPr>
      </w:pPr>
      <w:r>
        <w:rPr>
          <w:rFonts w:ascii="Arial" w:cs="Arial" w:eastAsia="Arial" w:hAnsi="Arial"/>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340" w:right="3100"/>
        <w:spacing w:after="0" w:line="297" w:lineRule="auto"/>
        <w:rPr>
          <w:sz w:val="20"/>
          <w:szCs w:val="20"/>
          <w:color w:val="auto"/>
        </w:rPr>
      </w:pPr>
      <w:r>
        <w:rPr>
          <w:rFonts w:ascii="Arial" w:cs="Arial" w:eastAsia="Arial" w:hAnsi="Arial"/>
          <w:sz w:val="18"/>
          <w:szCs w:val="18"/>
          <w:color w:val="auto"/>
        </w:rPr>
        <w:t>Effect of foreign currency rate fluctuations on cash 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-195580</wp:posOffset>
            </wp:positionV>
            <wp:extent cx="677227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For the twenty-six weeks ended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right"/>
              <w:ind w:right="320"/>
              <w:spacing w:after="0" w:line="196" w:lineRule="exact"/>
              <w:rPr>
                <w:sz w:val="20"/>
                <w:szCs w:val="20"/>
                <w:color w:val="auto"/>
              </w:rPr>
            </w:pPr>
            <w:r>
              <w:rPr>
                <w:rFonts w:ascii="Arial" w:cs="Arial" w:eastAsia="Arial" w:hAnsi="Arial"/>
                <w:sz w:val="18"/>
                <w:szCs w:val="18"/>
                <w:color w:val="auto"/>
              </w:rPr>
              <w:t>June 30, 2024</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July 2, 2023</w:t>
            </w:r>
          </w:p>
        </w:tc>
        <w:tc>
          <w:tcPr>
            <w:tcW w:w="60" w:type="dxa"/>
            <w:vAlign w:val="bottom"/>
          </w:tcPr>
          <w:p>
            <w:pPr>
              <w:spacing w:after="0"/>
              <w:rPr>
                <w:sz w:val="17"/>
                <w:szCs w:val="17"/>
                <w:color w:val="auto"/>
              </w:rPr>
            </w:pPr>
          </w:p>
        </w:tc>
      </w:tr>
      <w:tr>
        <w:trPr>
          <w:trHeight w:val="177"/>
        </w:trPr>
        <w:tc>
          <w:tcPr>
            <w:tcW w:w="1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44,521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34,383</w:t>
            </w:r>
          </w:p>
        </w:tc>
        <w:tc>
          <w:tcPr>
            <w:tcW w:w="60" w:type="dxa"/>
            <w:vAlign w:val="bottom"/>
          </w:tcPr>
          <w:p>
            <w:pPr>
              <w:spacing w:after="0"/>
              <w:rPr>
                <w:sz w:val="15"/>
                <w:szCs w:val="15"/>
                <w:color w:val="auto"/>
              </w:rPr>
            </w:pPr>
          </w:p>
        </w:tc>
      </w:tr>
      <w:tr>
        <w:trPr>
          <w:trHeight w:val="203"/>
        </w:trPr>
        <w:tc>
          <w:tcPr>
            <w:tcW w:w="140" w:type="dxa"/>
            <w:vAlign w:val="bottom"/>
          </w:tcPr>
          <w:p>
            <w:pPr>
              <w:spacing w:after="0"/>
              <w:rPr>
                <w:sz w:val="17"/>
                <w:szCs w:val="17"/>
                <w:color w:val="auto"/>
              </w:rPr>
            </w:pP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(2,382)</w:t>
            </w:r>
          </w:p>
        </w:tc>
      </w:tr>
      <w:tr>
        <w:trPr>
          <w:trHeight w:val="203"/>
        </w:trPr>
        <w:tc>
          <w:tcPr>
            <w:tcW w:w="140" w:type="dxa"/>
            <w:vAlign w:val="bottom"/>
          </w:tcPr>
          <w:p>
            <w:pPr>
              <w:spacing w:after="0"/>
              <w:rPr>
                <w:sz w:val="17"/>
                <w:szCs w:val="17"/>
                <w:color w:val="auto"/>
              </w:rPr>
            </w:pP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(30,042)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(15,572)</w:t>
            </w:r>
          </w:p>
        </w:tc>
      </w:tr>
      <w:tr>
        <w:trPr>
          <w:trHeight w:val="221"/>
        </w:trPr>
        <w:tc>
          <w:tcPr>
            <w:tcW w:w="140" w:type="dxa"/>
            <w:vAlign w:val="bottom"/>
          </w:tcPr>
          <w:p>
            <w:pPr>
              <w:spacing w:after="0"/>
              <w:rPr>
                <w:sz w:val="19"/>
                <w:szCs w:val="19"/>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r>
      <w:tr>
        <w:trPr>
          <w:trHeight w:val="196"/>
        </w:trPr>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11,999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16,590</w:t>
            </w:r>
          </w:p>
        </w:tc>
        <w:tc>
          <w:tcPr>
            <w:tcW w:w="60" w:type="dxa"/>
            <w:vAlign w:val="bottom"/>
          </w:tcPr>
          <w:p>
            <w:pPr>
              <w:spacing w:after="0"/>
              <w:rPr>
                <w:sz w:val="17"/>
                <w:szCs w:val="17"/>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7420" w:space="280"/>
            <w:col w:w="3540"/>
          </w:cols>
          <w:pgMar w:left="320" w:top="121" w:right="339" w:bottom="1440" w:gutter="0" w:footer="0" w:header="0"/>
          <w:type w:val="continuous"/>
        </w:sectPr>
      </w:pPr>
    </w:p>
    <w:p>
      <w:pPr>
        <w:jc w:val="both"/>
        <w:spacing w:after="0" w:line="24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26-week period ended June 30, 2024 was $44.5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of $34.4 million for the 26-week period ended July 2, 2023. Significant changes in the year-over-year change in working capital activity included positive fluctuations from accounts payable of $16.3 million and accounts receivable of $2.6 million. Partially offsetting these increases were negative fluctuations in inventories and accrued liabilities of $4.9 million and $4.8 million, respectively. The change in inventory reflects the impact of fluctuations in sales while changes in accounts payable and accounts receivable are impacted by the timing of payments and receipts.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13-week periods ended June 30, 2024 and July 2, 2023 were $2.4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$2.4 million, respectively, due to capital expenditures.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for the 26-week period ended June 30, 2024 was $30.0 million, which primarily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$28.6 million in principal payments on long-term debt. The principal payments of long-term debt during the 26-week period ended June 30, 2024 include the repurchase of $25.0 million outstanding principal on the first lien term loan. Cash used in financing activities for the 26-week period ended July 2, 2023 was $15.6 million, which primarily reflects principal payments on long-term debt and deferred financing fees.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2023, as filed with the SEC on March 14, 2024.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in this Quarterly Report on Form 10-Q. There have been no material changes to the Company’s critical accounting estimates included in our Annual Report on Form 10-K for the year ended December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Quarterly Report on Form 10-Q.</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 is intended to mitigate some of the effects of increases in interest rates. As of June 30, 2024, a total of $564.2 million of term loan and revolver borrowings were subject to variable interest rates, with a weighted average borrowing rate of 9.2%. A hypothetical 100 basis point increase in interest rates would result in an approximately $0.7 million increase in annual interest expense, while a hypothetical 100 basis point decrease in interest rates would result in an approximately $3.9 million decrease to Holley’s annual interest expense.</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Credit and other Risks. </w:t>
      </w:r>
      <w:r>
        <w:rPr>
          <w:rFonts w:ascii="Arial" w:cs="Arial" w:eastAsia="Arial" w:hAnsi="Arial"/>
          <w:sz w:val="18"/>
          <w:szCs w:val="18"/>
          <w:color w:val="auto"/>
        </w:rPr>
        <w:t>Holley is exposed to credit risk associated with cash and cash equivalents and trade receivables.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2024, the majority of the Company’s cash and cash equivalents consisted of cash balances in an overnight sweep account where funds are transferred to an interest-bearing deposit account that is insured by the Federal Deposit Insurance Corporation ("FDIC"). The FDIC insures financial institution deposits up to $250 thousand. Holley maintains deposits in certain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As of June 30, 2024, the Company is exposed to changes in foreign currency exchange rates. While historically</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exposure to changes in foreign currency exchange rates has not had a material effect on the Company’s financial condition or results of operations, foreign currency fluctuations could have a material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effective as of June 30, 2024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See Litigation in Note 15 “Commitments and Contingencies” to the Condensed Consolidated Financial Statements, which is incorporated by reference in this Item 1. Legal Proceedings.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2023, as filed with the SEC on March 14, 2024.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fiscal quarter ended June 30, 2024, no director or Section 16 officer adopted or terminated any Rule 10b5-1 trading arrangements or non-Rule 10b5-1 trading arrangements (in each case, as defined in Item 408(a) of Regulation S-K).</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4"/>
                <w:szCs w:val="24"/>
                <w:color w:val="auto"/>
              </w:rPr>
            </w:pPr>
          </w:p>
        </w:tc>
        <w:tc>
          <w:tcPr>
            <w:tcW w:w="986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1280" w:type="dxa"/>
            <w:vAlign w:val="bottom"/>
          </w:tcPr>
          <w:p>
            <w:pPr>
              <w:spacing w:after="0" w:line="16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gridSpan w:val="12"/>
          </w:tcPr>
          <w:p>
            <w:pPr>
              <w:spacing w:after="0" w:line="169" w:lineRule="exact"/>
              <w:rPr>
                <w:rFonts w:ascii="Arial" w:cs="Arial" w:eastAsia="Arial" w:hAnsi="Arial"/>
                <w:sz w:val="18"/>
                <w:szCs w:val="18"/>
                <w:color w:val="0000EE"/>
              </w:rPr>
            </w:pPr>
            <w:hyperlink r:id="rId41">
              <w:r>
                <w:rPr>
                  <w:rFonts w:ascii="Arial" w:cs="Arial" w:eastAsia="Arial" w:hAnsi="Arial"/>
                  <w:sz w:val="18"/>
                  <w:szCs w:val="18"/>
                  <w:color w:val="0000EE"/>
                </w:rPr>
                <w:t>Agreement and Plan of Merger, dated as of March 11, 2021, by and among Empower Ltd., Empower Merger Sub I Inc.,</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rPr>
            </w:pPr>
            <w:hyperlink r:id="rId41">
              <w:r>
                <w:rPr>
                  <w:rFonts w:ascii="Arial" w:cs="Arial" w:eastAsia="Arial" w:hAnsi="Arial"/>
                  <w:sz w:val="18"/>
                  <w:szCs w:val="18"/>
                  <w:color w:val="0000EE"/>
                </w:rPr>
                <w:t>Empower Merger Sub II LLC and Holley Intermediate Holdings, Inc. (incorporated by reference to Exhibit 2.1 to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0" w:type="dxa"/>
            <w:vAlign w:val="bottom"/>
            <w:gridSpan w:val="9"/>
          </w:tcPr>
          <w:p>
            <w:pPr>
              <w:spacing w:after="0" w:line="182" w:lineRule="exact"/>
              <w:rPr>
                <w:rFonts w:ascii="Arial" w:cs="Arial" w:eastAsia="Arial" w:hAnsi="Arial"/>
                <w:sz w:val="18"/>
                <w:szCs w:val="18"/>
                <w:color w:val="0000EE"/>
              </w:rPr>
            </w:pPr>
            <w:hyperlink r:id="rId41">
              <w:r>
                <w:rPr>
                  <w:rFonts w:ascii="Arial" w:cs="Arial" w:eastAsia="Arial" w:hAnsi="Arial"/>
                  <w:sz w:val="18"/>
                  <w:szCs w:val="18"/>
                  <w:color w:val="0000EE"/>
                </w:rPr>
                <w:t>Company’s Current Report on Form 8-K, filed with the SEC on March 12,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12"/>
          </w:tcPr>
          <w:p>
            <w:pPr>
              <w:spacing w:after="0" w:line="182" w:lineRule="exact"/>
              <w:rPr>
                <w:rFonts w:ascii="Arial" w:cs="Arial" w:eastAsia="Arial" w:hAnsi="Arial"/>
                <w:sz w:val="18"/>
                <w:szCs w:val="18"/>
                <w:color w:val="0000EE"/>
              </w:rPr>
            </w:pPr>
            <w:hyperlink r:id="rId42">
              <w:r>
                <w:rPr>
                  <w:rFonts w:ascii="Arial" w:cs="Arial" w:eastAsia="Arial" w:hAnsi="Arial"/>
                  <w:sz w:val="18"/>
                  <w:szCs w:val="18"/>
                  <w:color w:val="0000EE"/>
                </w:rPr>
                <w:t>Certificate of Incorporation of the Company, dated July 16, 2021 (incorporated by reference to Exhibit 3.1 of the</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42">
              <w:r>
                <w:rPr>
                  <w:rFonts w:ascii="Arial" w:cs="Arial" w:eastAsia="Arial" w:hAnsi="Arial"/>
                  <w:sz w:val="18"/>
                  <w:szCs w:val="18"/>
                  <w:color w:val="0000EE"/>
                </w:rPr>
                <w:t>Company’s Current Report on Form 8-K, filed with the SEC on July 21,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43">
              <w:r>
                <w:rPr>
                  <w:rFonts w:ascii="Arial" w:cs="Arial" w:eastAsia="Arial" w:hAnsi="Arial"/>
                  <w:sz w:val="18"/>
                  <w:szCs w:val="18"/>
                  <w:color w:val="0000EE"/>
                </w:rPr>
                <w:t>Amended and Restated By-Laws of the Company, dated August 8, 2023</w:t>
              </w:r>
            </w:hyperlink>
          </w:p>
        </w:tc>
        <w:tc>
          <w:tcPr>
            <w:tcW w:w="3680" w:type="dxa"/>
            <w:vAlign w:val="bottom"/>
            <w:gridSpan w:val="10"/>
          </w:tcPr>
          <w:p>
            <w:pPr>
              <w:spacing w:after="0" w:line="182" w:lineRule="exact"/>
              <w:rPr>
                <w:rFonts w:ascii="Arial" w:cs="Arial" w:eastAsia="Arial" w:hAnsi="Arial"/>
                <w:sz w:val="18"/>
                <w:szCs w:val="18"/>
                <w:color w:val="0000EE"/>
                <w:w w:val="98"/>
              </w:rPr>
            </w:pPr>
            <w:hyperlink r:id="rId43">
              <w:r>
                <w:rPr>
                  <w:rFonts w:ascii="Arial" w:cs="Arial" w:eastAsia="Arial" w:hAnsi="Arial"/>
                  <w:sz w:val="18"/>
                  <w:szCs w:val="18"/>
                  <w:color w:val="0000EE"/>
                  <w:w w:val="98"/>
                </w:rPr>
                <w:t>(incorporated by reference to Exhibit 3.1 of the</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43">
              <w:r>
                <w:rPr>
                  <w:rFonts w:ascii="Arial" w:cs="Arial" w:eastAsia="Arial" w:hAnsi="Arial"/>
                  <w:sz w:val="18"/>
                  <w:szCs w:val="18"/>
                  <w:color w:val="0000EE"/>
                </w:rPr>
                <w:t>Company’s Current Report on Form 8-K, filed with the SEC on August 9, 2023).</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12"/>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Rules 13a-14(a) and 15d-14(a) of the Exchange Act</w:t>
            </w:r>
          </w:p>
        </w:tc>
        <w:tc>
          <w:tcPr>
            <w:tcW w:w="0" w:type="dxa"/>
            <w:vAlign w:val="bottom"/>
          </w:tcPr>
          <w:p>
            <w:pPr>
              <w:spacing w:after="0"/>
              <w:rPr>
                <w:sz w:val="1"/>
                <w:szCs w:val="1"/>
                <w:color w:val="auto"/>
              </w:rPr>
            </w:pPr>
          </w:p>
        </w:tc>
      </w:tr>
      <w:tr>
        <w:trPr>
          <w:trHeight w:val="183"/>
        </w:trPr>
        <w:tc>
          <w:tcPr>
            <w:tcW w:w="12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Rules 13a-14(a) and 15d-14(a) of the Exchange Act</w:t>
            </w:r>
          </w:p>
        </w:tc>
        <w:tc>
          <w:tcPr>
            <w:tcW w:w="40" w:type="dxa"/>
            <w:vAlign w:val="bottom"/>
            <w:tcBorders>
              <w:top w:val="single" w:sz="8" w:color="0000EE"/>
            </w:tcBorders>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12"/>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 13a-14(b) of the Exchange Act and 18 U.S.C. 1350, as adopted</w:t>
            </w:r>
          </w:p>
        </w:tc>
        <w:tc>
          <w:tcPr>
            <w:tcW w:w="0" w:type="dxa"/>
            <w:vAlign w:val="bottom"/>
          </w:tcPr>
          <w:p>
            <w:pPr>
              <w:spacing w:after="0"/>
              <w:rPr>
                <w:sz w:val="1"/>
                <w:szCs w:val="1"/>
                <w:color w:val="auto"/>
              </w:rPr>
            </w:pPr>
          </w:p>
        </w:tc>
      </w:tr>
      <w:tr>
        <w:trPr>
          <w:trHeight w:val="182"/>
        </w:trPr>
        <w:tc>
          <w:tcPr>
            <w:tcW w:w="128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5040" w:type="dxa"/>
            <w:vAlign w:val="bottom"/>
            <w:tcBorders>
              <w:top w:val="single" w:sz="8" w:color="0000EE"/>
            </w:tcBorders>
            <w:gridSpan w:val="5"/>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12"/>
          </w:tcPr>
          <w:p>
            <w:pPr>
              <w:spacing w:after="0" w:line="182" w:lineRule="exact"/>
              <w:rPr>
                <w:sz w:val="20"/>
                <w:szCs w:val="20"/>
                <w:color w:val="auto"/>
              </w:rPr>
            </w:pPr>
            <w:r>
              <w:rPr>
                <w:rFonts w:ascii="Arial" w:cs="Arial" w:eastAsia="Arial" w:hAnsi="Arial"/>
                <w:sz w:val="18"/>
                <w:szCs w:val="18"/>
                <w:color w:val="0000EE"/>
              </w:rPr>
              <w:t>Certification of Chief Financial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5"/>
                <w:szCs w:val="15"/>
                <w:color w:val="auto"/>
              </w:rPr>
            </w:pPr>
          </w:p>
        </w:tc>
        <w:tc>
          <w:tcPr>
            <w:tcW w:w="98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pursuant to Section 906 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tcBorders>
              <w:top w:val="single" w:sz="8" w:color="0000EE"/>
            </w:tcBorders>
          </w:tcPr>
          <w:p>
            <w:pPr>
              <w:spacing w:after="0" w:line="191" w:lineRule="exact"/>
              <w:rPr>
                <w:sz w:val="20"/>
                <w:szCs w:val="20"/>
                <w:color w:val="auto"/>
              </w:rPr>
            </w:pPr>
            <w:r>
              <w:rPr>
                <w:rFonts w:ascii="Arial" w:cs="Arial" w:eastAsia="Arial" w:hAnsi="Arial"/>
                <w:sz w:val="18"/>
                <w:szCs w:val="18"/>
                <w:color w:val="auto"/>
              </w:rPr>
              <w:t>Inline XBRL Instance Document - the instance document</w:t>
            </w:r>
          </w:p>
        </w:tc>
        <w:tc>
          <w:tcPr>
            <w:tcW w:w="5160" w:type="dxa"/>
            <w:vAlign w:val="bottom"/>
            <w:gridSpan w:val="11"/>
          </w:tcPr>
          <w:p>
            <w:pPr>
              <w:spacing w:after="0" w:line="191" w:lineRule="exact"/>
              <w:rPr>
                <w:sz w:val="20"/>
                <w:szCs w:val="20"/>
                <w:color w:val="auto"/>
              </w:rPr>
            </w:pPr>
            <w:r>
              <w:rPr>
                <w:rFonts w:ascii="Arial" w:cs="Arial" w:eastAsia="Arial" w:hAnsi="Arial"/>
                <w:sz w:val="18"/>
                <w:szCs w:val="18"/>
                <w:color w:val="auto"/>
              </w:rPr>
              <w:t>does not appear in the Interactive Data File because its XBRL</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1"/>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500" w:hanging="1492"/>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w:t>
      </w:r>
    </w:p>
    <w:p>
      <w:pPr>
        <w:spacing w:after="0" w:line="38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Holley Inc.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Jesse Weaver</w:t>
      </w:r>
    </w:p>
    <w:p>
      <w:pPr>
        <w:ind w:left="6760"/>
        <w:spacing w:after="0"/>
        <w:rPr>
          <w:sz w:val="20"/>
          <w:szCs w:val="20"/>
          <w:color w:val="auto"/>
        </w:rPr>
      </w:pPr>
      <w:r>
        <w:rPr>
          <w:rFonts w:ascii="Arial" w:cs="Arial" w:eastAsia="Arial" w:hAnsi="Arial"/>
          <w:sz w:val="18"/>
          <w:szCs w:val="18"/>
          <w:color w:val="auto"/>
        </w:rPr>
        <w:t>Chief Financial Officer (Duly Authorized Officer)</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August 7, 2024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1" w:right="3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Stevenson,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Holley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Matthew Stevenson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August 7, 2024</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Jesse Weaver,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Holley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Jesse Weaver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August 7, 2024</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Holley Inc. (the "Company") on Form 10-Q for the period ended June 30, 2024, as filed with the Securities and Exchange Commission (the "Report"), I, Matthew Stevenson, President and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Matthew Stevenson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August 7,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Holley Inc. (the "Company") on Form 10-Q for the period ended June 30, 2024, as filed with the Securities and Exchange Commission (the "Report"), I, Jesse Weaver,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Jesse Weaver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August 7,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4"/>
    </w:lvl>
  </w:abstractNum>
  <w:abstractNum w:abstractNumId="8">
    <w:nsid w:val="3F2DBA31"/>
    <w:multiLevelType w:val="hybridMultilevel"/>
    <w:lvl w:ilvl="0">
      <w:lvlJc w:val="left"/>
      <w:lvlText w:val="%1."/>
      <w:numFmt w:val="decimal"/>
      <w:start w:val="5"/>
    </w:lvl>
  </w:abstractNum>
  <w:abstractNum w:abstractNumId="9">
    <w:nsid w:val="7C83E458"/>
    <w:multiLevelType w:val="hybridMultilevel"/>
    <w:lvl w:ilvl="0">
      <w:lvlJc w:val="left"/>
      <w:lvlText w:val="%1."/>
      <w:numFmt w:val="decimal"/>
      <w:start w:val="6"/>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2"/>
    </w:lvl>
  </w:abstractNum>
  <w:abstractNum w:abstractNumId="14">
    <w:nsid w:val="333AB105"/>
    <w:multiLevelType w:val="hybridMultilevel"/>
    <w:lvl w:ilvl="0">
      <w:lvlJc w:val="left"/>
      <w:lvlText w:val="%1."/>
      <w:numFmt w:val="decimal"/>
      <w:start w:val="13"/>
    </w:lvl>
  </w:abstractNum>
  <w:abstractNum w:abstractNumId="15">
    <w:nsid w:val="721DA317"/>
    <w:multiLevelType w:val="hybridMultilevel"/>
    <w:lvl w:ilvl="0">
      <w:lvlJc w:val="left"/>
      <w:lvlText w:val="%1."/>
      <w:numFmt w:val="decimal"/>
      <w:start w:val="14"/>
    </w:lvl>
  </w:abstractNum>
  <w:abstractNum w:abstractNumId="16">
    <w:nsid w:val="2443A858"/>
    <w:multiLevelType w:val="hybridMultilevel"/>
    <w:lvl w:ilvl="0">
      <w:lvlJc w:val="left"/>
      <w:lvlText w:val="%1."/>
      <w:numFmt w:val="decimal"/>
      <w:start w:val="15"/>
    </w:lvl>
  </w:abstractNum>
  <w:abstractNum w:abstractNumId="17">
    <w:nsid w:val="2D1D5AE9"/>
    <w:multiLevelType w:val="hybridMultilevel"/>
    <w:lvl w:ilvl="0">
      <w:lvlJc w:val="left"/>
      <w:lvlText w:val="%1"/>
      <w:numFmt w:val="decimal"/>
      <w:start w:val="104"/>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41" Type="http://schemas.openxmlformats.org/officeDocument/2006/relationships/hyperlink" Target="http://www.sec.gov/Archives/edgar/data/1822928/000121390021015000/ea137482ex2_1empower.htm" TargetMode="External"/><Relationship Id="rId42" Type="http://schemas.openxmlformats.org/officeDocument/2006/relationships/hyperlink" Target="http://www.sec.gov/Archives/edgar/data/1822928/000119312521220722/d185405dex31.htm" TargetMode="External"/><Relationship Id="rId43" Type="http://schemas.openxmlformats.org/officeDocument/2006/relationships/hyperlink" Target="http://www.sec.gov/Archives/edgar/data/1822928/000143774923022802/ex_5577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2024-08-07T15:21:19Z</dcterms:created>
  <dcterms:modified xsi:type="dcterms:W3CDTF">2024-08-07T15:21:19Z</dcterms:modified>
</cp:coreProperties>
</file>