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UNITED STATES</w:t>
      </w:r>
    </w:p>
    <w:p>
      <w:pPr>
        <w:spacing w:after="0" w:line="39" w:lineRule="exact"/>
        <w:rPr>
          <w:sz w:val="24"/>
          <w:szCs w:val="24"/>
          <w:color w:val="auto"/>
        </w:rPr>
      </w:pPr>
    </w:p>
    <w:p>
      <w:pPr>
        <w:ind w:left="334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3" w:lineRule="exact"/>
        <w:rPr>
          <w:sz w:val="24"/>
          <w:szCs w:val="24"/>
          <w:color w:val="auto"/>
        </w:rPr>
      </w:pPr>
    </w:p>
    <w:p>
      <w:pPr>
        <w:ind w:left="560" w:hanging="534"/>
        <w:spacing w:after="0"/>
        <w:tabs>
          <w:tab w:leader="none" w:pos="560" w:val="left"/>
        </w:tabs>
        <w:numPr>
          <w:ilvl w:val="0"/>
          <w:numId w:val="1"/>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29, 2026</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08" w:lineRule="exact"/>
        <w:rPr>
          <w:sz w:val="24"/>
          <w:szCs w:val="24"/>
          <w:color w:val="auto"/>
        </w:rPr>
      </w:pPr>
    </w:p>
    <w:p>
      <w:pPr>
        <w:ind w:left="560" w:hanging="534"/>
        <w:spacing w:after="0"/>
        <w:tabs>
          <w:tab w:leader="none" w:pos="560" w:val="left"/>
        </w:tabs>
        <w:numPr>
          <w:ilvl w:val="0"/>
          <w:numId w:val="2"/>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62" w:lineRule="exact"/>
        <w:rPr>
          <w:sz w:val="24"/>
          <w:szCs w:val="24"/>
          <w:color w:val="auto"/>
        </w:rPr>
      </w:pPr>
    </w:p>
    <w:p>
      <w:pPr>
        <w:ind w:left="3480"/>
        <w:spacing w:after="0"/>
        <w:rPr>
          <w:sz w:val="20"/>
          <w:szCs w:val="20"/>
          <w:color w:val="auto"/>
        </w:rPr>
      </w:pPr>
      <w:r>
        <w:rPr>
          <w:rFonts w:ascii="Arial" w:cs="Arial" w:eastAsia="Arial" w:hAnsi="Arial"/>
          <w:sz w:val="16"/>
          <w:szCs w:val="16"/>
          <w:b w:val="1"/>
          <w:bCs w:val="1"/>
          <w:color w:val="auto"/>
        </w:rPr>
        <w:t>For the transition period from __________to__________</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001-39599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HOLLEY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59" w:lineRule="exact"/>
        <w:rPr>
          <w:sz w:val="24"/>
          <w:szCs w:val="24"/>
          <w:color w:val="auto"/>
        </w:rPr>
      </w:pPr>
    </w:p>
    <w:p>
      <w:pPr>
        <w:ind w:left="2460"/>
        <w:spacing w:after="0"/>
        <w:tabs>
          <w:tab w:leader="none" w:pos="798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87-1727560</w:t>
      </w:r>
    </w:p>
    <w:p>
      <w:pPr>
        <w:spacing w:after="0" w:line="55" w:lineRule="exact"/>
        <w:rPr>
          <w:sz w:val="24"/>
          <w:szCs w:val="24"/>
          <w:color w:val="auto"/>
        </w:rPr>
      </w:pPr>
    </w:p>
    <w:p>
      <w:pPr>
        <w:ind w:left="1040"/>
        <w:spacing w:after="0"/>
        <w:tabs>
          <w:tab w:leader="none" w:pos="7380" w:val="left"/>
        </w:tabs>
        <w:rPr>
          <w:sz w:val="20"/>
          <w:szCs w:val="20"/>
          <w:color w:val="auto"/>
        </w:rPr>
      </w:pPr>
      <w:r>
        <w:rPr>
          <w:rFonts w:ascii="Arial" w:cs="Arial" w:eastAsia="Arial" w:hAnsi="Arial"/>
          <w:sz w:val="13"/>
          <w:szCs w:val="13"/>
          <w:b w:val="1"/>
          <w:bCs w:val="1"/>
          <w:color w:val="auto"/>
        </w:rPr>
        <w:t>(State or other jurisdiction of incorporation or organization)</w:t>
      </w:r>
      <w:r>
        <w:rPr>
          <w:sz w:val="20"/>
          <w:szCs w:val="20"/>
          <w:color w:val="auto"/>
        </w:rPr>
        <w:tab/>
      </w:r>
      <w:r>
        <w:rPr>
          <w:rFonts w:ascii="Arial" w:cs="Arial" w:eastAsia="Arial" w:hAnsi="Arial"/>
          <w:sz w:val="12"/>
          <w:szCs w:val="12"/>
          <w:b w:val="1"/>
          <w:bCs w:val="1"/>
          <w:color w:val="auto"/>
        </w:rPr>
        <w:t>(I.R.S. Employer Identification No.)</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1A Burton Hills Blvd, Suite 240, Nashville, TN 37215</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(270) 782-2900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N/A</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Trading</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25"/>
        </w:trPr>
        <w:tc>
          <w:tcPr>
            <w:tcW w:w="3760" w:type="dxa"/>
            <w:vAlign w:val="bottom"/>
            <w:gridSpan w:val="2"/>
          </w:tcPr>
          <w:p>
            <w:pPr>
              <w:jc w:val="center"/>
              <w:ind w:right="80"/>
              <w:spacing w:after="0"/>
              <w:rPr>
                <w:sz w:val="20"/>
                <w:szCs w:val="20"/>
                <w:color w:val="auto"/>
              </w:rPr>
            </w:pPr>
            <w:r>
              <w:rPr>
                <w:rFonts w:ascii="Arial" w:cs="Arial" w:eastAsia="Arial" w:hAnsi="Arial"/>
                <w:sz w:val="16"/>
                <w:szCs w:val="16"/>
                <w:color w:val="auto"/>
              </w:rPr>
              <w:t>Common Stock, par value $0.0001</w:t>
            </w:r>
          </w:p>
        </w:tc>
        <w:tc>
          <w:tcPr>
            <w:tcW w:w="38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HLLY</w:t>
            </w:r>
          </w:p>
        </w:tc>
        <w:tc>
          <w:tcPr>
            <w:tcW w:w="36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43"/>
        </w:trPr>
        <w:tc>
          <w:tcPr>
            <w:tcW w:w="3760" w:type="dxa"/>
            <w:vAlign w:val="bottom"/>
            <w:gridSpan w:val="2"/>
          </w:tcPr>
          <w:p>
            <w:pPr>
              <w:jc w:val="center"/>
              <w:ind w:right="80"/>
              <w:spacing w:after="0"/>
              <w:rPr>
                <w:sz w:val="20"/>
                <w:szCs w:val="20"/>
                <w:color w:val="auto"/>
              </w:rPr>
            </w:pPr>
            <w:r>
              <w:rPr>
                <w:rFonts w:ascii="Arial" w:cs="Arial" w:eastAsia="Arial" w:hAnsi="Arial"/>
                <w:sz w:val="16"/>
                <w:szCs w:val="16"/>
                <w:color w:val="auto"/>
              </w:rPr>
              <w:t>Warrants to purchase common stock</w:t>
            </w:r>
          </w:p>
        </w:tc>
        <w:tc>
          <w:tcPr>
            <w:tcW w:w="38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HLLY WS</w:t>
            </w:r>
          </w:p>
        </w:tc>
        <w:tc>
          <w:tcPr>
            <w:tcW w:w="36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04"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64"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64"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1" w:lineRule="exact"/>
        <w:rPr>
          <w:sz w:val="24"/>
          <w:szCs w:val="24"/>
          <w:color w:val="auto"/>
        </w:rPr>
      </w:pPr>
    </w:p>
    <w:tbl>
      <w:tblPr>
        <w:tblLayout w:type="fixed"/>
        <w:tblInd w:w="720" w:type="dxa"/>
        <w:tblCellMar>
          <w:top w:w="0" w:type="dxa"/>
          <w:left w:w="0" w:type="dxa"/>
          <w:bottom w:w="0" w:type="dxa"/>
          <w:right w:w="0" w:type="dxa"/>
        </w:tblCellMar>
      </w:tblPr>
      <w:tr>
        <w:trPr>
          <w:trHeight w:val="215"/>
        </w:trPr>
        <w:tc>
          <w:tcPr>
            <w:tcW w:w="19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4360" w:type="dxa"/>
            <w:vAlign w:val="bottom"/>
          </w:tcPr>
          <w:p>
            <w:pPr>
              <w:ind w:left="2300"/>
              <w:spacing w:after="0"/>
              <w:rPr>
                <w:sz w:val="20"/>
                <w:szCs w:val="20"/>
                <w:color w:val="auto"/>
              </w:rPr>
            </w:pPr>
            <w:r>
              <w:rPr>
                <w:rFonts w:ascii="Arial" w:cs="Arial" w:eastAsia="Arial" w:hAnsi="Arial"/>
                <w:sz w:val="16"/>
                <w:szCs w:val="16"/>
                <w:color w:val="auto"/>
              </w:rPr>
              <w:t>Accelerated filer</w:t>
            </w:r>
          </w:p>
        </w:tc>
        <w:tc>
          <w:tcPr>
            <w:tcW w:w="320" w:type="dxa"/>
            <w:vAlign w:val="bottom"/>
          </w:tcPr>
          <w:p>
            <w:pPr>
              <w:jc w:val="right"/>
              <w:spacing w:after="0"/>
              <w:rPr>
                <w:sz w:val="20"/>
                <w:szCs w:val="20"/>
                <w:color w:val="auto"/>
              </w:rPr>
            </w:pPr>
            <w:r>
              <w:rPr>
                <w:rFonts w:ascii="Wingdings" w:cs="Wingdings" w:eastAsia="Wingdings" w:hAnsi="Wingdings"/>
                <w:sz w:val="16"/>
                <w:szCs w:val="16"/>
                <w:b w:val="1"/>
                <w:bCs w:val="1"/>
                <w:color w:val="auto"/>
              </w:rPr>
              <w:t>x</w:t>
            </w:r>
          </w:p>
        </w:tc>
      </w:tr>
      <w:tr>
        <w:trPr>
          <w:trHeight w:val="391"/>
        </w:trPr>
        <w:tc>
          <w:tcPr>
            <w:tcW w:w="1920" w:type="dxa"/>
            <w:vAlign w:val="bottom"/>
          </w:tcPr>
          <w:p>
            <w:pPr>
              <w:spacing w:after="0"/>
              <w:rPr>
                <w:sz w:val="20"/>
                <w:szCs w:val="20"/>
                <w:color w:val="auto"/>
              </w:rPr>
            </w:pPr>
            <w:r>
              <w:rPr>
                <w:rFonts w:ascii="Arial" w:cs="Arial" w:eastAsia="Arial" w:hAnsi="Arial"/>
                <w:sz w:val="16"/>
                <w:szCs w:val="16"/>
                <w:color w:val="auto"/>
              </w:rPr>
              <w:t>Non-accelerated filer</w:t>
            </w:r>
          </w:p>
        </w:tc>
        <w:tc>
          <w:tcPr>
            <w:tcW w:w="27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4360" w:type="dxa"/>
            <w:vAlign w:val="bottom"/>
          </w:tcPr>
          <w:p>
            <w:pPr>
              <w:ind w:left="230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jc w:val="right"/>
              <w:spacing w:after="0"/>
              <w:rPr>
                <w:sz w:val="20"/>
                <w:szCs w:val="20"/>
                <w:color w:val="auto"/>
              </w:rPr>
            </w:pPr>
            <w:r>
              <w:rPr>
                <w:rFonts w:ascii="Wingdings" w:cs="Wingdings" w:eastAsia="Wingdings" w:hAnsi="Wingdings"/>
                <w:sz w:val="16"/>
                <w:szCs w:val="16"/>
                <w:b w:val="1"/>
                <w:bCs w:val="1"/>
                <w:color w:val="auto"/>
              </w:rPr>
              <w:t>x</w:t>
            </w:r>
          </w:p>
        </w:tc>
      </w:tr>
      <w:tr>
        <w:trPr>
          <w:trHeight w:val="391"/>
        </w:trPr>
        <w:tc>
          <w:tcPr>
            <w:tcW w:w="1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360" w:type="dxa"/>
            <w:vAlign w:val="bottom"/>
          </w:tcPr>
          <w:p>
            <w:pPr>
              <w:ind w:left="230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jc w:val="right"/>
              <w:spacing w:after="0"/>
              <w:rPr>
                <w:sz w:val="20"/>
                <w:szCs w:val="20"/>
                <w:color w:val="auto"/>
              </w:rPr>
            </w:pPr>
            <w:r>
              <w:rPr>
                <w:rFonts w:ascii="Wingdings" w:cs="Wingdings" w:eastAsia="Wingdings" w:hAnsi="Wingdings"/>
                <w:sz w:val="16"/>
                <w:szCs w:val="16"/>
                <w:b w:val="1"/>
                <w:bCs w:val="1"/>
                <w:color w:val="auto"/>
              </w:rPr>
              <w:t>o</w:t>
            </w:r>
          </w:p>
        </w:tc>
      </w:tr>
    </w:tbl>
    <w:p>
      <w:pPr>
        <w:spacing w:after="0" w:line="190" w:lineRule="exact"/>
        <w:rPr>
          <w:sz w:val="24"/>
          <w:szCs w:val="24"/>
          <w:color w:val="auto"/>
        </w:rPr>
      </w:pPr>
    </w:p>
    <w:p>
      <w:pPr>
        <w:ind w:right="20"/>
        <w:spacing w:after="0" w:line="304"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4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Rule12b-2 of the Exchange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x</w:t>
      </w:r>
    </w:p>
    <w:p>
      <w:pPr>
        <w:spacing w:after="0" w:line="235"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There were 121,463,598 shares of Common Stock, including 1,093,750 restricted earn-out shares, par value $0.0001 per share, issued and outstanding as of 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716"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716"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100" w:type="dxa"/>
            <w:vAlign w:val="bottom"/>
            <w:gridSpan w:val="4"/>
          </w:tcPr>
          <w:p>
            <w:pPr>
              <w:jc w:val="center"/>
              <w:ind w:right="1300"/>
              <w:spacing w:after="0"/>
              <w:rPr>
                <w:sz w:val="20"/>
                <w:szCs w:val="20"/>
                <w:color w:val="auto"/>
              </w:rPr>
            </w:pPr>
            <w:r>
              <w:rPr>
                <w:rFonts w:ascii="Arial" w:cs="Arial" w:eastAsia="Arial" w:hAnsi="Arial"/>
                <w:sz w:val="18"/>
                <w:szCs w:val="18"/>
                <w:b w:val="1"/>
                <w:bCs w:val="1"/>
                <w:color w:val="auto"/>
                <w:w w:val="98"/>
              </w:rPr>
              <w:t>TABLE OF CONTENTS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3"/>
        </w:trPr>
        <w:tc>
          <w:tcPr>
            <w:tcW w:w="20" w:type="dxa"/>
            <w:vAlign w:val="bottom"/>
          </w:tcPr>
          <w:p>
            <w:pPr>
              <w:spacing w:after="0"/>
              <w:rPr>
                <w:sz w:val="24"/>
                <w:szCs w:val="24"/>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PART I – FINANCIAL INFORMATION</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3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9"/>
              </w:rPr>
              <w:t>Item 1. Financial Statements.</w:t>
            </w:r>
          </w:p>
        </w:tc>
        <w:tc>
          <w:tcPr>
            <w:tcW w:w="660" w:type="dxa"/>
            <w:vAlign w:val="bottom"/>
            <w:tcBorders>
              <w:top w:val="single" w:sz="8" w:color="0000FF"/>
            </w:tcBorders>
            <w:gridSpan w:val="3"/>
          </w:tcPr>
          <w:p>
            <w:pPr>
              <w:spacing w:after="0"/>
              <w:rPr>
                <w:sz w:val="21"/>
                <w:szCs w:val="21"/>
                <w:color w:val="auto"/>
              </w:rPr>
            </w:pPr>
          </w:p>
        </w:tc>
        <w:tc>
          <w:tcPr>
            <w:tcW w:w="6300" w:type="dxa"/>
            <w:vAlign w:val="bottom"/>
            <w:gridSpan w:val="5"/>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98"/>
        </w:trPr>
        <w:tc>
          <w:tcPr>
            <w:tcW w:w="20" w:type="dxa"/>
            <w:vAlign w:val="bottom"/>
          </w:tcPr>
          <w:p>
            <w:pPr>
              <w:spacing w:after="0"/>
              <w:rPr>
                <w:sz w:val="24"/>
                <w:szCs w:val="24"/>
                <w:color w:val="auto"/>
              </w:rPr>
            </w:pPr>
          </w:p>
        </w:tc>
        <w:tc>
          <w:tcPr>
            <w:tcW w:w="7740" w:type="dxa"/>
            <w:vAlign w:val="bottom"/>
            <w:gridSpan w:val="14"/>
          </w:tcPr>
          <w:p>
            <w:pPr>
              <w:spacing w:after="0"/>
              <w:rPr>
                <w:sz w:val="20"/>
                <w:szCs w:val="20"/>
                <w:color w:val="auto"/>
              </w:rPr>
            </w:pPr>
            <w:r>
              <w:rPr>
                <w:rFonts w:ascii="Arial" w:cs="Arial" w:eastAsia="Arial" w:hAnsi="Arial"/>
                <w:sz w:val="18"/>
                <w:szCs w:val="18"/>
                <w:color w:val="0000FF"/>
                <w:w w:val="99"/>
              </w:rPr>
              <w:t>Item 2. Management’s Discussion and Analysis of Financial Condition and Results of Operations.</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7740" w:type="dxa"/>
            <w:vAlign w:val="bottom"/>
            <w:gridSpan w:val="14"/>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rPr>
              <w:t>39</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2540" w:type="dxa"/>
            <w:vAlign w:val="bottom"/>
            <w:gridSpan w:val="8"/>
          </w:tcPr>
          <w:p>
            <w:pPr>
              <w:spacing w:after="0"/>
              <w:rPr>
                <w:sz w:val="20"/>
                <w:szCs w:val="20"/>
                <w:color w:val="auto"/>
              </w:rPr>
            </w:pPr>
            <w:r>
              <w:rPr>
                <w:rFonts w:ascii="Arial" w:cs="Arial" w:eastAsia="Arial" w:hAnsi="Arial"/>
                <w:sz w:val="18"/>
                <w:szCs w:val="18"/>
                <w:color w:val="0000FF"/>
                <w:w w:val="96"/>
              </w:rPr>
              <w:t>Item 4. Controls and Procedures</w:t>
            </w:r>
          </w:p>
        </w:tc>
        <w:tc>
          <w:tcPr>
            <w:tcW w:w="2820" w:type="dxa"/>
            <w:vAlign w:val="bottom"/>
            <w:gridSpan w:val="4"/>
          </w:tcPr>
          <w:p>
            <w:pPr>
              <w:spacing w:after="0"/>
              <w:rPr>
                <w:sz w:val="24"/>
                <w:szCs w:val="24"/>
                <w:color w:val="auto"/>
              </w:rPr>
            </w:pPr>
          </w:p>
        </w:tc>
        <w:tc>
          <w:tcPr>
            <w:tcW w:w="3940" w:type="dxa"/>
            <w:vAlign w:val="bottom"/>
            <w:gridSpan w:val="3"/>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0000FF"/>
                <w:w w:val="73"/>
              </w:rPr>
              <w:t>39</w:t>
            </w: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4"/>
        </w:trPr>
        <w:tc>
          <w:tcPr>
            <w:tcW w:w="20" w:type="dxa"/>
            <w:vAlign w:val="bottom"/>
          </w:tcPr>
          <w:p>
            <w:pPr>
              <w:spacing w:after="0"/>
              <w:rPr>
                <w:sz w:val="24"/>
                <w:szCs w:val="24"/>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PART II – OTHER INFORMATION</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7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Item 1. Legal Proceedings.</w:t>
            </w:r>
          </w:p>
        </w:tc>
        <w:tc>
          <w:tcPr>
            <w:tcW w:w="6560" w:type="dxa"/>
            <w:vAlign w:val="bottom"/>
            <w:gridSpan w:val="6"/>
          </w:tcPr>
          <w:p>
            <w:pPr>
              <w:spacing w:after="0"/>
              <w:rPr>
                <w:sz w:val="21"/>
                <w:szCs w:val="21"/>
                <w:color w:val="auto"/>
              </w:rPr>
            </w:pPr>
          </w:p>
        </w:tc>
        <w:tc>
          <w:tcPr>
            <w:tcW w:w="1920" w:type="dxa"/>
            <w:vAlign w:val="bottom"/>
            <w:gridSpan w:val="5"/>
          </w:tcPr>
          <w:p>
            <w:pPr>
              <w:jc w:val="right"/>
              <w:ind w:right="20"/>
              <w:spacing w:after="0"/>
              <w:rPr>
                <w:sz w:val="20"/>
                <w:szCs w:val="20"/>
                <w:color w:val="auto"/>
              </w:rPr>
            </w:pPr>
            <w:r>
              <w:rPr>
                <w:rFonts w:ascii="Arial" w:cs="Arial" w:eastAsia="Arial" w:hAnsi="Arial"/>
                <w:sz w:val="18"/>
                <w:szCs w:val="18"/>
                <w:color w:val="0000FF"/>
              </w:rPr>
              <w:t>41</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780" w:type="dxa"/>
            <w:vAlign w:val="bottom"/>
            <w:gridSpan w:val="4"/>
          </w:tcPr>
          <w:p>
            <w:pPr>
              <w:spacing w:after="0"/>
              <w:rPr>
                <w:sz w:val="20"/>
                <w:szCs w:val="20"/>
                <w:color w:val="auto"/>
              </w:rPr>
            </w:pPr>
            <w:r>
              <w:rPr>
                <w:rFonts w:ascii="Arial" w:cs="Arial" w:eastAsia="Arial" w:hAnsi="Arial"/>
                <w:sz w:val="18"/>
                <w:szCs w:val="18"/>
                <w:color w:val="0000FF"/>
                <w:w w:val="99"/>
              </w:rPr>
              <w:t>Item 1A. Risk Factors.</w:t>
            </w:r>
          </w:p>
        </w:tc>
        <w:tc>
          <w:tcPr>
            <w:tcW w:w="360" w:type="dxa"/>
            <w:vAlign w:val="bottom"/>
            <w:gridSpan w:val="2"/>
          </w:tcPr>
          <w:p>
            <w:pPr>
              <w:spacing w:after="0"/>
              <w:rPr>
                <w:sz w:val="24"/>
                <w:szCs w:val="24"/>
                <w:color w:val="auto"/>
              </w:rPr>
            </w:pPr>
          </w:p>
        </w:tc>
        <w:tc>
          <w:tcPr>
            <w:tcW w:w="7160" w:type="dxa"/>
            <w:vAlign w:val="bottom"/>
            <w:gridSpan w:val="9"/>
          </w:tcPr>
          <w:p>
            <w:pPr>
              <w:spacing w:after="0"/>
              <w:rPr>
                <w:sz w:val="24"/>
                <w:szCs w:val="24"/>
                <w:color w:val="auto"/>
              </w:rPr>
            </w:pPr>
          </w:p>
        </w:tc>
        <w:tc>
          <w:tcPr>
            <w:tcW w:w="1740" w:type="dxa"/>
            <w:vAlign w:val="bottom"/>
            <w:gridSpan w:val="3"/>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0000FF"/>
                <w:w w:val="73"/>
              </w:rPr>
              <w:t>41</w:t>
            </w: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740" w:type="dxa"/>
            <w:vAlign w:val="bottom"/>
            <w:tcBorders>
              <w:right w:val="single" w:sz="8" w:color="0000FF"/>
            </w:tcBorders>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900" w:type="dxa"/>
            <w:vAlign w:val="bottom"/>
            <w:gridSpan w:val="4"/>
          </w:tcPr>
          <w:p>
            <w:pPr>
              <w:ind w:left="1540"/>
              <w:spacing w:after="0"/>
              <w:rPr>
                <w:sz w:val="20"/>
                <w:szCs w:val="20"/>
                <w:color w:val="auto"/>
              </w:rPr>
            </w:pPr>
            <w:r>
              <w:rPr>
                <w:rFonts w:ascii="Arial" w:cs="Arial" w:eastAsia="Arial" w:hAnsi="Arial"/>
                <w:sz w:val="18"/>
                <w:szCs w:val="18"/>
                <w:color w:val="0000FF"/>
              </w:rPr>
              <w:t>41</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rPr>
              <w:t>Item 3.</w:t>
            </w:r>
          </w:p>
        </w:tc>
        <w:tc>
          <w:tcPr>
            <w:tcW w:w="4920" w:type="dxa"/>
            <w:vAlign w:val="bottom"/>
            <w:gridSpan w:val="12"/>
          </w:tcPr>
          <w:p>
            <w:pPr>
              <w:ind w:left="20"/>
              <w:spacing w:after="0"/>
              <w:rPr>
                <w:sz w:val="20"/>
                <w:szCs w:val="20"/>
                <w:color w:val="auto"/>
              </w:rPr>
            </w:pPr>
            <w:r>
              <w:rPr>
                <w:rFonts w:ascii="Arial" w:cs="Arial" w:eastAsia="Arial" w:hAnsi="Arial"/>
                <w:sz w:val="18"/>
                <w:szCs w:val="18"/>
                <w:color w:val="0000FF"/>
              </w:rPr>
              <w:t>Defaults Upon Senior Securities.</w:t>
            </w:r>
          </w:p>
        </w:tc>
        <w:tc>
          <w:tcPr>
            <w:tcW w:w="3800" w:type="dxa"/>
            <w:vAlign w:val="bottom"/>
            <w:gridSpan w:val="2"/>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0000FF"/>
              </w:rPr>
              <w:t>41</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1740" w:type="dxa"/>
            <w:vAlign w:val="bottom"/>
            <w:tcBorders>
              <w:right w:val="single" w:sz="8" w:color="0000FF"/>
            </w:tcBorders>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rPr>
              <w:t>Item 4.</w:t>
            </w:r>
          </w:p>
        </w:tc>
        <w:tc>
          <w:tcPr>
            <w:tcW w:w="1960" w:type="dxa"/>
            <w:vAlign w:val="bottom"/>
            <w:gridSpan w:val="7"/>
          </w:tcPr>
          <w:p>
            <w:pPr>
              <w:ind w:left="20"/>
              <w:spacing w:after="0"/>
              <w:rPr>
                <w:sz w:val="20"/>
                <w:szCs w:val="20"/>
                <w:color w:val="auto"/>
              </w:rPr>
            </w:pPr>
            <w:r>
              <w:rPr>
                <w:rFonts w:ascii="Arial" w:cs="Arial" w:eastAsia="Arial" w:hAnsi="Arial"/>
                <w:sz w:val="18"/>
                <w:szCs w:val="18"/>
                <w:color w:val="0000FF"/>
                <w:w w:val="98"/>
              </w:rPr>
              <w:t>Mine Safety Disclosures</w:t>
            </w:r>
          </w:p>
        </w:tc>
        <w:tc>
          <w:tcPr>
            <w:tcW w:w="660" w:type="dxa"/>
            <w:vAlign w:val="bottom"/>
            <w:gridSpan w:val="3"/>
          </w:tcPr>
          <w:p>
            <w:pPr>
              <w:spacing w:after="0"/>
              <w:rPr>
                <w:sz w:val="24"/>
                <w:szCs w:val="24"/>
                <w:color w:val="auto"/>
              </w:rPr>
            </w:pPr>
          </w:p>
        </w:tc>
        <w:tc>
          <w:tcPr>
            <w:tcW w:w="6100" w:type="dxa"/>
            <w:vAlign w:val="bottom"/>
            <w:gridSpan w:val="4"/>
          </w:tcPr>
          <w:p>
            <w:pPr>
              <w:spacing w:after="0"/>
              <w:rPr>
                <w:sz w:val="24"/>
                <w:szCs w:val="24"/>
                <w:color w:val="auto"/>
              </w:rPr>
            </w:pPr>
          </w:p>
        </w:tc>
        <w:tc>
          <w:tcPr>
            <w:tcW w:w="1740" w:type="dxa"/>
            <w:vAlign w:val="bottom"/>
            <w:gridSpan w:val="3"/>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0000FF"/>
                <w:w w:val="73"/>
              </w:rPr>
              <w:t>41</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rPr>
              <w:t>Item 5.</w:t>
            </w:r>
          </w:p>
        </w:tc>
        <w:tc>
          <w:tcPr>
            <w:tcW w:w="1480" w:type="dxa"/>
            <w:vAlign w:val="bottom"/>
            <w:gridSpan w:val="4"/>
          </w:tcPr>
          <w:p>
            <w:pPr>
              <w:ind w:left="20"/>
              <w:spacing w:after="0"/>
              <w:rPr>
                <w:sz w:val="20"/>
                <w:szCs w:val="20"/>
                <w:color w:val="auto"/>
              </w:rPr>
            </w:pPr>
            <w:r>
              <w:rPr>
                <w:rFonts w:ascii="Arial" w:cs="Arial" w:eastAsia="Arial" w:hAnsi="Arial"/>
                <w:sz w:val="18"/>
                <w:szCs w:val="18"/>
                <w:color w:val="0000FF"/>
                <w:w w:val="99"/>
              </w:rPr>
              <w:t>Other Information.</w:t>
            </w:r>
          </w:p>
        </w:tc>
        <w:tc>
          <w:tcPr>
            <w:tcW w:w="480" w:type="dxa"/>
            <w:vAlign w:val="bottom"/>
            <w:gridSpan w:val="3"/>
          </w:tcPr>
          <w:p>
            <w:pPr>
              <w:spacing w:after="0"/>
              <w:rPr>
                <w:sz w:val="24"/>
                <w:szCs w:val="24"/>
                <w:color w:val="auto"/>
              </w:rPr>
            </w:pPr>
          </w:p>
        </w:tc>
        <w:tc>
          <w:tcPr>
            <w:tcW w:w="6760" w:type="dxa"/>
            <w:vAlign w:val="bottom"/>
            <w:gridSpan w:val="7"/>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rPr>
              <w:t>41</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rPr>
              <w:t>Item 6.</w:t>
            </w:r>
          </w:p>
        </w:tc>
        <w:tc>
          <w:tcPr>
            <w:tcW w:w="1480" w:type="dxa"/>
            <w:vAlign w:val="bottom"/>
            <w:gridSpan w:val="4"/>
          </w:tcPr>
          <w:p>
            <w:pPr>
              <w:ind w:left="20"/>
              <w:spacing w:after="0"/>
              <w:rPr>
                <w:sz w:val="20"/>
                <w:szCs w:val="20"/>
                <w:color w:val="auto"/>
              </w:rPr>
            </w:pPr>
            <w:r>
              <w:rPr>
                <w:rFonts w:ascii="Arial" w:cs="Arial" w:eastAsia="Arial" w:hAnsi="Arial"/>
                <w:sz w:val="18"/>
                <w:szCs w:val="18"/>
                <w:color w:val="0000FF"/>
              </w:rPr>
              <w:t>Exhibits.</w:t>
            </w:r>
          </w:p>
        </w:tc>
        <w:tc>
          <w:tcPr>
            <w:tcW w:w="7240" w:type="dxa"/>
            <w:vAlign w:val="bottom"/>
            <w:gridSpan w:val="10"/>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0000FF"/>
              </w:rPr>
              <w:t>42</w:t>
            </w: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20" w:type="dxa"/>
            <w:vAlign w:val="bottom"/>
            <w:gridSpan w:val="12"/>
          </w:tcPr>
          <w:p>
            <w:pPr>
              <w:spacing w:after="0" w:line="20" w:lineRule="exact"/>
              <w:rPr>
                <w:sz w:val="1"/>
                <w:szCs w:val="1"/>
                <w:color w:val="auto"/>
              </w:rPr>
            </w:pPr>
          </w:p>
        </w:tc>
        <w:tc>
          <w:tcPr>
            <w:tcW w:w="1740" w:type="dxa"/>
            <w:vAlign w:val="bottom"/>
            <w:tcBorders>
              <w:right w:val="single" w:sz="8" w:color="0000FF"/>
            </w:tcBorders>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0000FF"/>
              </w:rPr>
              <w:t>SIGNATURE</w:t>
            </w:r>
          </w:p>
        </w:tc>
        <w:tc>
          <w:tcPr>
            <w:tcW w:w="8020" w:type="dxa"/>
            <w:vAlign w:val="bottom"/>
            <w:gridSpan w:val="12"/>
          </w:tcPr>
          <w:p>
            <w:pPr>
              <w:spacing w:after="0"/>
              <w:rPr>
                <w:sz w:val="24"/>
                <w:szCs w:val="24"/>
                <w:color w:val="auto"/>
              </w:rPr>
            </w:pPr>
          </w:p>
        </w:tc>
        <w:tc>
          <w:tcPr>
            <w:tcW w:w="1740" w:type="dxa"/>
            <w:vAlign w:val="bottom"/>
            <w:gridSpan w:val="3"/>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0000FF"/>
                <w:w w:val="73"/>
              </w:rPr>
              <w:t>43</w:t>
            </w:r>
          </w:p>
        </w:tc>
      </w:tr>
      <w:tr>
        <w:trPr>
          <w:trHeight w:val="740"/>
        </w:trPr>
        <w:tc>
          <w:tcPr>
            <w:tcW w:w="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700" w:type="dxa"/>
            <w:vAlign w:val="bottom"/>
            <w:gridSpan w:val="12"/>
          </w:tcPr>
          <w:p>
            <w:pPr>
              <w:jc w:val="right"/>
              <w:ind w:right="2080"/>
              <w:spacing w:after="0"/>
              <w:rPr>
                <w:sz w:val="20"/>
                <w:szCs w:val="20"/>
                <w:color w:val="auto"/>
              </w:rPr>
            </w:pPr>
            <w:r>
              <w:rPr>
                <w:rFonts w:ascii="Arial" w:cs="Arial" w:eastAsia="Arial" w:hAnsi="Arial"/>
                <w:sz w:val="18"/>
                <w:szCs w:val="18"/>
                <w:color w:val="auto"/>
              </w:rPr>
              <w:t>2</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27"/>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Unless the context otherwise requires or indicates, references to "Holley," "the Company," "we," "our," and "us" are to Holley Inc. and its subsidiaries. This Quarterly Report on Form 10-Q includes forward-looking statements within the meaning of Section 27A of the Securities Act of 1933, as amended (the "Securities Act"), and Section 21E of the Securities Exchange Act of 1934, as amended (the "Exchange Act") that are intended to enjoy the protection of the safe harbor for forward-looking statements provided by the Securities Act and Exchange Act, as well as protections afforded by other federal securities laws. These forward-looking statements relate to expectations for future financial performance, business strategies or expectations for the Company’s business. Forward-looking statements may be accompanied by words such as “believe,” “estimate,” “expect,” “project,” “forecast,” “may,” “will,” “should,” “seek,” “plan,” “scheduled,” “anticipate,” “intend” or similar expressions. These forward-looking statements are subject to various risks and uncertainties, many of which are outside our control. Therefore, you should not place undue reliance on such statements. Actual results could differ materially due to numerous factors, including, but not limited to, the Company’s ability to do any of the following:</w:t>
      </w:r>
    </w:p>
    <w:p>
      <w:pPr>
        <w:spacing w:after="0" w:line="185" w:lineRule="exact"/>
        <w:rPr>
          <w:sz w:val="20"/>
          <w:szCs w:val="20"/>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its business strategy, including monetization of services provided and expansions in and into existing and new lines of business;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disruptions and higher costs in manufacturing, supply chain, logistical operations, and shortages of certain company products in distribution channels;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supply shortages of key component parts used in our products and the need to shift the mix of products offered in response thereto;</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the impact of geopolitical events, including military conflicts (including the conflict in Ukraine, the conflict in the Middle East and surrounding areas, the possible expansion of such conflicts and potential geopolitical consequences), tariffs, the interruption from catastrophic events and problems such as terrorism, and public health crises;</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a material weakness in our internal control over financial reporting which, if not remediated in a timely manner or at all, could affect the reliability of our financial statements;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key strategic relationships with partners and resellers;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the impact of elevated interest rate levels, which cause the cost of capital to increase, as well as respond to inflationary pressures and tariffs;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manage and mitigate the impact of changing trade policies, including tariffs;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 future operating and financial results, whether through anticipated organic or external growth initiatives or through the implementation of cost savings initiatives;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uncertainties associated with product and service development and market acceptance;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increased constraints in consumer demand and/or shifts in the mix of products sold;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and retain qualified employees and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and enhance the Company’s corporate reputation and brand awareness;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goodwill and other intangible asset impairment charges;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respond to general economic and business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 and protect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 store, process and use personal and payment information and other consumer data;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 with privacy and data protection laws and other legal obligations related to privacy, information security, and data protection;</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 the impact of any security breaches, cyber-attacks, or other cybersecurity threats or incidents, or the failure of any key information technology systems;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meet future liquidity requirements and comply with restrictive covenants related to long-term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additional capital, including through the sale of equity or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 to finance operations on an economically viable basis;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the Company’s New York Stock Exchange (“NYSE”) listing of its common stock (“Common Stock”) and warrants to purchase Common Stock ("Warrants");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 with existing and/or future laws and regulations applicable to our business, including laws and regulations related to environmental health and safety or climate-related disclosures;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litigation, complaints, product liability claims and/or adverse publicity;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significance and timing of contractual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and response to, new accounting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proper and effective internal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the impact of changes in U.S. tax laws and regulations, including the impact on deferred tax assets;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changes in consumer spending patterns, consumer preferences, local, regional and national economic conditions, crime, weather, and demographic trends; and</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other risks and factors, listed under the caption “Risk Factors” included in our Annual Report on Form 10-K for the year ended December 31, 2025, as filed with the U.S. Securities and Exchange Commission (the "SEC") on March 16, 2026, and/or as disclosed in any subsequent filings with the SEC.</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Forward-looking statements are based on information available as of the date of this Quarterly Report on Form 10-Q and our management’s expectations, forecasts and assumptions, and involve a number of judgments,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7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As of</w:t>
            </w:r>
          </w:p>
        </w:tc>
        <w:tc>
          <w:tcPr>
            <w:tcW w:w="1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color w:val="auto"/>
              </w:rPr>
              <w:t>March 29, 2026</w:t>
            </w:r>
          </w:p>
        </w:tc>
        <w:tc>
          <w:tcPr>
            <w:tcW w:w="220" w:type="dxa"/>
            <w:vAlign w:val="bottom"/>
          </w:tcPr>
          <w:p>
            <w:pPr>
              <w:spacing w:after="0"/>
              <w:rPr>
                <w:sz w:val="20"/>
                <w:szCs w:val="20"/>
                <w:color w:val="auto"/>
              </w:rPr>
            </w:pP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December 31, 2025</w:t>
            </w:r>
          </w:p>
        </w:tc>
        <w:tc>
          <w:tcPr>
            <w:tcW w:w="0" w:type="dxa"/>
            <w:vAlign w:val="bottom"/>
          </w:tcPr>
          <w:p>
            <w:pPr>
              <w:spacing w:after="0"/>
              <w:rPr>
                <w:sz w:val="1"/>
                <w:szCs w:val="1"/>
                <w:color w:val="auto"/>
              </w:rPr>
            </w:pPr>
          </w:p>
        </w:tc>
      </w:tr>
      <w:tr>
        <w:trPr>
          <w:trHeight w:val="229"/>
        </w:trPr>
        <w:tc>
          <w:tcPr>
            <w:tcW w:w="7080" w:type="dxa"/>
            <w:vAlign w:val="bottom"/>
            <w:tcBorders>
              <w:top w:val="single" w:sz="8" w:color="CCEEFF"/>
            </w:tcBorders>
            <w:shd w:val="clear" w:color="auto" w:fill="CCEEFF"/>
          </w:tcPr>
          <w:p>
            <w:pPr>
              <w:ind w:left="32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33,066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37,231</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less allowance for credit losses of $2,136 and $1,856, respectively</w:t>
            </w: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59,075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57,895</w:t>
            </w:r>
          </w:p>
        </w:tc>
        <w:tc>
          <w:tcPr>
            <w:tcW w:w="0" w:type="dxa"/>
            <w:vAlign w:val="bottom"/>
          </w:tcPr>
          <w:p>
            <w:pPr>
              <w:spacing w:after="0"/>
              <w:rPr>
                <w:sz w:val="1"/>
                <w:szCs w:val="1"/>
                <w:color w:val="auto"/>
              </w:rPr>
            </w:pP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210,513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205,661</w:t>
            </w:r>
          </w:p>
        </w:tc>
        <w:tc>
          <w:tcPr>
            <w:tcW w:w="0" w:type="dxa"/>
            <w:vAlign w:val="bottom"/>
          </w:tcPr>
          <w:p>
            <w:pPr>
              <w:spacing w:after="0"/>
              <w:rPr>
                <w:sz w:val="1"/>
                <w:szCs w:val="1"/>
                <w:color w:val="auto"/>
              </w:rPr>
            </w:pPr>
          </w:p>
        </w:tc>
      </w:tr>
      <w:tr>
        <w:trPr>
          <w:trHeight w:val="244"/>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Prepaids and other current assets</w:t>
            </w:r>
          </w:p>
        </w:tc>
        <w:tc>
          <w:tcPr>
            <w:tcW w:w="28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15,374</w:t>
            </w:r>
          </w:p>
        </w:tc>
        <w:tc>
          <w:tcPr>
            <w:tcW w:w="0" w:type="dxa"/>
            <w:vAlign w:val="bottom"/>
          </w:tcPr>
          <w:p>
            <w:pPr>
              <w:spacing w:after="0"/>
              <w:rPr>
                <w:sz w:val="1"/>
                <w:szCs w:val="1"/>
                <w:color w:val="auto"/>
              </w:rPr>
            </w:pPr>
          </w:p>
        </w:tc>
      </w:tr>
      <w:tr>
        <w:trPr>
          <w:trHeight w:val="235"/>
        </w:trPr>
        <w:tc>
          <w:tcPr>
            <w:tcW w:w="708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317,923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316,161</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45,127</w:t>
            </w:r>
          </w:p>
        </w:tc>
        <w:tc>
          <w:tcPr>
            <w:tcW w:w="0" w:type="dxa"/>
            <w:vAlign w:val="bottom"/>
          </w:tcPr>
          <w:p>
            <w:pPr>
              <w:spacing w:after="0"/>
              <w:rPr>
                <w:sz w:val="1"/>
                <w:szCs w:val="1"/>
                <w:color w:val="auto"/>
              </w:rPr>
            </w:pP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375,025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372,340</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intangibles assets, net</w:t>
            </w: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396,922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396,910</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Right-of-use assets</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42,473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33,415</w:t>
            </w:r>
          </w:p>
        </w:tc>
        <w:tc>
          <w:tcPr>
            <w:tcW w:w="0" w:type="dxa"/>
            <w:vAlign w:val="bottom"/>
          </w:tcPr>
          <w:p>
            <w:pPr>
              <w:spacing w:after="0"/>
              <w:rPr>
                <w:sz w:val="1"/>
                <w:szCs w:val="1"/>
                <w:color w:val="auto"/>
              </w:rPr>
            </w:pPr>
          </w:p>
        </w:tc>
      </w:tr>
      <w:tr>
        <w:trPr>
          <w:trHeight w:val="268"/>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1,178,809</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1,163,953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18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60,121</w:t>
            </w:r>
          </w:p>
        </w:tc>
        <w:tc>
          <w:tcPr>
            <w:tcW w:w="0" w:type="dxa"/>
            <w:vAlign w:val="bottom"/>
          </w:tcPr>
          <w:p>
            <w:pPr>
              <w:spacing w:after="0"/>
              <w:rPr>
                <w:sz w:val="1"/>
                <w:szCs w:val="1"/>
                <w:color w:val="auto"/>
              </w:rPr>
            </w:pP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39,078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48,316</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6,571</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115,123</w:t>
            </w:r>
          </w:p>
        </w:tc>
        <w:tc>
          <w:tcPr>
            <w:tcW w:w="0" w:type="dxa"/>
            <w:vAlign w:val="bottom"/>
          </w:tcPr>
          <w:p>
            <w:pPr>
              <w:spacing w:after="0"/>
              <w:rPr>
                <w:sz w:val="1"/>
                <w:szCs w:val="1"/>
                <w:color w:val="auto"/>
              </w:rPr>
            </w:pP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auto"/>
              </w:rPr>
              <w:t>Long-term debt, net of current portion</w:t>
            </w:r>
          </w:p>
        </w:tc>
        <w:tc>
          <w:tcPr>
            <w:tcW w:w="2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530,825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516,078</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 liability</w:t>
            </w: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auto"/>
              </w:rPr>
              <w:t>Earn-out liability</w:t>
            </w:r>
          </w:p>
        </w:tc>
        <w:tc>
          <w:tcPr>
            <w:tcW w:w="2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2,045</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taxes</w:t>
            </w: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47,981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46,540</w:t>
            </w:r>
          </w:p>
        </w:tc>
        <w:tc>
          <w:tcPr>
            <w:tcW w:w="0" w:type="dxa"/>
            <w:vAlign w:val="bottom"/>
          </w:tcPr>
          <w:p>
            <w:pPr>
              <w:spacing w:after="0"/>
              <w:rPr>
                <w:sz w:val="1"/>
                <w:szCs w:val="1"/>
                <w:color w:val="auto"/>
              </w:rPr>
            </w:pPr>
          </w:p>
        </w:tc>
      </w:tr>
      <w:tr>
        <w:trPr>
          <w:trHeight w:val="236"/>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41,208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33,218</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722,848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715,028</w:t>
            </w:r>
          </w:p>
        </w:tc>
        <w:tc>
          <w:tcPr>
            <w:tcW w:w="0" w:type="dxa"/>
            <w:vAlign w:val="bottom"/>
          </w:tcPr>
          <w:p>
            <w:pPr>
              <w:spacing w:after="0"/>
              <w:rPr>
                <w:sz w:val="1"/>
                <w:szCs w:val="1"/>
                <w:color w:val="auto"/>
              </w:rPr>
            </w:pP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auto"/>
              </w:rPr>
              <w:t>Commitments and contingencies (Refer to Note 16 - Commitments and Contingencies)</w:t>
            </w: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080" w:type="dxa"/>
            <w:vAlign w:val="bottom"/>
          </w:tcPr>
          <w:p>
            <w:pPr>
              <w:ind w:left="20"/>
              <w:spacing w:after="0"/>
              <w:rPr>
                <w:sz w:val="20"/>
                <w:szCs w:val="20"/>
                <w:color w:val="auto"/>
              </w:rPr>
            </w:pPr>
            <w:r>
              <w:rPr>
                <w:rFonts w:ascii="Arial" w:cs="Arial" w:eastAsia="Arial" w:hAnsi="Arial"/>
                <w:sz w:val="16"/>
                <w:szCs w:val="16"/>
                <w:color w:val="auto"/>
              </w:rPr>
              <w:t>Preferred stock, $0.0001 par value, 5,000,000 shares authorized, none issued and outstanding on</w:t>
            </w: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080" w:type="dxa"/>
            <w:vAlign w:val="bottom"/>
          </w:tcPr>
          <w:p>
            <w:pPr>
              <w:ind w:left="180"/>
              <w:spacing w:after="0"/>
              <w:rPr>
                <w:sz w:val="20"/>
                <w:szCs w:val="20"/>
                <w:color w:val="auto"/>
              </w:rPr>
            </w:pPr>
            <w:r>
              <w:rPr>
                <w:rFonts w:ascii="Arial" w:cs="Arial" w:eastAsia="Arial" w:hAnsi="Arial"/>
                <w:sz w:val="16"/>
                <w:szCs w:val="16"/>
                <w:color w:val="auto"/>
              </w:rPr>
              <w:t>March 29, 2026 and December 31, 2025</w:t>
            </w:r>
          </w:p>
        </w:tc>
        <w:tc>
          <w:tcPr>
            <w:tcW w:w="280" w:type="dxa"/>
            <w:vAlign w:val="bottom"/>
          </w:tcPr>
          <w:p>
            <w:pPr>
              <w:spacing w:after="0"/>
              <w:rPr>
                <w:sz w:val="20"/>
                <w:szCs w:val="20"/>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$0.0001 par value, 550,000,000 shares authorized, 119,969,661 and 119,670,987</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issued and outstanding on March 29, 2026 and December 31, 2025, respectively</w:t>
            </w: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385,608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384,873</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71,177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63,920</w:t>
            </w:r>
          </w:p>
        </w:tc>
        <w:tc>
          <w:tcPr>
            <w:tcW w:w="0" w:type="dxa"/>
            <w:vAlign w:val="bottom"/>
          </w:tcPr>
          <w:p>
            <w:pPr>
              <w:spacing w:after="0"/>
              <w:rPr>
                <w:sz w:val="1"/>
                <w:szCs w:val="1"/>
                <w:color w:val="auto"/>
              </w:rPr>
            </w:pPr>
          </w:p>
        </w:tc>
      </w:tr>
      <w:tr>
        <w:trPr>
          <w:trHeight w:val="236"/>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455,961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448,925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1,178,809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1,163,953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6"/>
                <w:szCs w:val="16"/>
                <w:color w:val="auto"/>
              </w:rPr>
              <w:t>For the thirteen weeks ended</w:t>
            </w:r>
          </w:p>
        </w:tc>
      </w:tr>
      <w:tr>
        <w:trPr>
          <w:trHeight w:val="236"/>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color w:val="auto"/>
              </w:rPr>
              <w:t>March 29, 2026</w:t>
            </w:r>
          </w:p>
        </w:tc>
        <w:tc>
          <w:tcPr>
            <w:tcW w:w="280" w:type="dxa"/>
            <w:vAlign w:val="bottom"/>
          </w:tcPr>
          <w:p>
            <w:pPr>
              <w:spacing w:after="0"/>
              <w:rPr>
                <w:sz w:val="20"/>
                <w:szCs w:val="20"/>
                <w:color w:val="auto"/>
              </w:rPr>
            </w:pPr>
          </w:p>
        </w:tc>
        <w:tc>
          <w:tcPr>
            <w:tcW w:w="1760" w:type="dxa"/>
            <w:vAlign w:val="bottom"/>
          </w:tcPr>
          <w:p>
            <w:pPr>
              <w:jc w:val="right"/>
              <w:ind w:right="370"/>
              <w:spacing w:after="0"/>
              <w:rPr>
                <w:sz w:val="20"/>
                <w:szCs w:val="20"/>
                <w:color w:val="auto"/>
              </w:rPr>
            </w:pPr>
            <w:r>
              <w:rPr>
                <w:rFonts w:ascii="Arial" w:cs="Arial" w:eastAsia="Arial" w:hAnsi="Arial"/>
                <w:sz w:val="16"/>
                <w:szCs w:val="16"/>
                <w:color w:val="auto"/>
              </w:rPr>
              <w:t>March 30, 2025</w:t>
            </w:r>
          </w:p>
        </w:tc>
      </w:tr>
      <w:tr>
        <w:trPr>
          <w:trHeight w:val="250"/>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153,044</w:t>
            </w:r>
          </w:p>
        </w:tc>
      </w:tr>
      <w:tr>
        <w:trPr>
          <w:trHeight w:val="247"/>
        </w:trPr>
        <w:tc>
          <w:tcPr>
            <w:tcW w:w="70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86,594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88,956</w:t>
            </w:r>
          </w:p>
        </w:tc>
      </w:tr>
      <w:tr>
        <w:trPr>
          <w:trHeight w:val="2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64,088</w:t>
            </w:r>
          </w:p>
        </w:tc>
      </w:tr>
      <w:tr>
        <w:trPr>
          <w:trHeight w:val="247"/>
        </w:trPr>
        <w:tc>
          <w:tcPr>
            <w:tcW w:w="70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35,402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36,699</w:t>
            </w:r>
          </w:p>
        </w:tc>
      </w:tr>
      <w:tr>
        <w:trPr>
          <w:trHeight w:val="23"/>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r>
      <w:tr>
        <w:trPr>
          <w:trHeight w:val="247"/>
        </w:trPr>
        <w:tc>
          <w:tcPr>
            <w:tcW w:w="706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3,532</w:t>
            </w:r>
          </w:p>
        </w:tc>
      </w:tr>
      <w:tr>
        <w:trPr>
          <w:trHeight w:val="23"/>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47"/>
        </w:trPr>
        <w:tc>
          <w:tcPr>
            <w:tcW w:w="7060" w:type="dxa"/>
            <w:vAlign w:val="bottom"/>
          </w:tcPr>
          <w:p>
            <w:pPr>
              <w:ind w:left="20"/>
              <w:spacing w:after="0"/>
              <w:rPr>
                <w:sz w:val="20"/>
                <w:szCs w:val="20"/>
                <w:color w:val="auto"/>
              </w:rPr>
            </w:pPr>
            <w:r>
              <w:rPr>
                <w:rFonts w:ascii="Arial" w:cs="Arial" w:eastAsia="Arial" w:hAnsi="Arial"/>
                <w:sz w:val="18"/>
                <w:szCs w:val="18"/>
                <w:color w:val="auto"/>
              </w:rPr>
              <w:t>Other operating income, net</w:t>
            </w: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7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w:t>
            </w:r>
          </w:p>
        </w:tc>
        <w:tc>
          <w:tcPr>
            <w:tcW w:w="3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44,745</w:t>
            </w:r>
          </w:p>
        </w:tc>
      </w:tr>
      <w:tr>
        <w:trPr>
          <w:trHeight w:val="241"/>
        </w:trPr>
        <w:tc>
          <w:tcPr>
            <w:tcW w:w="70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19,343</w:t>
            </w:r>
          </w:p>
        </w:tc>
      </w:tr>
      <w:tr>
        <w:trPr>
          <w:trHeight w:val="23"/>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7"/>
        </w:trPr>
        <w:tc>
          <w:tcPr>
            <w:tcW w:w="7060" w:type="dxa"/>
            <w:vAlign w:val="bottom"/>
          </w:tcPr>
          <w:p>
            <w:pPr>
              <w:ind w:left="20"/>
              <w:spacing w:after="0"/>
              <w:rPr>
                <w:sz w:val="20"/>
                <w:szCs w:val="20"/>
                <w:color w:val="auto"/>
              </w:rPr>
            </w:pPr>
            <w:r>
              <w:rPr>
                <w:rFonts w:ascii="Arial" w:cs="Arial" w:eastAsia="Arial" w:hAnsi="Arial"/>
                <w:sz w:val="18"/>
                <w:szCs w:val="18"/>
                <w:color w:val="auto"/>
              </w:rPr>
              <w:t>Change in fair value of earn-out liability</w:t>
            </w: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15,708</w:t>
            </w:r>
          </w:p>
        </w:tc>
      </w:tr>
      <w:tr>
        <w:trPr>
          <w:trHeight w:val="241"/>
        </w:trPr>
        <w:tc>
          <w:tcPr>
            <w:tcW w:w="7060" w:type="dxa"/>
            <w:vAlign w:val="bottom"/>
          </w:tcPr>
          <w:p>
            <w:pPr>
              <w:ind w:left="360"/>
              <w:spacing w:after="0"/>
              <w:rPr>
                <w:sz w:val="20"/>
                <w:szCs w:val="20"/>
                <w:color w:val="auto"/>
              </w:rPr>
            </w:pPr>
            <w:r>
              <w:rPr>
                <w:rFonts w:ascii="Arial" w:cs="Arial" w:eastAsia="Arial" w:hAnsi="Arial"/>
                <w:sz w:val="18"/>
                <w:szCs w:val="18"/>
                <w:color w:val="auto"/>
              </w:rPr>
              <w:t>Total non-operating expense</w:t>
            </w:r>
          </w:p>
        </w:tc>
        <w:tc>
          <w:tcPr>
            <w:tcW w:w="3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15,450</w:t>
            </w:r>
          </w:p>
        </w:tc>
      </w:tr>
      <w:tr>
        <w:trPr>
          <w:trHeight w:val="2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7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r>
      <w:tr>
        <w:trPr>
          <w:trHeight w:val="247"/>
        </w:trPr>
        <w:tc>
          <w:tcPr>
            <w:tcW w:w="70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1,076</w:t>
            </w:r>
          </w:p>
        </w:tc>
      </w:tr>
      <w:tr>
        <w:trPr>
          <w:trHeight w:val="2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3"/>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r>
      <w:tr>
        <w:trPr>
          <w:trHeight w:val="26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78"/>
        </w:trPr>
        <w:tc>
          <w:tcPr>
            <w:tcW w:w="7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64"/>
        </w:trPr>
        <w:tc>
          <w:tcPr>
            <w:tcW w:w="7060" w:type="dxa"/>
            <w:vAlign w:val="bottom"/>
          </w:tcPr>
          <w:p>
            <w:pPr>
              <w:ind w:left="2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2,532</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 Data:</w:t>
            </w:r>
          </w:p>
        </w:tc>
        <w:tc>
          <w:tcPr>
            <w:tcW w:w="3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47"/>
        </w:trPr>
        <w:tc>
          <w:tcPr>
            <w:tcW w:w="70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119,806,586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118,845,487</w:t>
            </w:r>
          </w:p>
        </w:tc>
      </w:tr>
      <w:tr>
        <w:trPr>
          <w:trHeight w:val="23"/>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122,004,920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119,559,217</w:t>
            </w:r>
          </w:p>
        </w:tc>
      </w:tr>
      <w:tr>
        <w:trPr>
          <w:trHeight w:val="247"/>
        </w:trPr>
        <w:tc>
          <w:tcPr>
            <w:tcW w:w="7060" w:type="dxa"/>
            <w:vAlign w:val="bottom"/>
          </w:tcPr>
          <w:p>
            <w:pPr>
              <w:ind w:left="20"/>
              <w:spacing w:after="0"/>
              <w:rPr>
                <w:sz w:val="20"/>
                <w:szCs w:val="20"/>
                <w:color w:val="auto"/>
              </w:rPr>
            </w:pPr>
            <w:r>
              <w:rPr>
                <w:rFonts w:ascii="Arial" w:cs="Arial" w:eastAsia="Arial" w:hAnsi="Arial"/>
                <w:sz w:val="18"/>
                <w:szCs w:val="18"/>
                <w:color w:val="auto"/>
              </w:rPr>
              <w:t>Basic net income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
        </w:trPr>
        <w:tc>
          <w:tcPr>
            <w:tcW w:w="7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2940" w:type="dxa"/>
            <w:vAlign w:val="bottom"/>
          </w:tcPr>
          <w:p>
            <w:pPr>
              <w:spacing w:after="0"/>
              <w:rPr>
                <w:sz w:val="19"/>
                <w:szCs w:val="19"/>
                <w:color w:val="auto"/>
              </w:rPr>
            </w:pPr>
          </w:p>
        </w:tc>
        <w:tc>
          <w:tcPr>
            <w:tcW w:w="222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color w:val="auto"/>
              </w:rPr>
              <w:t>Common Stock</w:t>
            </w:r>
          </w:p>
        </w:tc>
        <w:tc>
          <w:tcPr>
            <w:tcW w:w="200" w:type="dxa"/>
            <w:vAlign w:val="bottom"/>
          </w:tcPr>
          <w:p>
            <w:pPr>
              <w:spacing w:after="0"/>
              <w:rPr>
                <w:sz w:val="19"/>
                <w:szCs w:val="19"/>
                <w:color w:val="auto"/>
              </w:rPr>
            </w:pPr>
          </w:p>
        </w:tc>
      </w:tr>
      <w:tr>
        <w:trPr>
          <w:trHeight w:val="236"/>
        </w:trPr>
        <w:tc>
          <w:tcPr>
            <w:tcW w:w="2940" w:type="dxa"/>
            <w:vAlign w:val="bottom"/>
          </w:tcPr>
          <w:p>
            <w:pPr>
              <w:spacing w:after="0"/>
              <w:rPr>
                <w:sz w:val="20"/>
                <w:szCs w:val="20"/>
                <w:color w:val="auto"/>
              </w:rPr>
            </w:pPr>
          </w:p>
        </w:tc>
        <w:tc>
          <w:tcPr>
            <w:tcW w:w="1320" w:type="dxa"/>
            <w:vAlign w:val="bottom"/>
            <w:gridSpan w:val="2"/>
          </w:tcPr>
          <w:p>
            <w:pPr>
              <w:ind w:left="340"/>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20"/>
                <w:szCs w:val="20"/>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Amount</w:t>
            </w:r>
          </w:p>
        </w:tc>
        <w:tc>
          <w:tcPr>
            <w:tcW w:w="200" w:type="dxa"/>
            <w:vAlign w:val="bottom"/>
          </w:tcPr>
          <w:p>
            <w:pPr>
              <w:spacing w:after="0"/>
              <w:rPr>
                <w:sz w:val="20"/>
                <w:szCs w:val="20"/>
                <w:color w:val="auto"/>
              </w:rPr>
            </w:pPr>
          </w:p>
        </w:tc>
      </w:tr>
      <w:tr>
        <w:trPr>
          <w:trHeight w:val="236"/>
        </w:trPr>
        <w:tc>
          <w:tcPr>
            <w:tcW w:w="2940" w:type="dxa"/>
            <w:vAlign w:val="bottom"/>
          </w:tcPr>
          <w:p>
            <w:pPr>
              <w:spacing w:after="0"/>
              <w:rPr>
                <w:sz w:val="20"/>
                <w:szCs w:val="20"/>
                <w:color w:val="auto"/>
              </w:rPr>
            </w:pPr>
            <w:r>
              <w:rPr>
                <w:rFonts w:ascii="Arial" w:cs="Arial" w:eastAsia="Arial" w:hAnsi="Arial"/>
                <w:sz w:val="16"/>
                <w:szCs w:val="16"/>
                <w:b w:val="1"/>
                <w:bCs w:val="1"/>
                <w:color w:val="auto"/>
              </w:rPr>
              <w:t>Balance at December 31, 2024</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118,748,697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29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r>
      <w:tr>
        <w:trPr>
          <w:trHeight w:val="243"/>
        </w:trPr>
        <w:tc>
          <w:tcPr>
            <w:tcW w:w="2940" w:type="dxa"/>
            <w:vAlign w:val="bottom"/>
          </w:tcPr>
          <w:p>
            <w:pPr>
              <w:ind w:left="140"/>
              <w:spacing w:after="0"/>
              <w:rPr>
                <w:sz w:val="20"/>
                <w:szCs w:val="20"/>
                <w:color w:val="auto"/>
              </w:rPr>
            </w:pPr>
            <w:r>
              <w:rPr>
                <w:rFonts w:ascii="Arial" w:cs="Arial" w:eastAsia="Arial" w:hAnsi="Arial"/>
                <w:sz w:val="16"/>
                <w:szCs w:val="16"/>
                <w:color w:val="auto"/>
              </w:rPr>
              <w:t>Equity compensation</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r>
      <w:tr>
        <w:trPr>
          <w:trHeight w:val="243"/>
        </w:trPr>
        <w:tc>
          <w:tcPr>
            <w:tcW w:w="2940" w:type="dxa"/>
            <w:vAlign w:val="bottom"/>
          </w:tcPr>
          <w:p>
            <w:pPr>
              <w:ind w:left="140"/>
              <w:spacing w:after="0"/>
              <w:rPr>
                <w:sz w:val="20"/>
                <w:szCs w:val="20"/>
                <w:color w:val="auto"/>
              </w:rPr>
            </w:pPr>
            <w:r>
              <w:rPr>
                <w:rFonts w:ascii="Arial" w:cs="Arial" w:eastAsia="Arial" w:hAnsi="Arial"/>
                <w:sz w:val="16"/>
                <w:szCs w:val="16"/>
                <w:color w:val="auto"/>
              </w:rPr>
              <w:t>Foreign currency translation</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r>
      <w:tr>
        <w:trPr>
          <w:trHeight w:val="231"/>
        </w:trPr>
        <w:tc>
          <w:tcPr>
            <w:tcW w:w="2940" w:type="dxa"/>
            <w:vAlign w:val="bottom"/>
          </w:tcPr>
          <w:p>
            <w:pPr>
              <w:ind w:left="140"/>
              <w:spacing w:after="0"/>
              <w:rPr>
                <w:sz w:val="20"/>
                <w:szCs w:val="20"/>
                <w:color w:val="auto"/>
              </w:rPr>
            </w:pPr>
            <w:r>
              <w:rPr>
                <w:rFonts w:ascii="Arial" w:cs="Arial" w:eastAsia="Arial" w:hAnsi="Arial"/>
                <w:sz w:val="16"/>
                <w:szCs w:val="16"/>
                <w:color w:val="auto"/>
              </w:rPr>
              <w:t>Tax withholding related to vesting of</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5"/>
        </w:trPr>
        <w:tc>
          <w:tcPr>
            <w:tcW w:w="2940" w:type="dxa"/>
            <w:vAlign w:val="bottom"/>
          </w:tcPr>
          <w:p>
            <w:pPr>
              <w:ind w:left="140"/>
              <w:spacing w:after="0"/>
              <w:rPr>
                <w:sz w:val="20"/>
                <w:szCs w:val="20"/>
                <w:color w:val="auto"/>
              </w:rPr>
            </w:pPr>
            <w:r>
              <w:rPr>
                <w:rFonts w:ascii="Arial" w:cs="Arial" w:eastAsia="Arial" w:hAnsi="Arial"/>
                <w:sz w:val="16"/>
                <w:szCs w:val="16"/>
                <w:color w:val="auto"/>
              </w:rPr>
              <w:t>restricted stock units</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r>
      <w:tr>
        <w:trPr>
          <w:trHeight w:val="231"/>
        </w:trPr>
        <w:tc>
          <w:tcPr>
            <w:tcW w:w="2940" w:type="dxa"/>
            <w:vAlign w:val="bottom"/>
          </w:tcPr>
          <w:p>
            <w:pPr>
              <w:ind w:left="140"/>
              <w:spacing w:after="0"/>
              <w:rPr>
                <w:sz w:val="20"/>
                <w:szCs w:val="20"/>
                <w:color w:val="auto"/>
              </w:rPr>
            </w:pPr>
            <w:r>
              <w:rPr>
                <w:rFonts w:ascii="Arial" w:cs="Arial" w:eastAsia="Arial" w:hAnsi="Arial"/>
                <w:sz w:val="16"/>
                <w:szCs w:val="16"/>
                <w:color w:val="auto"/>
              </w:rPr>
              <w:t>Issuance of shares for restricted stock</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4"/>
        </w:trPr>
        <w:tc>
          <w:tcPr>
            <w:tcW w:w="2940" w:type="dxa"/>
            <w:vAlign w:val="bottom"/>
          </w:tcPr>
          <w:p>
            <w:pPr>
              <w:ind w:left="140"/>
              <w:spacing w:after="0"/>
              <w:rPr>
                <w:sz w:val="20"/>
                <w:szCs w:val="20"/>
                <w:color w:val="auto"/>
              </w:rPr>
            </w:pPr>
            <w:r>
              <w:rPr>
                <w:rFonts w:ascii="Arial" w:cs="Arial" w:eastAsia="Arial" w:hAnsi="Arial"/>
                <w:sz w:val="16"/>
                <w:szCs w:val="16"/>
                <w:color w:val="auto"/>
              </w:rPr>
              <w:t>units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333,960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6"/>
                <w:szCs w:val="16"/>
                <w:b w:val="1"/>
                <w:bCs w:val="1"/>
                <w:color w:val="auto"/>
              </w:rPr>
              <w:t>Balance at March 30, 2025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119,082,657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2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72"/>
        </w:trPr>
        <w:tc>
          <w:tcPr>
            <w:tcW w:w="2940" w:type="dxa"/>
            <w:vAlign w:val="bottom"/>
          </w:tcPr>
          <w:p>
            <w:pPr>
              <w:spacing w:after="0"/>
              <w:rPr>
                <w:sz w:val="20"/>
                <w:szCs w:val="20"/>
                <w:color w:val="auto"/>
              </w:rPr>
            </w:pPr>
            <w:r>
              <w:rPr>
                <w:rFonts w:ascii="Arial" w:cs="Arial" w:eastAsia="Arial" w:hAnsi="Arial"/>
                <w:sz w:val="16"/>
                <w:szCs w:val="16"/>
                <w:b w:val="1"/>
                <w:bCs w:val="1"/>
                <w:color w:val="auto"/>
              </w:rPr>
              <w:t>Balance at December 31, 2025</w:t>
            </w:r>
          </w:p>
        </w:tc>
        <w:tc>
          <w:tcPr>
            <w:tcW w:w="1220" w:type="dxa"/>
            <w:vAlign w:val="bottom"/>
          </w:tcPr>
          <w:p>
            <w:pPr>
              <w:jc w:val="right"/>
              <w:spacing w:after="0"/>
              <w:rPr>
                <w:sz w:val="20"/>
                <w:szCs w:val="20"/>
                <w:color w:val="auto"/>
              </w:rPr>
            </w:pPr>
            <w:r>
              <w:rPr>
                <w:rFonts w:ascii="Arial" w:cs="Arial" w:eastAsia="Arial" w:hAnsi="Arial"/>
                <w:sz w:val="16"/>
                <w:szCs w:val="16"/>
                <w:color w:val="auto"/>
              </w:rPr>
              <w:t>119,670,987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29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r>
      <w:tr>
        <w:trPr>
          <w:trHeight w:val="243"/>
        </w:trPr>
        <w:tc>
          <w:tcPr>
            <w:tcW w:w="2940" w:type="dxa"/>
            <w:vAlign w:val="bottom"/>
          </w:tcPr>
          <w:p>
            <w:pPr>
              <w:ind w:left="140"/>
              <w:spacing w:after="0"/>
              <w:rPr>
                <w:sz w:val="20"/>
                <w:szCs w:val="20"/>
                <w:color w:val="auto"/>
              </w:rPr>
            </w:pPr>
            <w:r>
              <w:rPr>
                <w:rFonts w:ascii="Arial" w:cs="Arial" w:eastAsia="Arial" w:hAnsi="Arial"/>
                <w:sz w:val="16"/>
                <w:szCs w:val="16"/>
                <w:color w:val="auto"/>
              </w:rPr>
              <w:t>Equity compensation</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r>
      <w:tr>
        <w:trPr>
          <w:trHeight w:val="243"/>
        </w:trPr>
        <w:tc>
          <w:tcPr>
            <w:tcW w:w="2940" w:type="dxa"/>
            <w:vAlign w:val="bottom"/>
          </w:tcPr>
          <w:p>
            <w:pPr>
              <w:ind w:left="140"/>
              <w:spacing w:after="0"/>
              <w:rPr>
                <w:sz w:val="20"/>
                <w:szCs w:val="20"/>
                <w:color w:val="auto"/>
              </w:rPr>
            </w:pPr>
            <w:r>
              <w:rPr>
                <w:rFonts w:ascii="Arial" w:cs="Arial" w:eastAsia="Arial" w:hAnsi="Arial"/>
                <w:sz w:val="16"/>
                <w:szCs w:val="16"/>
                <w:color w:val="auto"/>
              </w:rPr>
              <w:t>Foreign currency translation</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r>
      <w:tr>
        <w:trPr>
          <w:trHeight w:val="231"/>
        </w:trPr>
        <w:tc>
          <w:tcPr>
            <w:tcW w:w="2940" w:type="dxa"/>
            <w:vAlign w:val="bottom"/>
          </w:tcPr>
          <w:p>
            <w:pPr>
              <w:ind w:left="140"/>
              <w:spacing w:after="0"/>
              <w:rPr>
                <w:sz w:val="20"/>
                <w:szCs w:val="20"/>
                <w:color w:val="auto"/>
              </w:rPr>
            </w:pPr>
            <w:r>
              <w:rPr>
                <w:rFonts w:ascii="Arial" w:cs="Arial" w:eastAsia="Arial" w:hAnsi="Arial"/>
                <w:sz w:val="16"/>
                <w:szCs w:val="16"/>
                <w:color w:val="auto"/>
              </w:rPr>
              <w:t>Tax withholding related to vesting of</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5"/>
        </w:trPr>
        <w:tc>
          <w:tcPr>
            <w:tcW w:w="2940" w:type="dxa"/>
            <w:vAlign w:val="bottom"/>
          </w:tcPr>
          <w:p>
            <w:pPr>
              <w:ind w:left="140"/>
              <w:spacing w:after="0"/>
              <w:rPr>
                <w:sz w:val="20"/>
                <w:szCs w:val="20"/>
                <w:color w:val="auto"/>
              </w:rPr>
            </w:pPr>
            <w:r>
              <w:rPr>
                <w:rFonts w:ascii="Arial" w:cs="Arial" w:eastAsia="Arial" w:hAnsi="Arial"/>
                <w:sz w:val="16"/>
                <w:szCs w:val="16"/>
                <w:color w:val="auto"/>
              </w:rPr>
              <w:t>restricted stock units</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r>
      <w:tr>
        <w:trPr>
          <w:trHeight w:val="231"/>
        </w:trPr>
        <w:tc>
          <w:tcPr>
            <w:tcW w:w="2940" w:type="dxa"/>
            <w:vAlign w:val="bottom"/>
          </w:tcPr>
          <w:p>
            <w:pPr>
              <w:ind w:left="140"/>
              <w:spacing w:after="0"/>
              <w:rPr>
                <w:sz w:val="20"/>
                <w:szCs w:val="20"/>
                <w:color w:val="auto"/>
              </w:rPr>
            </w:pPr>
            <w:r>
              <w:rPr>
                <w:rFonts w:ascii="Arial" w:cs="Arial" w:eastAsia="Arial" w:hAnsi="Arial"/>
                <w:sz w:val="16"/>
                <w:szCs w:val="16"/>
                <w:color w:val="auto"/>
              </w:rPr>
              <w:t>Issuance of shares for restricted stock</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4"/>
        </w:trPr>
        <w:tc>
          <w:tcPr>
            <w:tcW w:w="2940" w:type="dxa"/>
            <w:vAlign w:val="bottom"/>
          </w:tcPr>
          <w:p>
            <w:pPr>
              <w:ind w:left="140"/>
              <w:spacing w:after="0"/>
              <w:rPr>
                <w:sz w:val="20"/>
                <w:szCs w:val="20"/>
                <w:color w:val="auto"/>
              </w:rPr>
            </w:pPr>
            <w:r>
              <w:rPr>
                <w:rFonts w:ascii="Arial" w:cs="Arial" w:eastAsia="Arial" w:hAnsi="Arial"/>
                <w:sz w:val="16"/>
                <w:szCs w:val="16"/>
                <w:color w:val="auto"/>
              </w:rPr>
              <w:t>units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298,674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r>
      <w:tr>
        <w:trPr>
          <w:trHeight w:val="243"/>
        </w:trPr>
        <w:tc>
          <w:tcPr>
            <w:tcW w:w="2940" w:type="dxa"/>
            <w:vAlign w:val="bottom"/>
          </w:tcPr>
          <w:p>
            <w:pPr>
              <w:spacing w:after="0"/>
              <w:rPr>
                <w:sz w:val="20"/>
                <w:szCs w:val="20"/>
                <w:color w:val="auto"/>
              </w:rPr>
            </w:pPr>
            <w:r>
              <w:rPr>
                <w:rFonts w:ascii="Arial" w:cs="Arial" w:eastAsia="Arial" w:hAnsi="Arial"/>
                <w:sz w:val="16"/>
                <w:szCs w:val="16"/>
                <w:b w:val="1"/>
                <w:bCs w:val="1"/>
                <w:color w:val="auto"/>
              </w:rPr>
              <w:t>Balance at March 29, 2026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119,969,661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color w:val="auto"/>
              </w:rPr>
              <w:t>Accumulated</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9"/>
        </w:trPr>
        <w:tc>
          <w:tcPr>
            <w:tcW w:w="1180" w:type="dxa"/>
            <w:vAlign w:val="bottom"/>
          </w:tcPr>
          <w:p>
            <w:pPr>
              <w:jc w:val="right"/>
              <w:ind w:right="399"/>
              <w:spacing w:after="0"/>
              <w:rPr>
                <w:sz w:val="20"/>
                <w:szCs w:val="20"/>
                <w:color w:val="auto"/>
              </w:rPr>
            </w:pPr>
            <w:r>
              <w:rPr>
                <w:rFonts w:ascii="Arial" w:cs="Arial" w:eastAsia="Arial" w:hAnsi="Arial"/>
                <w:sz w:val="16"/>
                <w:szCs w:val="16"/>
                <w:color w:val="auto"/>
                <w:w w:val="96"/>
              </w:rPr>
              <w:t>Additional</w:t>
            </w: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Other</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1180" w:type="dxa"/>
            <w:vAlign w:val="bottom"/>
          </w:tcPr>
          <w:p>
            <w:pPr>
              <w:jc w:val="right"/>
              <w:ind w:right="499"/>
              <w:spacing w:after="0"/>
              <w:rPr>
                <w:sz w:val="20"/>
                <w:szCs w:val="20"/>
                <w:color w:val="auto"/>
              </w:rPr>
            </w:pPr>
            <w:r>
              <w:rPr>
                <w:rFonts w:ascii="Arial" w:cs="Arial" w:eastAsia="Arial" w:hAnsi="Arial"/>
                <w:sz w:val="16"/>
                <w:szCs w:val="16"/>
                <w:color w:val="auto"/>
              </w:rPr>
              <w:t>Paid-In</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color w:val="auto"/>
              </w:rPr>
              <w:t>Comprehensive</w:t>
            </w: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color w:val="auto"/>
              </w:rPr>
              <w:t>Retained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4"/>
        </w:trPr>
        <w:tc>
          <w:tcPr>
            <w:tcW w:w="1180" w:type="dxa"/>
            <w:vAlign w:val="bottom"/>
          </w:tcPr>
          <w:p>
            <w:pPr>
              <w:jc w:val="right"/>
              <w:ind w:right="499"/>
              <w:spacing w:after="0"/>
              <w:rPr>
                <w:sz w:val="20"/>
                <w:szCs w:val="20"/>
                <w:color w:val="auto"/>
              </w:rPr>
            </w:pPr>
            <w:r>
              <w:rPr>
                <w:rFonts w:ascii="Arial" w:cs="Arial" w:eastAsia="Arial" w:hAnsi="Arial"/>
                <w:sz w:val="16"/>
                <w:szCs w:val="16"/>
                <w:color w:val="auto"/>
              </w:rPr>
              <w:t>Capital</w:t>
            </w:r>
          </w:p>
        </w:tc>
        <w:tc>
          <w:tcPr>
            <w:tcW w:w="16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color w:val="auto"/>
              </w:rPr>
              <w:t>Income (Loss)</w:t>
            </w:r>
          </w:p>
        </w:tc>
        <w:tc>
          <w:tcPr>
            <w:tcW w:w="260" w:type="dxa"/>
            <w:vAlign w:val="bottom"/>
          </w:tcPr>
          <w:p>
            <w:pPr>
              <w:spacing w:after="0"/>
              <w:rPr>
                <w:sz w:val="19"/>
                <w:szCs w:val="19"/>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color w:val="auto"/>
              </w:rPr>
              <w:t>Earnings</w:t>
            </w:r>
          </w:p>
        </w:tc>
        <w:tc>
          <w:tcPr>
            <w:tcW w:w="240" w:type="dxa"/>
            <w:vAlign w:val="bottom"/>
          </w:tcPr>
          <w:p>
            <w:pPr>
              <w:spacing w:after="0"/>
              <w:rPr>
                <w:sz w:val="19"/>
                <w:szCs w:val="19"/>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color w:val="auto"/>
              </w:rPr>
              <w:t>Total</w:t>
            </w:r>
          </w:p>
        </w:tc>
      </w:tr>
      <w:tr>
        <w:trPr>
          <w:trHeight w:val="228"/>
        </w:trPr>
        <w:tc>
          <w:tcPr>
            <w:tcW w:w="1180" w:type="dxa"/>
            <w:vAlign w:val="bottom"/>
          </w:tcPr>
          <w:p>
            <w:pPr>
              <w:jc w:val="right"/>
              <w:ind w:right="79"/>
              <w:spacing w:after="0"/>
              <w:rPr>
                <w:sz w:val="20"/>
                <w:szCs w:val="20"/>
                <w:color w:val="auto"/>
              </w:rPr>
            </w:pPr>
            <w:r>
              <w:rPr>
                <w:rFonts w:ascii="Arial" w:cs="Arial" w:eastAsia="Arial" w:hAnsi="Arial"/>
                <w:sz w:val="16"/>
                <w:szCs w:val="16"/>
                <w:color w:val="auto"/>
              </w:rPr>
              <w:t>377,557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(1,162)</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44,745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421,152</w:t>
            </w:r>
          </w:p>
        </w:tc>
      </w:tr>
      <w:tr>
        <w:trPr>
          <w:trHeight w:val="243"/>
        </w:trPr>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2,817</w:t>
            </w:r>
          </w:p>
        </w:tc>
      </w:tr>
      <w:tr>
        <w:trPr>
          <w:trHeight w:val="243"/>
        </w:trPr>
        <w:tc>
          <w:tcPr>
            <w:tcW w:w="1180" w:type="dxa"/>
            <w:vAlign w:val="bottom"/>
          </w:tcPr>
          <w:p>
            <w:pPr>
              <w:jc w:val="right"/>
              <w:ind w:right="79"/>
              <w:spacing w:after="0"/>
              <w:rPr>
                <w:sz w:val="20"/>
                <w:szCs w:val="20"/>
                <w:color w:val="auto"/>
              </w:rPr>
            </w:pPr>
            <w:r>
              <w:rPr>
                <w:rFonts w:ascii="Arial" w:cs="Arial" w:eastAsia="Arial" w:hAnsi="Arial"/>
                <w:sz w:val="16"/>
                <w:szCs w:val="16"/>
                <w:color w:val="auto"/>
              </w:rPr>
              <w:t>1,495</w:t>
            </w:r>
          </w:p>
        </w:tc>
        <w:tc>
          <w:tcPr>
            <w:tcW w:w="16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1,495</w:t>
            </w:r>
          </w:p>
        </w:tc>
      </w:tr>
      <w:tr>
        <w:trPr>
          <w:trHeight w:val="243"/>
        </w:trPr>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445"/>
        </w:trPr>
        <w:tc>
          <w:tcPr>
            <w:tcW w:w="1180" w:type="dxa"/>
            <w:vAlign w:val="bottom"/>
          </w:tcPr>
          <w:p>
            <w:pPr>
              <w:jc w:val="right"/>
              <w:ind w:right="39"/>
              <w:spacing w:after="0"/>
              <w:rPr>
                <w:sz w:val="20"/>
                <w:szCs w:val="20"/>
                <w:color w:val="auto"/>
              </w:rPr>
            </w:pPr>
            <w:r>
              <w:rPr>
                <w:rFonts w:ascii="Arial" w:cs="Arial" w:eastAsia="Arial" w:hAnsi="Arial"/>
                <w:sz w:val="16"/>
                <w:szCs w:val="16"/>
                <w:color w:val="auto"/>
              </w:rPr>
              <w:t>(594)</w:t>
            </w:r>
          </w:p>
        </w:tc>
        <w:tc>
          <w:tcPr>
            <w:tcW w:w="160" w:type="dxa"/>
            <w:vAlign w:val="bottom"/>
          </w:tcPr>
          <w:p>
            <w:pPr>
              <w:spacing w:after="0"/>
              <w:rPr>
                <w:sz w:val="24"/>
                <w:szCs w:val="2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(594)</w:t>
            </w:r>
          </w:p>
        </w:tc>
      </w:tr>
      <w:tr>
        <w:trPr>
          <w:trHeight w:val="455"/>
        </w:trPr>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180" w:type="dxa"/>
            <w:vAlign w:val="bottom"/>
          </w:tcPr>
          <w:p>
            <w:pPr>
              <w:jc w:val="right"/>
              <w:ind w:right="79"/>
              <w:spacing w:after="0"/>
              <w:rPr>
                <w:sz w:val="20"/>
                <w:szCs w:val="20"/>
                <w:color w:val="auto"/>
              </w:rPr>
            </w:pPr>
            <w:r>
              <w:rPr>
                <w:rFonts w:ascii="Arial" w:cs="Arial" w:eastAsia="Arial" w:hAnsi="Arial"/>
                <w:sz w:val="16"/>
                <w:szCs w:val="16"/>
                <w:color w:val="auto"/>
              </w:rPr>
              <w:t>378,458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(1,447)</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47,562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424,585</w:t>
            </w:r>
          </w:p>
        </w:tc>
      </w:tr>
      <w:tr>
        <w:trPr>
          <w:trHeight w:val="21"/>
        </w:trPr>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64"/>
        </w:trPr>
        <w:tc>
          <w:tcPr>
            <w:tcW w:w="1180" w:type="dxa"/>
            <w:vAlign w:val="bottom"/>
          </w:tcPr>
          <w:p>
            <w:pPr>
              <w:jc w:val="right"/>
              <w:ind w:right="79"/>
              <w:spacing w:after="0"/>
              <w:rPr>
                <w:sz w:val="20"/>
                <w:szCs w:val="20"/>
                <w:color w:val="auto"/>
              </w:rPr>
            </w:pPr>
            <w:r>
              <w:rPr>
                <w:rFonts w:ascii="Arial" w:cs="Arial" w:eastAsia="Arial" w:hAnsi="Arial"/>
                <w:sz w:val="16"/>
                <w:szCs w:val="16"/>
                <w:color w:val="auto"/>
              </w:rPr>
              <w:t>384,873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63,920</w:t>
            </w:r>
          </w:p>
        </w:tc>
        <w:tc>
          <w:tcPr>
            <w:tcW w:w="1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448,925</w:t>
            </w:r>
          </w:p>
        </w:tc>
      </w:tr>
      <w:tr>
        <w:trPr>
          <w:trHeight w:val="243"/>
        </w:trPr>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7,257</w:t>
            </w:r>
          </w:p>
        </w:tc>
      </w:tr>
      <w:tr>
        <w:trPr>
          <w:trHeight w:val="243"/>
        </w:trPr>
        <w:tc>
          <w:tcPr>
            <w:tcW w:w="1180" w:type="dxa"/>
            <w:vAlign w:val="bottom"/>
          </w:tcPr>
          <w:p>
            <w:pPr>
              <w:jc w:val="right"/>
              <w:ind w:right="79"/>
              <w:spacing w:after="0"/>
              <w:rPr>
                <w:sz w:val="20"/>
                <w:szCs w:val="20"/>
                <w:color w:val="auto"/>
              </w:rPr>
            </w:pPr>
            <w:r>
              <w:rPr>
                <w:rFonts w:ascii="Arial" w:cs="Arial" w:eastAsia="Arial" w:hAnsi="Arial"/>
                <w:sz w:val="16"/>
                <w:szCs w:val="16"/>
                <w:color w:val="auto"/>
              </w:rPr>
              <w:t>1,731</w:t>
            </w:r>
          </w:p>
        </w:tc>
        <w:tc>
          <w:tcPr>
            <w:tcW w:w="16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1,731</w:t>
            </w:r>
          </w:p>
        </w:tc>
      </w:tr>
      <w:tr>
        <w:trPr>
          <w:trHeight w:val="243"/>
        </w:trPr>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(956)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(956)</w:t>
            </w:r>
          </w:p>
        </w:tc>
      </w:tr>
      <w:tr>
        <w:trPr>
          <w:trHeight w:val="446"/>
        </w:trPr>
        <w:tc>
          <w:tcPr>
            <w:tcW w:w="1180" w:type="dxa"/>
            <w:vAlign w:val="bottom"/>
          </w:tcPr>
          <w:p>
            <w:pPr>
              <w:jc w:val="right"/>
              <w:ind w:right="39"/>
              <w:spacing w:after="0"/>
              <w:rPr>
                <w:sz w:val="20"/>
                <w:szCs w:val="20"/>
                <w:color w:val="auto"/>
              </w:rPr>
            </w:pPr>
            <w:r>
              <w:rPr>
                <w:rFonts w:ascii="Arial" w:cs="Arial" w:eastAsia="Arial" w:hAnsi="Arial"/>
                <w:sz w:val="16"/>
                <w:szCs w:val="16"/>
                <w:color w:val="auto"/>
              </w:rPr>
              <w:t>(996)</w:t>
            </w:r>
          </w:p>
        </w:tc>
        <w:tc>
          <w:tcPr>
            <w:tcW w:w="160" w:type="dxa"/>
            <w:vAlign w:val="bottom"/>
          </w:tcPr>
          <w:p>
            <w:pPr>
              <w:spacing w:after="0"/>
              <w:rPr>
                <w:sz w:val="24"/>
                <w:szCs w:val="2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(996)</w:t>
            </w:r>
          </w:p>
        </w:tc>
      </w:tr>
      <w:tr>
        <w:trPr>
          <w:trHeight w:val="454"/>
        </w:trPr>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1180" w:type="dxa"/>
            <w:vAlign w:val="bottom"/>
          </w:tcPr>
          <w:p>
            <w:pPr>
              <w:jc w:val="right"/>
              <w:ind w:right="79"/>
              <w:spacing w:after="0"/>
              <w:rPr>
                <w:sz w:val="20"/>
                <w:szCs w:val="20"/>
                <w:color w:val="auto"/>
              </w:rPr>
            </w:pPr>
            <w:r>
              <w:rPr>
                <w:rFonts w:ascii="Arial" w:cs="Arial" w:eastAsia="Arial" w:hAnsi="Arial"/>
                <w:sz w:val="16"/>
                <w:szCs w:val="16"/>
                <w:color w:val="auto"/>
              </w:rPr>
              <w:t>385,608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(836)</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71,177</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455,961</w:t>
            </w:r>
          </w:p>
        </w:tc>
      </w:tr>
      <w:tr>
        <w:trPr>
          <w:trHeight w:val="27"/>
        </w:trPr>
        <w:tc>
          <w:tcPr>
            <w:tcW w:w="1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-2588260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-2279650</wp:posOffset>
            </wp:positionV>
            <wp:extent cx="7132320" cy="282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-1379220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-1070610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-762000</wp:posOffset>
            </wp:positionV>
            <wp:extent cx="7132320" cy="282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-196215</wp:posOffset>
            </wp:positionV>
            <wp:extent cx="713232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-1713865</wp:posOffset>
            </wp:positionV>
            <wp:extent cx="713232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-2905125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280"/>
            <w:col w:w="5580"/>
          </w:cols>
          <w:pgMar w:left="320" w:top="121" w:right="33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color w:val="auto"/>
              </w:rPr>
              <w:t>For the thirteen weeks ended</w:t>
            </w: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color w:val="auto"/>
              </w:rPr>
              <w:t>March 29, 2026</w:t>
            </w:r>
          </w:p>
        </w:tc>
        <w:tc>
          <w:tcPr>
            <w:tcW w:w="280" w:type="dxa"/>
            <w:vAlign w:val="bottom"/>
          </w:tcPr>
          <w:p>
            <w:pPr>
              <w:spacing w:after="0"/>
              <w:rPr>
                <w:sz w:val="20"/>
                <w:szCs w:val="20"/>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March 30, 2025</w:t>
            </w:r>
          </w:p>
        </w:tc>
        <w:tc>
          <w:tcPr>
            <w:tcW w:w="0" w:type="dxa"/>
            <w:vAlign w:val="bottom"/>
          </w:tcPr>
          <w:p>
            <w:pPr>
              <w:spacing w:after="0"/>
              <w:rPr>
                <w:sz w:val="1"/>
                <w:szCs w:val="1"/>
                <w:color w:val="auto"/>
              </w:rPr>
            </w:pPr>
          </w:p>
        </w:tc>
      </w:tr>
      <w:tr>
        <w:trPr>
          <w:trHeight w:val="229"/>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1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7,257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2,817</w:t>
            </w:r>
          </w:p>
        </w:tc>
        <w:tc>
          <w:tcPr>
            <w:tcW w:w="0" w:type="dxa"/>
            <w:vAlign w:val="bottom"/>
          </w:tcPr>
          <w:p>
            <w:pPr>
              <w:spacing w:after="0"/>
              <w:rPr>
                <w:sz w:val="1"/>
                <w:szCs w:val="1"/>
                <w:color w:val="auto"/>
              </w:rPr>
            </w:pPr>
          </w:p>
        </w:tc>
      </w:tr>
      <w:tr>
        <w:trPr>
          <w:trHeight w:val="251"/>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Adjustments to reconcile net income to net cash from operating activities:</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160" w:type="dxa"/>
            <w:vAlign w:val="bottom"/>
          </w:tcPr>
          <w:p>
            <w:pPr>
              <w:ind w:left="36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2,299</w:t>
            </w:r>
          </w:p>
        </w:tc>
        <w:tc>
          <w:tcPr>
            <w:tcW w:w="0" w:type="dxa"/>
            <w:vAlign w:val="bottom"/>
          </w:tcPr>
          <w:p>
            <w:pPr>
              <w:spacing w:after="0"/>
              <w:rPr>
                <w:sz w:val="1"/>
                <w:szCs w:val="1"/>
                <w:color w:val="auto"/>
              </w:rPr>
            </w:pPr>
          </w:p>
        </w:tc>
      </w:tr>
      <w:tr>
        <w:trPr>
          <w:trHeight w:val="251"/>
        </w:trPr>
        <w:tc>
          <w:tcPr>
            <w:tcW w:w="7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w:t>
            </w:r>
          </w:p>
        </w:tc>
        <w:tc>
          <w:tcPr>
            <w:tcW w:w="0" w:type="dxa"/>
            <w:vAlign w:val="bottom"/>
          </w:tcPr>
          <w:p>
            <w:pPr>
              <w:spacing w:after="0"/>
              <w:rPr>
                <w:sz w:val="1"/>
                <w:szCs w:val="1"/>
                <w:color w:val="auto"/>
              </w:rPr>
            </w:pPr>
          </w:p>
        </w:tc>
      </w:tr>
      <w:tr>
        <w:trPr>
          <w:trHeight w:val="235"/>
        </w:trPr>
        <w:tc>
          <w:tcPr>
            <w:tcW w:w="7160" w:type="dxa"/>
            <w:vAlign w:val="bottom"/>
          </w:tcPr>
          <w:p>
            <w:pPr>
              <w:ind w:left="360"/>
              <w:spacing w:after="0"/>
              <w:rPr>
                <w:sz w:val="20"/>
                <w:szCs w:val="20"/>
                <w:color w:val="auto"/>
              </w:rPr>
            </w:pPr>
            <w:r>
              <w:rPr>
                <w:rFonts w:ascii="Arial" w:cs="Arial" w:eastAsia="Arial" w:hAnsi="Arial"/>
                <w:sz w:val="16"/>
                <w:szCs w:val="16"/>
                <w:color w:val="auto"/>
              </w:rPr>
              <w:t>Amortization of deferred loan costs</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51"/>
        </w:trPr>
        <w:tc>
          <w:tcPr>
            <w:tcW w:w="7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right of use assets</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w:t>
            </w:r>
          </w:p>
        </w:tc>
        <w:tc>
          <w:tcPr>
            <w:tcW w:w="0" w:type="dxa"/>
            <w:vAlign w:val="bottom"/>
          </w:tcPr>
          <w:p>
            <w:pPr>
              <w:spacing w:after="0"/>
              <w:rPr>
                <w:sz w:val="1"/>
                <w:szCs w:val="1"/>
                <w:color w:val="auto"/>
              </w:rPr>
            </w:pPr>
          </w:p>
        </w:tc>
      </w:tr>
      <w:tr>
        <w:trPr>
          <w:trHeight w:val="235"/>
        </w:trPr>
        <w:tc>
          <w:tcPr>
            <w:tcW w:w="7160" w:type="dxa"/>
            <w:vAlign w:val="bottom"/>
          </w:tcPr>
          <w:p>
            <w:pPr>
              <w:ind w:left="360"/>
              <w:spacing w:after="0"/>
              <w:rPr>
                <w:sz w:val="20"/>
                <w:szCs w:val="20"/>
                <w:color w:val="auto"/>
              </w:rPr>
            </w:pPr>
            <w:r>
              <w:rPr>
                <w:rFonts w:ascii="Arial" w:cs="Arial" w:eastAsia="Arial" w:hAnsi="Arial"/>
                <w:sz w:val="16"/>
                <w:szCs w:val="16"/>
                <w:color w:val="auto"/>
              </w:rPr>
              <w:t>Fair value adjustments to warrant liability</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51"/>
        </w:trPr>
        <w:tc>
          <w:tcPr>
            <w:tcW w:w="7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Fair value adjustments to earn-out liability</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35"/>
        </w:trPr>
        <w:tc>
          <w:tcPr>
            <w:tcW w:w="7160" w:type="dxa"/>
            <w:vAlign w:val="bottom"/>
          </w:tcPr>
          <w:p>
            <w:pPr>
              <w:ind w:left="360"/>
              <w:spacing w:after="0"/>
              <w:rPr>
                <w:sz w:val="20"/>
                <w:szCs w:val="20"/>
                <w:color w:val="auto"/>
              </w:rPr>
            </w:pPr>
            <w:r>
              <w:rPr>
                <w:rFonts w:ascii="Arial" w:cs="Arial" w:eastAsia="Arial" w:hAnsi="Arial"/>
                <w:sz w:val="16"/>
                <w:szCs w:val="16"/>
                <w:color w:val="auto"/>
              </w:rPr>
              <w:t>Fair value adjustments to interest rate collar</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3,812</w:t>
            </w:r>
          </w:p>
        </w:tc>
        <w:tc>
          <w:tcPr>
            <w:tcW w:w="0" w:type="dxa"/>
            <w:vAlign w:val="bottom"/>
          </w:tcPr>
          <w:p>
            <w:pPr>
              <w:spacing w:after="0"/>
              <w:rPr>
                <w:sz w:val="1"/>
                <w:szCs w:val="1"/>
                <w:color w:val="auto"/>
              </w:rPr>
            </w:pPr>
          </w:p>
        </w:tc>
      </w:tr>
      <w:tr>
        <w:trPr>
          <w:trHeight w:val="251"/>
        </w:trPr>
        <w:tc>
          <w:tcPr>
            <w:tcW w:w="7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compensation</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0" w:type="dxa"/>
            <w:vAlign w:val="bottom"/>
          </w:tcPr>
          <w:p>
            <w:pPr>
              <w:spacing w:after="0"/>
              <w:rPr>
                <w:sz w:val="1"/>
                <w:szCs w:val="1"/>
                <w:color w:val="auto"/>
              </w:rPr>
            </w:pPr>
          </w:p>
        </w:tc>
      </w:tr>
      <w:tr>
        <w:trPr>
          <w:trHeight w:val="235"/>
        </w:trPr>
        <w:tc>
          <w:tcPr>
            <w:tcW w:w="7160" w:type="dxa"/>
            <w:vAlign w:val="bottom"/>
          </w:tcPr>
          <w:p>
            <w:pPr>
              <w:ind w:left="360"/>
              <w:spacing w:after="0"/>
              <w:rPr>
                <w:sz w:val="20"/>
                <w:szCs w:val="20"/>
                <w:color w:val="auto"/>
              </w:rPr>
            </w:pPr>
            <w:r>
              <w:rPr>
                <w:rFonts w:ascii="Arial" w:cs="Arial" w:eastAsia="Arial" w:hAnsi="Arial"/>
                <w:sz w:val="16"/>
                <w:szCs w:val="16"/>
                <w:color w:val="auto"/>
              </w:rPr>
              <w:t>Change in deferred taxes</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51"/>
        </w:trPr>
        <w:tc>
          <w:tcPr>
            <w:tcW w:w="7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inventory reserves</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w:t>
            </w:r>
          </w:p>
        </w:tc>
        <w:tc>
          <w:tcPr>
            <w:tcW w:w="0" w:type="dxa"/>
            <w:vAlign w:val="bottom"/>
          </w:tcPr>
          <w:p>
            <w:pPr>
              <w:spacing w:after="0"/>
              <w:rPr>
                <w:sz w:val="1"/>
                <w:szCs w:val="1"/>
                <w:color w:val="auto"/>
              </w:rPr>
            </w:pPr>
          </w:p>
        </w:tc>
      </w:tr>
      <w:tr>
        <w:trPr>
          <w:trHeight w:val="235"/>
        </w:trPr>
        <w:tc>
          <w:tcPr>
            <w:tcW w:w="7160" w:type="dxa"/>
            <w:vAlign w:val="bottom"/>
          </w:tcPr>
          <w:p>
            <w:pPr>
              <w:ind w:left="360"/>
              <w:spacing w:after="0"/>
              <w:rPr>
                <w:sz w:val="20"/>
                <w:szCs w:val="20"/>
                <w:color w:val="auto"/>
              </w:rPr>
            </w:pPr>
            <w:r>
              <w:rPr>
                <w:rFonts w:ascii="Arial" w:cs="Arial" w:eastAsia="Arial" w:hAnsi="Arial"/>
                <w:sz w:val="16"/>
                <w:szCs w:val="16"/>
                <w:color w:val="auto"/>
              </w:rPr>
              <w:t>Provision for credit losses</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51"/>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16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(14,928)</w:t>
            </w:r>
          </w:p>
        </w:tc>
        <w:tc>
          <w:tcPr>
            <w:tcW w:w="0" w:type="dxa"/>
            <w:vAlign w:val="bottom"/>
          </w:tcPr>
          <w:p>
            <w:pPr>
              <w:spacing w:after="0"/>
              <w:rPr>
                <w:sz w:val="1"/>
                <w:szCs w:val="1"/>
                <w:color w:val="auto"/>
              </w:rPr>
            </w:pPr>
          </w:p>
        </w:tc>
      </w:tr>
      <w:tr>
        <w:trPr>
          <w:trHeight w:val="251"/>
        </w:trPr>
        <w:tc>
          <w:tcPr>
            <w:tcW w:w="71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35"/>
        </w:trPr>
        <w:tc>
          <w:tcPr>
            <w:tcW w:w="7160" w:type="dxa"/>
            <w:vAlign w:val="bottom"/>
          </w:tcPr>
          <w:p>
            <w:pPr>
              <w:ind w:left="680"/>
              <w:spacing w:after="0"/>
              <w:rPr>
                <w:sz w:val="20"/>
                <w:szCs w:val="20"/>
                <w:color w:val="auto"/>
              </w:rPr>
            </w:pPr>
            <w:r>
              <w:rPr>
                <w:rFonts w:ascii="Arial" w:cs="Arial" w:eastAsia="Arial" w:hAnsi="Arial"/>
                <w:sz w:val="16"/>
                <w:szCs w:val="16"/>
                <w:color w:val="auto"/>
              </w:rPr>
              <w:t>Prepaids and other assets</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(9,944)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3,461</w:t>
            </w:r>
          </w:p>
        </w:tc>
        <w:tc>
          <w:tcPr>
            <w:tcW w:w="0" w:type="dxa"/>
            <w:vAlign w:val="bottom"/>
          </w:tcPr>
          <w:p>
            <w:pPr>
              <w:spacing w:after="0"/>
              <w:rPr>
                <w:sz w:val="1"/>
                <w:szCs w:val="1"/>
                <w:color w:val="auto"/>
              </w:rPr>
            </w:pPr>
          </w:p>
        </w:tc>
      </w:tr>
      <w:tr>
        <w:trPr>
          <w:trHeight w:val="251"/>
        </w:trPr>
        <w:tc>
          <w:tcPr>
            <w:tcW w:w="71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(7,051)</w:t>
            </w:r>
          </w:p>
        </w:tc>
        <w:tc>
          <w:tcPr>
            <w:tcW w:w="0" w:type="dxa"/>
            <w:vAlign w:val="bottom"/>
          </w:tcPr>
          <w:p>
            <w:pPr>
              <w:spacing w:after="0"/>
              <w:rPr>
                <w:sz w:val="1"/>
                <w:szCs w:val="1"/>
                <w:color w:val="auto"/>
              </w:rPr>
            </w:pPr>
          </w:p>
        </w:tc>
      </w:tr>
      <w:tr>
        <w:trPr>
          <w:trHeight w:val="235"/>
        </w:trPr>
        <w:tc>
          <w:tcPr>
            <w:tcW w:w="7160" w:type="dxa"/>
            <w:vAlign w:val="bottom"/>
          </w:tcPr>
          <w:p>
            <w:pPr>
              <w:ind w:left="680"/>
              <w:spacing w:after="0"/>
              <w:rPr>
                <w:sz w:val="20"/>
                <w:szCs w:val="20"/>
                <w:color w:val="auto"/>
              </w:rPr>
            </w:pPr>
            <w:r>
              <w:rPr>
                <w:rFonts w:ascii="Arial" w:cs="Arial" w:eastAsia="Arial" w:hAnsi="Arial"/>
                <w:sz w:val="16"/>
                <w:szCs w:val="16"/>
                <w:color w:val="auto"/>
              </w:rPr>
              <w:t>Accrued interest</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3,764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1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and other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(7,618)</w:t>
            </w:r>
          </w:p>
        </w:tc>
        <w:tc>
          <w:tcPr>
            <w:tcW w:w="0" w:type="dxa"/>
            <w:vAlign w:val="bottom"/>
          </w:tcPr>
          <w:p>
            <w:pPr>
              <w:spacing w:after="0"/>
              <w:rPr>
                <w:sz w:val="1"/>
                <w:szCs w:val="1"/>
                <w:color w:val="auto"/>
              </w:rPr>
            </w:pPr>
          </w:p>
        </w:tc>
      </w:tr>
      <w:tr>
        <w:trPr>
          <w:trHeight w:val="235"/>
        </w:trPr>
        <w:tc>
          <w:tcPr>
            <w:tcW w:w="7160" w:type="dxa"/>
            <w:vAlign w:val="bottom"/>
          </w:tcPr>
          <w:p>
            <w:pPr>
              <w:ind w:left="2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(2,857)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(7,850)</w:t>
            </w:r>
          </w:p>
        </w:tc>
        <w:tc>
          <w:tcPr>
            <w:tcW w:w="0" w:type="dxa"/>
            <w:vAlign w:val="bottom"/>
          </w:tcPr>
          <w:p>
            <w:pPr>
              <w:spacing w:after="0"/>
              <w:rPr>
                <w:sz w:val="1"/>
                <w:szCs w:val="1"/>
                <w:color w:val="auto"/>
              </w:rPr>
            </w:pPr>
          </w:p>
        </w:tc>
      </w:tr>
      <w:tr>
        <w:trPr>
          <w:trHeight w:val="251"/>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16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(3,471)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51"/>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of license agreement</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(4,760)</w:t>
            </w:r>
          </w:p>
        </w:tc>
        <w:tc>
          <w:tcPr>
            <w:tcW w:w="0" w:type="dxa"/>
            <w:vAlign w:val="bottom"/>
          </w:tcPr>
          <w:p>
            <w:pPr>
              <w:spacing w:after="0"/>
              <w:rPr>
                <w:sz w:val="1"/>
                <w:szCs w:val="1"/>
                <w:color w:val="auto"/>
              </w:rPr>
            </w:pPr>
          </w:p>
        </w:tc>
      </w:tr>
      <w:tr>
        <w:trPr>
          <w:trHeight w:val="237"/>
        </w:trPr>
        <w:tc>
          <w:tcPr>
            <w:tcW w:w="7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Business acquisition, net of cash acquired</w:t>
            </w: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w:t>
            </w:r>
          </w:p>
        </w:tc>
        <w:tc>
          <w:tcPr>
            <w:tcW w:w="0" w:type="dxa"/>
            <w:vAlign w:val="bottom"/>
          </w:tcPr>
          <w:p>
            <w:pPr>
              <w:spacing w:after="0"/>
              <w:rPr>
                <w:sz w:val="1"/>
                <w:szCs w:val="1"/>
                <w:color w:val="auto"/>
              </w:rPr>
            </w:pPr>
          </w:p>
        </w:tc>
      </w:tr>
      <w:tr>
        <w:trPr>
          <w:trHeight w:val="239"/>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Principal payments on long-term debt</w:t>
            </w:r>
          </w:p>
        </w:tc>
        <w:tc>
          <w:tcPr>
            <w:tcW w:w="28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235"/>
        </w:trPr>
        <w:tc>
          <w:tcPr>
            <w:tcW w:w="7160" w:type="dxa"/>
            <w:vAlign w:val="bottom"/>
          </w:tcPr>
          <w:p>
            <w:pPr>
              <w:ind w:left="180"/>
              <w:spacing w:after="0"/>
              <w:rPr>
                <w:sz w:val="20"/>
                <w:szCs w:val="20"/>
                <w:color w:val="auto"/>
              </w:rPr>
            </w:pPr>
            <w:r>
              <w:rPr>
                <w:rFonts w:ascii="Arial" w:cs="Arial" w:eastAsia="Arial" w:hAnsi="Arial"/>
                <w:sz w:val="16"/>
                <w:szCs w:val="16"/>
                <w:color w:val="auto"/>
              </w:rPr>
              <w:t>Net borrowings under revolving credit agreement</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from stock-based award activities</w:t>
            </w:r>
          </w:p>
        </w:tc>
        <w:tc>
          <w:tcPr>
            <w:tcW w:w="28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36"/>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(2,370)</w:t>
            </w:r>
          </w:p>
        </w:tc>
        <w:tc>
          <w:tcPr>
            <w:tcW w:w="0" w:type="dxa"/>
            <w:vAlign w:val="bottom"/>
          </w:tcPr>
          <w:p>
            <w:pPr>
              <w:spacing w:after="0"/>
              <w:rPr>
                <w:sz w:val="1"/>
                <w:szCs w:val="1"/>
                <w:color w:val="auto"/>
              </w:rPr>
            </w:pPr>
          </w:p>
        </w:tc>
      </w:tr>
      <w:tr>
        <w:trPr>
          <w:trHeight w:val="23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currency rate fluctuations on cash</w:t>
            </w:r>
          </w:p>
        </w:tc>
        <w:tc>
          <w:tcPr>
            <w:tcW w:w="28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35"/>
        </w:trPr>
        <w:tc>
          <w:tcPr>
            <w:tcW w:w="716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(4,165)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(17,019)</w:t>
            </w:r>
          </w:p>
        </w:tc>
        <w:tc>
          <w:tcPr>
            <w:tcW w:w="0" w:type="dxa"/>
            <w:vAlign w:val="bottom"/>
          </w:tcPr>
          <w:p>
            <w:pPr>
              <w:spacing w:after="0"/>
              <w:rPr>
                <w:sz w:val="1"/>
                <w:szCs w:val="1"/>
                <w:color w:val="auto"/>
              </w:rPr>
            </w:pPr>
          </w:p>
        </w:tc>
      </w:tr>
      <w:tr>
        <w:trPr>
          <w:trHeight w:val="251"/>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37,231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56,087</w:t>
            </w:r>
          </w:p>
        </w:tc>
        <w:tc>
          <w:tcPr>
            <w:tcW w:w="0" w:type="dxa"/>
            <w:vAlign w:val="bottom"/>
          </w:tcPr>
          <w:p>
            <w:pPr>
              <w:spacing w:after="0"/>
              <w:rPr>
                <w:sz w:val="1"/>
                <w:szCs w:val="1"/>
                <w:color w:val="auto"/>
              </w:rPr>
            </w:pPr>
          </w:p>
        </w:tc>
      </w:tr>
      <w:tr>
        <w:trPr>
          <w:trHeight w:val="26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39,068</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7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11,724</w:t>
            </w:r>
          </w:p>
        </w:tc>
        <w:tc>
          <w:tcPr>
            <w:tcW w:w="0" w:type="dxa"/>
            <w:vAlign w:val="bottom"/>
          </w:tcPr>
          <w:p>
            <w:pPr>
              <w:spacing w:after="0"/>
              <w:rPr>
                <w:sz w:val="1"/>
                <w:szCs w:val="1"/>
                <w:color w:val="auto"/>
              </w:rPr>
            </w:pPr>
          </w:p>
        </w:tc>
      </w:tr>
      <w:tr>
        <w:trPr>
          <w:trHeight w:val="235"/>
        </w:trPr>
        <w:tc>
          <w:tcPr>
            <w:tcW w:w="7160" w:type="dxa"/>
            <w:vAlign w:val="bottom"/>
          </w:tcPr>
          <w:p>
            <w:pPr>
              <w:ind w:left="360"/>
              <w:spacing w:after="0"/>
              <w:rPr>
                <w:sz w:val="20"/>
                <w:szCs w:val="20"/>
                <w:color w:val="auto"/>
              </w:rPr>
            </w:pPr>
            <w:r>
              <w:rPr>
                <w:rFonts w:ascii="Arial" w:cs="Arial" w:eastAsia="Arial" w:hAnsi="Arial"/>
                <w:sz w:val="16"/>
                <w:szCs w:val="16"/>
                <w:color w:val="auto"/>
              </w:rPr>
              <w:t>Cash received for income taxes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non-cash investing activity:</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160" w:type="dxa"/>
            <w:vAlign w:val="bottom"/>
          </w:tcPr>
          <w:p>
            <w:pPr>
              <w:ind w:left="360"/>
              <w:spacing w:after="0"/>
              <w:rPr>
                <w:sz w:val="20"/>
                <w:szCs w:val="20"/>
                <w:color w:val="auto"/>
              </w:rPr>
            </w:pPr>
            <w:r>
              <w:rPr>
                <w:rFonts w:ascii="Arial" w:cs="Arial" w:eastAsia="Arial" w:hAnsi="Arial"/>
                <w:sz w:val="16"/>
                <w:szCs w:val="16"/>
                <w:color w:val="auto"/>
              </w:rPr>
              <w:t>Property and equipment additions included in 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51"/>
        </w:trPr>
        <w:tc>
          <w:tcPr>
            <w:tcW w:w="7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price of license agreement included in accrued liabilities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19,040</w:t>
            </w:r>
          </w:p>
        </w:tc>
        <w:tc>
          <w:tcPr>
            <w:tcW w:w="0" w:type="dxa"/>
            <w:vAlign w:val="bottom"/>
          </w:tcPr>
          <w:p>
            <w:pPr>
              <w:spacing w:after="0"/>
              <w:rPr>
                <w:sz w:val="1"/>
                <w:szCs w:val="1"/>
                <w:color w:val="auto"/>
              </w:rPr>
            </w:pPr>
          </w:p>
        </w:tc>
      </w:tr>
      <w:tr>
        <w:trPr>
          <w:trHeight w:val="235"/>
        </w:trPr>
        <w:tc>
          <w:tcPr>
            <w:tcW w:w="7160" w:type="dxa"/>
            <w:vAlign w:val="bottom"/>
          </w:tcPr>
          <w:p>
            <w:pPr>
              <w:ind w:left="360"/>
              <w:spacing w:after="0"/>
              <w:rPr>
                <w:sz w:val="20"/>
                <w:szCs w:val="20"/>
                <w:color w:val="auto"/>
              </w:rPr>
            </w:pPr>
            <w:r>
              <w:rPr>
                <w:rFonts w:ascii="Arial" w:cs="Arial" w:eastAsia="Arial" w:hAnsi="Arial"/>
                <w:sz w:val="16"/>
                <w:szCs w:val="16"/>
                <w:color w:val="auto"/>
              </w:rPr>
              <w:t>Deferred purchase consideration for business acquisition included in debt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2,114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7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purchase consideration for business acquisition included in accrued liabilities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w:t>
      </w:r>
    </w:p>
    <w:p>
      <w:pPr>
        <w:spacing w:after="0" w:line="225"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Holley Inc., a Delaware corporation headquartered in Nashville, Tennessee, conducts operations through its wholly owned subsidiaries. These operating subsidiaries are comprised of Holley Performance Products Inc., Hot Rod Brands, Inc., Simpson Safety Solutions, Inc., B&amp;M Racing and Performance Products, Inc., and Speedshop.com, Inc. When used in these notes, the terms the “Company” or “Holley” mean Holley, Inc. and all entities included in its consolidated financial statements.</w:t>
      </w:r>
    </w:p>
    <w:p>
      <w:pPr>
        <w:spacing w:after="0" w:line="176"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designs, manufactures and distributes performance automotive products to customers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the United States, Canada, Italy, and China.</w:t>
      </w:r>
    </w:p>
    <w:p>
      <w:pPr>
        <w:spacing w:after="0" w:line="18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225"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business and results of operations, financial condition, and liquidity are impacted by broad economic conditions, as well as by geopolitical events, including the conflict in Ukraine, the conflict in the Middle East and surrounding areas, and the possible expansion of such conflicts and potential geopolitical consequences. The Company's business is impacted by various economic factors that affect both consumers and the automotive aftermarket industry, including but not limited to inflation, fuel costs, wage rates, trade restrictions, including tariffs, supply chain disruptions, hiring, and other economic conditions. The global and regional economic and political conditions, as well as changes in trade policies, may cause volatility in demand for the Company's products, materials and logistics, and transportation delays, and as a result may impact the pricing of the Company's products and product availability.</w:t>
      </w:r>
    </w:p>
    <w:p>
      <w:pPr>
        <w:spacing w:after="0" w:line="182" w:lineRule="exact"/>
        <w:rPr>
          <w:rFonts w:ascii="Arial" w:cs="Arial" w:eastAsia="Arial" w:hAnsi="Arial"/>
          <w:sz w:val="18"/>
          <w:szCs w:val="18"/>
          <w:b w:val="1"/>
          <w:bCs w:val="1"/>
          <w:color w:val="auto"/>
        </w:rPr>
      </w:pPr>
    </w:p>
    <w:p>
      <w:pPr>
        <w:jc w:val="both"/>
        <w:ind w:left="34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February 2025, the U.S. introduced trade policy actions that increased import tariffs across a wide range of countries at various rates, with certain exemptions, and these evolving tariff policies in the U.S., along with responsive measures enacted by other countries, have created additional uncertainty and complexity in the global trade environment. In response, the Company has implemented a range of initiatives to mitigate the impact of tariffs, including conducting harmonized tariff code audits to ensure accurate classification and compliance, diversifying supplier locations outside of China, reshoring products to North America, and exploring direct shipping from suppliers to international customers to reduce tariff exposure on goods entering the U.S.</w:t>
      </w:r>
    </w:p>
    <w:p>
      <w:pPr>
        <w:spacing w:after="0" w:line="182"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2026, the U.S. Supreme Court ruled that tariffs imposed under the International Emergency Economic Powers Act ("IEEPA") were not authorized by the statute. The U.S. government then imposed additional, non-IEEPA global Section 122 tariffs. Any trade disputes or further changes in tax or trade policy, including the imposition of additional tariffs or duties on imported products or changes in tariff levels, between the U.S. and countries from which we source goods directly or indirectly through vendors could require us to take certain actions, including raising prices on products we sell and seeking alternative sources of supply from vendors in other countries. The Company continues to monitor international trade developments, including potential changes in tariff rates and the possibility of new exemptions or retaliatory actions, in order to analyze their impact on the business. The Company additionally continues to evaluate and implement additional strategies to further minimize the impact of tariffs on its operations. If current tariff levels are sustained or increased, there remains a risk that our profitability, cash flows, and financial estimates could be negatively affected.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Additionally, in response to inflationary impacts and supply chain disruptions, the Company has attempted to minimize potential adverse impacts on its business with cost savings initiatives, price increases to customers, and increased attention to maintaining appropriate inventory levels in the distribution channel. The Company's profitability has been, and may continue to be, adversely affected by constrained consumer demand, a shift in sales to lower-margin products, and demands on our performance that increase our costs. Should the ongoing macroeconomic conditions not improve, or worsen, or if the Company's attempt to mitigate the impact on its supply chain, operations and costs is not successful, the Company’s business, results of operations and financial condition may be adversely affected.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or “GAAP”) and applicable rules and regulations of the SEC regarding interim financial reporting. Certain information and footnote disclosures normally included in the financial statements prepared in accordance with U.S. GAAP have been condensed or omitted pursuant to such rules and regulations. Accordingly, these interim condensed consolidated financial statements should be read in conjunction with the Company's audited consolidated financial statements and notes thereto for the year ended December 31, 2025, as filed with the SEC on March 16, 2026, in the Company’s annual report on Form 10-K. In management’s opinion, the unaudited interim condensed consolidated financial statements reflect all adjustments, which are of a normal and recurring nature, that are necessary for a fair presentation of financial results for the interim periods presented. Operating results for any quarter are not necessarily indicative of the results for the full fiscal year.</w:t>
      </w:r>
    </w:p>
    <w:p>
      <w:pPr>
        <w:spacing w:after="0" w:line="181"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The Company operates on a fiscal year that ends on December 31. The three-month periods ended March 29, 2026 and March 30, 2025 each included 13 weeks.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Principles of Consolidation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unaudited condensed consolidated financial statements include the accounts of the Company and its wholly owned subsidiaries.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significant intercompany transactions and accounts have been eliminated in consolidation.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223"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This ASU requires additional disclosures of various income tax components that affect the rate reconciliation based on the applicable taxing jurisdictions, as well as the qualitative and quantitative aspects of those components. The standard also requires information pertaining to taxes paid to be disaggregated for federal, state and foreign taxes, and contains other disclosure requirements. The Company adopted ASU 2023-09 during the year ended December 31, 2025 and applied the guidance on a retrospective basis. The interim disclosure requirements became effective for the Company beginning January 1, 2026. See Note 12 "</w:t>
      </w:r>
      <w:r>
        <w:rPr>
          <w:rFonts w:ascii="Arial" w:cs="Arial" w:eastAsia="Arial" w:hAnsi="Arial"/>
          <w:sz w:val="18"/>
          <w:szCs w:val="18"/>
          <w:i w:val="1"/>
          <w:iCs w:val="1"/>
          <w:color w:val="auto"/>
        </w:rPr>
        <w:t>Income Taxes</w:t>
      </w:r>
      <w:r>
        <w:rPr>
          <w:rFonts w:ascii="Arial" w:cs="Arial" w:eastAsia="Arial" w:hAnsi="Arial"/>
          <w:sz w:val="18"/>
          <w:szCs w:val="18"/>
          <w:color w:val="auto"/>
        </w:rPr>
        <w:t>" in the accompanying notes to the consolidated financial statements for further detail.</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223"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 xml:space="preserve">In October 2023, the FASB issued ASU 2023-06, </w:t>
      </w:r>
      <w:r>
        <w:rPr>
          <w:rFonts w:ascii="Arial" w:cs="Arial" w:eastAsia="Arial" w:hAnsi="Arial"/>
          <w:sz w:val="18"/>
          <w:szCs w:val="18"/>
          <w:i w:val="1"/>
          <w:iCs w:val="1"/>
          <w:color w:val="auto"/>
        </w:rPr>
        <w:t>Disclosure Improvements: Codification Amendments in Response to SEC's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Update and Simplification Initiative</w:t>
      </w:r>
      <w:r>
        <w:rPr>
          <w:rFonts w:ascii="Arial" w:cs="Arial" w:eastAsia="Arial" w:hAnsi="Arial"/>
          <w:sz w:val="18"/>
          <w:szCs w:val="18"/>
          <w:color w:val="auto"/>
        </w:rPr>
        <w:t>. This ASU amends the disclosure or presentation requirements related to various subtopics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FASB Accounting Standards Codification. The effective date for each amendment will be the date on which the SEC's removal of that related disclosure from Regulation S-X or Regulation S-K becomes effective, with early adoption prohibited. The Company will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monitor the removal of various requirements from the current regulations in order to determine when to adopt the related amendments, but it does not anticipate that the adoption of the new guidance will have a material impact on the Company’s consolidated financial statements and related disclosures. The Company will continue to evaluate the impact of this guidance on its consolidated financial statements.</w:t>
      </w:r>
    </w:p>
    <w:p>
      <w:pPr>
        <w:spacing w:after="0" w:line="136" w:lineRule="exact"/>
        <w:rPr>
          <w:sz w:val="20"/>
          <w:szCs w:val="20"/>
          <w:color w:val="auto"/>
        </w:rPr>
      </w:pPr>
    </w:p>
    <w:p>
      <w:pPr>
        <w:jc w:val="both"/>
        <w:ind w:left="340"/>
        <w:spacing w:after="0" w:line="229" w:lineRule="exact"/>
        <w:rPr>
          <w:sz w:val="20"/>
          <w:szCs w:val="20"/>
          <w:color w:val="auto"/>
        </w:rPr>
      </w:pPr>
      <w:r>
        <w:rPr>
          <w:rFonts w:ascii="Arial" w:cs="Arial" w:eastAsia="Arial" w:hAnsi="Arial"/>
          <w:sz w:val="18"/>
          <w:szCs w:val="18"/>
          <w:color w:val="auto"/>
        </w:rPr>
        <w:t>In April 2024, the FASB issued ASU 2024</w:t>
      </w:r>
      <w:r>
        <w:rPr>
          <w:rFonts w:ascii="MS PGothic" w:cs="MS PGothic" w:eastAsia="MS PGothic" w:hAnsi="MS PGothic"/>
          <w:sz w:val="18"/>
          <w:szCs w:val="18"/>
          <w:color w:val="auto"/>
        </w:rPr>
        <w:t>‑</w:t>
      </w:r>
      <w:r>
        <w:rPr>
          <w:rFonts w:ascii="Arial" w:cs="Arial" w:eastAsia="Arial" w:hAnsi="Arial"/>
          <w:sz w:val="18"/>
          <w:szCs w:val="18"/>
          <w:color w:val="auto"/>
        </w:rPr>
        <w:t xml:space="preserve">03, </w:t>
      </w:r>
      <w:r>
        <w:rPr>
          <w:rFonts w:ascii="Arial" w:cs="Arial" w:eastAsia="Arial" w:hAnsi="Arial"/>
          <w:sz w:val="18"/>
          <w:szCs w:val="18"/>
          <w:i w:val="1"/>
          <w:iCs w:val="1"/>
          <w:color w:val="auto"/>
        </w:rPr>
        <w:t>Income Statement—Reporting Comprehensive Income</w:t>
      </w:r>
      <w:r>
        <w:rPr>
          <w:rFonts w:ascii="Arial" w:cs="Arial" w:eastAsia="Arial" w:hAnsi="Arial"/>
          <w:sz w:val="18"/>
          <w:szCs w:val="18"/>
          <w:color w:val="auto"/>
        </w:rPr>
        <w:t xml:space="preserve"> (Topic 220): Disaggregation of Income Statement Expenses, which requires expanded disaggregation of certain operating expense captions. ASU 2025</w:t>
      </w:r>
      <w:r>
        <w:rPr>
          <w:rFonts w:ascii="MS PGothic" w:cs="MS PGothic" w:eastAsia="MS PGothic" w:hAnsi="MS PGothic"/>
          <w:sz w:val="18"/>
          <w:szCs w:val="18"/>
          <w:color w:val="auto"/>
        </w:rPr>
        <w:t>‑</w:t>
      </w:r>
      <w:r>
        <w:rPr>
          <w:rFonts w:ascii="Arial" w:cs="Arial" w:eastAsia="Arial" w:hAnsi="Arial"/>
          <w:sz w:val="18"/>
          <w:szCs w:val="18"/>
          <w:color w:val="auto"/>
        </w:rPr>
        <w:t>01 later clarified the effective dates for this ASU. This guidance is effective for fiscal years beginning after December 15, 2026, and interim periods within fiscal years beginning after December 15, 2027, with early adoption permitted. The Company will continue to evaluate the impact of this guidance on its consolidated financial statements.</w:t>
      </w:r>
    </w:p>
    <w:p>
      <w:pPr>
        <w:spacing w:after="0" w:line="153" w:lineRule="exact"/>
        <w:rPr>
          <w:sz w:val="20"/>
          <w:szCs w:val="20"/>
          <w:color w:val="auto"/>
        </w:rPr>
      </w:pPr>
    </w:p>
    <w:p>
      <w:pPr>
        <w:jc w:val="both"/>
        <w:ind w:left="340"/>
        <w:spacing w:after="0" w:line="229" w:lineRule="exact"/>
        <w:rPr>
          <w:sz w:val="20"/>
          <w:szCs w:val="20"/>
          <w:color w:val="auto"/>
        </w:rPr>
      </w:pPr>
      <w:r>
        <w:rPr>
          <w:rFonts w:ascii="Arial" w:cs="Arial" w:eastAsia="Arial" w:hAnsi="Arial"/>
          <w:sz w:val="18"/>
          <w:szCs w:val="18"/>
          <w:color w:val="auto"/>
        </w:rPr>
        <w:t>In February 2025, the FASB issued ASU 2025</w:t>
      </w:r>
      <w:r>
        <w:rPr>
          <w:rFonts w:ascii="MS PGothic" w:cs="MS PGothic" w:eastAsia="MS PGothic" w:hAnsi="MS PGothic"/>
          <w:sz w:val="18"/>
          <w:szCs w:val="18"/>
          <w:color w:val="auto"/>
        </w:rPr>
        <w:t>‑</w:t>
      </w:r>
      <w:r>
        <w:rPr>
          <w:rFonts w:ascii="Arial" w:cs="Arial" w:eastAsia="Arial" w:hAnsi="Arial"/>
          <w:sz w:val="18"/>
          <w:szCs w:val="18"/>
          <w:color w:val="auto"/>
        </w:rPr>
        <w:t xml:space="preserve">07,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(Topic 815) and Revenue from Contracts with Customers (Topic 606): Derivatives Scope Refinements and Scope Clarification for Share</w:t>
      </w:r>
      <w:r>
        <w:rPr>
          <w:rFonts w:ascii="MS PGothic" w:cs="MS PGothic" w:eastAsia="MS PGothic" w:hAnsi="MS PGothic"/>
          <w:sz w:val="18"/>
          <w:szCs w:val="18"/>
          <w:color w:val="auto"/>
        </w:rPr>
        <w:t>‑</w:t>
      </w:r>
      <w:r>
        <w:rPr>
          <w:rFonts w:ascii="Arial" w:cs="Arial" w:eastAsia="Arial" w:hAnsi="Arial"/>
          <w:sz w:val="18"/>
          <w:szCs w:val="18"/>
          <w:color w:val="auto"/>
        </w:rPr>
        <w:t>Based Noncash Consideration from a Customer in a Revenue Contract, which refines scope exceptions and clarifies treatment of certain noncash consideration. This guidance is effective for fiscal years beginning after December 15, 2026, and interim periods within those fiscal years. The Company will continue to evaluate the impact of this guidance on its consolidated financial statements.</w:t>
      </w:r>
    </w:p>
    <w:p>
      <w:pPr>
        <w:spacing w:after="0" w:line="193"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(Topic 350): Targeted Improvements to the Accounting for Internal-Use Software, which modernizes the guidance for capitalizing internal-use software costs to better reflect current software development practices. The amendments eliminate the prior stage-based framework and introduce a principles-based approach under which capitalization begins when management has authorized and committed to funding a software project and it is probable that the project will be completed and used for its intended function. This guidance is effective for annual reporting periods beginning after December 15, 2027, and interim periods within those annual reporting periods, with early adoption permitted. The Company will continue to evaluate the impact of this guidance on its consolidated financial statements.</w:t>
      </w:r>
    </w:p>
    <w:p>
      <w:pPr>
        <w:spacing w:after="0" w:line="18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 xml:space="preserve">In December 2025, the FASB issued ASU 2025-12,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which makes targeted improvements to the Codification by clarifying, correcting, and simplifying existing guidance across multiple Topics, including earnings per share, leases, equity, and receivables. The amendments are generally effective for fiscal years beginning after December 15, 2026, including the Company's fiscal year beginning January 1, 2027, with early adoption permitted for certain amendments. Although the amendments are primarily technical in nature, they may affect the Company's application of specific guidance depending on facts and circumstances. The Company will continue to evaluate the impact of this guidance on its consolidated financial statements.</w:t>
      </w:r>
    </w:p>
    <w:p>
      <w:pPr>
        <w:spacing w:after="0" w:line="182" w:lineRule="exact"/>
        <w:rPr>
          <w:sz w:val="20"/>
          <w:szCs w:val="20"/>
          <w:color w:val="auto"/>
        </w:rPr>
      </w:pPr>
    </w:p>
    <w:p>
      <w:pPr>
        <w:ind w:left="340" w:right="9720" w:hanging="332"/>
        <w:spacing w:after="0" w:line="530" w:lineRule="auto"/>
        <w:tabs>
          <w:tab w:leader="none" w:pos="351"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 HRX</w:t>
      </w:r>
    </w:p>
    <w:p>
      <w:pPr>
        <w:jc w:val="both"/>
        <w:ind w:left="34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On March 18, 2026, the Company acquired HRX S.r.l. (“HRX”), an Italian motorsports racewear brand serving drivers and teams across karting and competitive racing categories. The acquisition adds complementary racewear capabilities to Holley’s Safety &amp; Racing portfolio and expands the Company’s presence in European motorsports. The transaction was accounted for as a business combination. Accordingly, the purchase price has been allocated based upon the fair value of the assets acquired and liabilities assumed. Goodwill arising from the acquisition is primarily due to HRX's strong market position. The goodwill and intangibles generated as a result of this acquisition are deductible for income tax purposes. The purchase price was funded from cash on hand.</w:t>
      </w:r>
    </w:p>
    <w:p>
      <w:pPr>
        <w:spacing w:after="0" w:line="182" w:lineRule="exact"/>
        <w:rPr>
          <w:rFonts w:ascii="Arial" w:cs="Arial" w:eastAsia="Arial" w:hAnsi="Arial"/>
          <w:sz w:val="17"/>
          <w:szCs w:val="17"/>
          <w:b w:val="1"/>
          <w:bCs w:val="1"/>
          <w:color w:val="auto"/>
        </w:rPr>
      </w:pPr>
    </w:p>
    <w:p>
      <w:pPr>
        <w:jc w:val="both"/>
        <w:ind w:left="340"/>
        <w:spacing w:after="0" w:line="268" w:lineRule="auto"/>
        <w:rPr>
          <w:rFonts w:ascii="Arial" w:cs="Arial" w:eastAsia="Arial" w:hAnsi="Arial"/>
          <w:sz w:val="17"/>
          <w:szCs w:val="17"/>
          <w:b w:val="1"/>
          <w:bCs w:val="1"/>
          <w:color w:val="auto"/>
        </w:rPr>
      </w:pPr>
      <w:r>
        <w:rPr>
          <w:rFonts w:ascii="Arial" w:cs="Arial" w:eastAsia="Arial" w:hAnsi="Arial"/>
          <w:sz w:val="18"/>
          <w:szCs w:val="18"/>
          <w:color w:val="auto"/>
        </w:rPr>
        <w:t>The initial accounting for this business combination is incomplete for certain assets, liabilities and equity. Accordingly, the purchase price allocation is preliminary and subject to change as the Company completes its valuation analyses and working capital adjustments, including deferred cash payments, contingent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consideration, and the valuation of acquired inventory, intangible assets, property, plant and equipment, and certain leases. Any adjustments to the preliminary purchase price allocation will be made as soon as practicable but no later than one year from the acquisition date.</w:t>
      </w:r>
    </w:p>
    <w:p>
      <w:pPr>
        <w:spacing w:after="0" w:line="171"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following table summarizes the preliminary allocation of the purchase price to the fair values of the identifiable assets acquired and liabilities assumed at the acquisition date.</w:t>
      </w:r>
    </w:p>
    <w:p>
      <w:pPr>
        <w:spacing w:after="0" w:line="199"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7"/>
        </w:trPr>
        <w:tc>
          <w:tcPr>
            <w:tcW w:w="83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8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1,319</w:t>
            </w:r>
          </w:p>
        </w:tc>
      </w:tr>
      <w:tr>
        <w:trPr>
          <w:trHeight w:val="23"/>
        </w:trPr>
        <w:tc>
          <w:tcPr>
            <w:tcW w:w="8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8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r>
      <w:tr>
        <w:trPr>
          <w:trHeight w:val="247"/>
        </w:trPr>
        <w:tc>
          <w:tcPr>
            <w:tcW w:w="83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8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3"/>
        </w:trPr>
        <w:tc>
          <w:tcPr>
            <w:tcW w:w="8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8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47"/>
        </w:trPr>
        <w:tc>
          <w:tcPr>
            <w:tcW w:w="8380" w:type="dxa"/>
            <w:vAlign w:val="bottom"/>
          </w:tcPr>
          <w:p>
            <w:pPr>
              <w:ind w:left="20"/>
              <w:spacing w:after="0"/>
              <w:rPr>
                <w:sz w:val="20"/>
                <w:szCs w:val="20"/>
                <w:color w:val="auto"/>
              </w:rPr>
            </w:pPr>
            <w:r>
              <w:rPr>
                <w:rFonts w:ascii="Arial" w:cs="Arial" w:eastAsia="Arial" w:hAnsi="Arial"/>
                <w:sz w:val="18"/>
                <w:szCs w:val="18"/>
                <w:color w:val="auto"/>
              </w:rPr>
              <w:t>Tradenames</w:t>
            </w:r>
          </w:p>
        </w:tc>
        <w:tc>
          <w:tcPr>
            <w:tcW w:w="8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1,145</w:t>
            </w:r>
          </w:p>
        </w:tc>
      </w:tr>
      <w:tr>
        <w:trPr>
          <w:trHeight w:val="23"/>
        </w:trPr>
        <w:tc>
          <w:tcPr>
            <w:tcW w:w="8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8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47"/>
        </w:trPr>
        <w:tc>
          <w:tcPr>
            <w:tcW w:w="83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8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23"/>
        </w:trPr>
        <w:tc>
          <w:tcPr>
            <w:tcW w:w="8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r>
      <w:tr>
        <w:trPr>
          <w:trHeight w:val="241"/>
        </w:trPr>
        <w:tc>
          <w:tcPr>
            <w:tcW w:w="8380" w:type="dxa"/>
            <w:vAlign w:val="bottom"/>
          </w:tcPr>
          <w:p>
            <w:pPr>
              <w:ind w:left="120"/>
              <w:spacing w:after="0"/>
              <w:rPr>
                <w:sz w:val="20"/>
                <w:szCs w:val="20"/>
                <w:color w:val="auto"/>
              </w:rPr>
            </w:pPr>
            <w:r>
              <w:rPr>
                <w:rFonts w:ascii="Arial" w:cs="Arial" w:eastAsia="Arial" w:hAnsi="Arial"/>
                <w:sz w:val="18"/>
                <w:szCs w:val="18"/>
                <w:color w:val="auto"/>
              </w:rPr>
              <w:t>Total assets acquired</w:t>
            </w:r>
          </w:p>
        </w:tc>
        <w:tc>
          <w:tcPr>
            <w:tcW w:w="8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11,030</w:t>
            </w:r>
          </w:p>
        </w:tc>
      </w:tr>
      <w:tr>
        <w:trPr>
          <w:trHeight w:val="23"/>
        </w:trPr>
        <w:tc>
          <w:tcPr>
            <w:tcW w:w="8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62"/>
        </w:trPr>
        <w:tc>
          <w:tcPr>
            <w:tcW w:w="8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47"/>
        </w:trPr>
        <w:tc>
          <w:tcPr>
            <w:tcW w:w="83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(2,356)</w:t>
            </w:r>
          </w:p>
        </w:tc>
      </w:tr>
      <w:tr>
        <w:trPr>
          <w:trHeight w:val="23"/>
        </w:trPr>
        <w:tc>
          <w:tcPr>
            <w:tcW w:w="8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47"/>
        </w:trPr>
        <w:tc>
          <w:tcPr>
            <w:tcW w:w="838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8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3"/>
        </w:trPr>
        <w:tc>
          <w:tcPr>
            <w:tcW w:w="8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8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r>
      <w:tr>
        <w:trPr>
          <w:trHeight w:val="240"/>
        </w:trPr>
        <w:tc>
          <w:tcPr>
            <w:tcW w:w="8380" w:type="dxa"/>
            <w:vAlign w:val="bottom"/>
          </w:tcPr>
          <w:p>
            <w:pPr>
              <w:ind w:left="120"/>
              <w:spacing w:after="0"/>
              <w:rPr>
                <w:sz w:val="20"/>
                <w:szCs w:val="20"/>
                <w:color w:val="auto"/>
              </w:rPr>
            </w:pPr>
            <w:r>
              <w:rPr>
                <w:rFonts w:ascii="Arial" w:cs="Arial" w:eastAsia="Arial" w:hAnsi="Arial"/>
                <w:sz w:val="18"/>
                <w:szCs w:val="18"/>
                <w:color w:val="auto"/>
              </w:rPr>
              <w:t>Total liabilities assumed</w:t>
            </w:r>
          </w:p>
        </w:tc>
        <w:tc>
          <w:tcPr>
            <w:tcW w:w="8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(5,703)</w:t>
            </w:r>
          </w:p>
        </w:tc>
      </w:tr>
      <w:tr>
        <w:trPr>
          <w:trHeight w:val="23"/>
        </w:trPr>
        <w:tc>
          <w:tcPr>
            <w:tcW w:w="8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of the Company consisted of the following:</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6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As of</w:t>
            </w:r>
          </w:p>
        </w:tc>
        <w:tc>
          <w:tcPr>
            <w:tcW w:w="1860" w:type="dxa"/>
            <w:vAlign w:val="bottom"/>
          </w:tcPr>
          <w:p>
            <w:pPr>
              <w:spacing w:after="0"/>
              <w:rPr>
                <w:sz w:val="20"/>
                <w:szCs w:val="20"/>
                <w:color w:val="auto"/>
              </w:rPr>
            </w:pPr>
          </w:p>
        </w:tc>
      </w:tr>
      <w:tr>
        <w:trPr>
          <w:trHeight w:val="23"/>
        </w:trPr>
        <w:tc>
          <w:tcPr>
            <w:tcW w:w="6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0"/>
        </w:trPr>
        <w:tc>
          <w:tcPr>
            <w:tcW w:w="6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March 29, 2026</w:t>
            </w:r>
          </w:p>
        </w:tc>
        <w:tc>
          <w:tcPr>
            <w:tcW w:w="240" w:type="dxa"/>
            <w:vAlign w:val="bottom"/>
          </w:tcPr>
          <w:p>
            <w:pPr>
              <w:spacing w:after="0"/>
              <w:rPr>
                <w:sz w:val="20"/>
                <w:szCs w:val="20"/>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w w:val="99"/>
              </w:rPr>
              <w:t>December 31, 2025</w:t>
            </w:r>
          </w:p>
        </w:tc>
      </w:tr>
      <w:tr>
        <w:trPr>
          <w:trHeight w:val="23"/>
        </w:trPr>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56,351</w:t>
            </w:r>
          </w:p>
        </w:tc>
      </w:tr>
      <w:tr>
        <w:trPr>
          <w:trHeight w:val="247"/>
        </w:trPr>
        <w:tc>
          <w:tcPr>
            <w:tcW w:w="63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18,202</w:t>
            </w:r>
          </w:p>
        </w:tc>
      </w:tr>
      <w:tr>
        <w:trPr>
          <w:trHeight w:val="23"/>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131,108</w:t>
            </w:r>
          </w:p>
        </w:tc>
      </w:tr>
      <w:tr>
        <w:trPr>
          <w:trHeight w:val="240"/>
        </w:trPr>
        <w:tc>
          <w:tcPr>
            <w:tcW w:w="63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210,513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205,661</w:t>
            </w:r>
          </w:p>
        </w:tc>
      </w:tr>
      <w:tr>
        <w:trPr>
          <w:trHeight w:val="23"/>
        </w:trPr>
        <w:tc>
          <w:tcPr>
            <w:tcW w:w="6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of the Company consisted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2"/>
              </w:rPr>
              <w:t>As of</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March 29, 2026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3"/>
          </w:tcPr>
          <w:p>
            <w:pPr>
              <w:jc w:val="right"/>
              <w:ind w:right="170"/>
              <w:spacing w:after="0"/>
              <w:rPr>
                <w:sz w:val="20"/>
                <w:szCs w:val="20"/>
                <w:color w:val="auto"/>
              </w:rPr>
            </w:pPr>
            <w:r>
              <w:rPr>
                <w:rFonts w:ascii="Arial" w:cs="Arial" w:eastAsia="Arial" w:hAnsi="Arial"/>
                <w:sz w:val="18"/>
                <w:szCs w:val="18"/>
                <w:color w:val="auto"/>
                <w:w w:val="99"/>
              </w:rPr>
              <w:t>December 31, 2025</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13,712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13,704</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75,987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74,126</w:t>
            </w: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Construction in process</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11,375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9,473</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102,154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98,383</w:t>
            </w: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55,688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53,256</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46,466</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Company’s long-lived assets by geographic location are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340" w:type="dxa"/>
            <w:vAlign w:val="bottom"/>
          </w:tcPr>
          <w:p>
            <w:pPr>
              <w:spacing w:after="0"/>
              <w:rPr>
                <w:sz w:val="24"/>
                <w:szCs w:val="24"/>
                <w:color w:val="auto"/>
              </w:rPr>
            </w:pPr>
          </w:p>
        </w:tc>
        <w:tc>
          <w:tcPr>
            <w:tcW w:w="63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2"/>
              </w:rPr>
              <w:t>As of</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March 29, 2026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3"/>
          </w:tcPr>
          <w:p>
            <w:pPr>
              <w:jc w:val="right"/>
              <w:ind w:right="170"/>
              <w:spacing w:after="0"/>
              <w:rPr>
                <w:sz w:val="20"/>
                <w:szCs w:val="20"/>
                <w:color w:val="auto"/>
              </w:rPr>
            </w:pPr>
            <w:r>
              <w:rPr>
                <w:rFonts w:ascii="Arial" w:cs="Arial" w:eastAsia="Arial" w:hAnsi="Arial"/>
                <w:sz w:val="18"/>
                <w:szCs w:val="18"/>
                <w:color w:val="auto"/>
                <w:w w:val="99"/>
              </w:rPr>
              <w:t>December 31, 2025</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43,425</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42,705</w:t>
            </w: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3,041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46,466</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45,127</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GOODWILL AND OTHER INTANGIBLE ASSETS</w:t>
            </w: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67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4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The following presents changes to goodwill for the periods indicated:</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net as of March 30, 2025</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372,340</w:t>
            </w: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Goodwill, net as of December 31, 2025</w:t>
            </w: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372,340</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acquired</w:t>
            </w:r>
          </w:p>
        </w:tc>
        <w:tc>
          <w:tcPr>
            <w:tcW w:w="2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Goodwill, net as of March 29, 2026</w:t>
            </w:r>
          </w:p>
        </w:tc>
        <w:tc>
          <w:tcPr>
            <w:tcW w:w="2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375,025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Goodwill represents the premium paid over the fair value of the net tangible and identifiable intangible assets acquired in the Company's business combinations. The Company acquired $2,685 of goodwill related to the HRX acquisition during the 13-week period ended March 29, 2026. Refer to Note 2, "</w:t>
      </w:r>
      <w:r>
        <w:rPr>
          <w:rFonts w:ascii="Arial" w:cs="Arial" w:eastAsia="Arial" w:hAnsi="Arial"/>
          <w:sz w:val="18"/>
          <w:szCs w:val="18"/>
          <w:i w:val="1"/>
          <w:iCs w:val="1"/>
          <w:color w:val="auto"/>
        </w:rPr>
        <w:t>Acquisition,</w:t>
      </w:r>
      <w:r>
        <w:rPr>
          <w:rFonts w:ascii="Arial" w:cs="Arial" w:eastAsia="Arial" w:hAnsi="Arial"/>
          <w:sz w:val="18"/>
          <w:szCs w:val="18"/>
          <w:color w:val="auto"/>
        </w:rPr>
        <w:t>" for additional information.</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No goodwill impairment charges were incurred during the 13-week periods ended March 29, 2026 and March 30, 2025, respectively. Potential changes in the Company's costs and operating structure, the implementation of synergies, and overall performance in the automotive aftermarket industry, could negatively impact near-term cash-flow projections and could trigger a potential impairment of the Company's goodwill and / or indefinite-lived intangible assets. In addition, failure to execute the Company's strategic plans as well as increases in weighted average costs of capital could negatively impact the fair value of the reporting unit and increase the risk of future impairment charges.</w:t>
      </w:r>
    </w:p>
    <w:p>
      <w:pPr>
        <w:spacing w:after="0" w:line="182"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On January 1, 2025, the Company, entered into an agreement with Cataclean Global Limited ("Cataclean") to purchase a perpetual exclusive license in North America for developing, manufacturing, marketing, distributing, using and selling existing Cataclean products as well as future product formulations in all sales channels in North America for a total purchase price of $23,800. The Cataclean perpetual license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agreement of $23,800 is included in other intangible assets, net in the condensed consolidated balance sheets. As of March 29, 2026, the Company has fully paid the Cataclean purchase price, and no amounts related to the agreement remain included in accrued liabilities in the condensed consolidated balance sheets.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Intangible assets consisted of the following:</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86"/>
        </w:trPr>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rPr>
              <w:t>March 29, 2026</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
        </w:trPr>
        <w:tc>
          <w:tcPr>
            <w:tcW w:w="3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18"/>
        </w:trPr>
        <w:tc>
          <w:tcPr>
            <w:tcW w:w="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color w:val="auto"/>
              </w:rPr>
              <w:t>Gross 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Accumulated</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9"/>
        </w:trPr>
        <w:tc>
          <w:tcPr>
            <w:tcW w:w="3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color w:val="auto"/>
                <w:w w:val="99"/>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Amortization</w:t>
            </w:r>
          </w:p>
        </w:tc>
        <w:tc>
          <w:tcPr>
            <w:tcW w:w="1960" w:type="dxa"/>
            <w:vAlign w:val="bottom"/>
            <w:gridSpan w:val="3"/>
          </w:tcPr>
          <w:p>
            <w:pPr>
              <w:ind w:left="20"/>
              <w:spacing w:after="0"/>
              <w:rPr>
                <w:sz w:val="20"/>
                <w:szCs w:val="20"/>
                <w:color w:val="auto"/>
              </w:rPr>
            </w:pPr>
            <w:r>
              <w:rPr>
                <w:rFonts w:ascii="Arial" w:cs="Arial" w:eastAsia="Arial" w:hAnsi="Arial"/>
                <w:sz w:val="18"/>
                <w:szCs w:val="18"/>
                <w:color w:val="auto"/>
              </w:rPr>
              <w:t>Net Carrying Value</w:t>
            </w:r>
          </w:p>
        </w:tc>
      </w:tr>
      <w:tr>
        <w:trPr>
          <w:trHeight w:val="23"/>
        </w:trPr>
        <w:tc>
          <w:tcPr>
            <w:tcW w:w="3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30"/>
        </w:trPr>
        <w:tc>
          <w:tcPr>
            <w:tcW w:w="34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270,535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(81,438)</w:t>
            </w:r>
          </w:p>
        </w:tc>
        <w:tc>
          <w:tcPr>
            <w:tcW w:w="10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189,097</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Tradenames</w:t>
            </w: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7,720</w:t>
            </w:r>
          </w:p>
        </w:tc>
        <w:tc>
          <w:tcPr>
            <w:tcW w:w="400" w:type="dxa"/>
            <w:vAlign w:val="bottom"/>
          </w:tcPr>
          <w:p>
            <w:pPr>
              <w:spacing w:after="0"/>
              <w:rPr>
                <w:sz w:val="21"/>
                <w:szCs w:val="21"/>
                <w:color w:val="auto"/>
              </w:rPr>
            </w:pPr>
          </w:p>
        </w:tc>
      </w:tr>
      <w:tr>
        <w:trPr>
          <w:trHeight w:val="247"/>
        </w:trPr>
        <w:tc>
          <w:tcPr>
            <w:tcW w:w="340" w:type="dxa"/>
            <w:vAlign w:val="bottom"/>
          </w:tcPr>
          <w:p>
            <w:pPr>
              <w:spacing w:after="0"/>
              <w:rPr>
                <w:sz w:val="21"/>
                <w:szCs w:val="21"/>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29,470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(18,425)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11,045</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43"/>
        </w:trPr>
        <w:tc>
          <w:tcPr>
            <w:tcW w:w="3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314,925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207,862</w:t>
            </w:r>
          </w:p>
        </w:tc>
        <w:tc>
          <w:tcPr>
            <w:tcW w:w="400" w:type="dxa"/>
            <w:vAlign w:val="bottom"/>
          </w:tcPr>
          <w:p>
            <w:pPr>
              <w:spacing w:after="0"/>
              <w:rPr>
                <w:sz w:val="21"/>
                <w:szCs w:val="21"/>
                <w:color w:val="auto"/>
              </w:rPr>
            </w:pPr>
          </w:p>
        </w:tc>
      </w:tr>
      <w:tr>
        <w:trPr>
          <w:trHeight w:val="270"/>
        </w:trPr>
        <w:tc>
          <w:tcPr>
            <w:tcW w:w="34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0"/>
        </w:trPr>
        <w:tc>
          <w:tcPr>
            <w:tcW w:w="3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Pr>
          <w:p>
            <w:pPr>
              <w:spacing w:after="0"/>
              <w:rPr>
                <w:sz w:val="21"/>
                <w:szCs w:val="21"/>
                <w:color w:val="auto"/>
              </w:rPr>
            </w:pPr>
          </w:p>
        </w:tc>
      </w:tr>
      <w:tr>
        <w:trPr>
          <w:trHeight w:val="247"/>
        </w:trPr>
        <w:tc>
          <w:tcPr>
            <w:tcW w:w="340" w:type="dxa"/>
            <w:vAlign w:val="bottom"/>
          </w:tcPr>
          <w:p>
            <w:pPr>
              <w:spacing w:after="0"/>
              <w:rPr>
                <w:sz w:val="21"/>
                <w:szCs w:val="21"/>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Tradenames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165,260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165,260</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agreement</w:t>
            </w:r>
          </w:p>
        </w:tc>
        <w:tc>
          <w:tcPr>
            <w:tcW w:w="1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400" w:type="dxa"/>
            <w:vAlign w:val="bottom"/>
          </w:tcPr>
          <w:p>
            <w:pPr>
              <w:spacing w:after="0"/>
              <w:rPr>
                <w:sz w:val="23"/>
                <w:szCs w:val="23"/>
                <w:color w:val="auto"/>
              </w:rPr>
            </w:pPr>
          </w:p>
        </w:tc>
      </w:tr>
      <w:tr>
        <w:trPr>
          <w:trHeight w:val="241"/>
        </w:trPr>
        <w:tc>
          <w:tcPr>
            <w:tcW w:w="3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Total indefinite-lived intangible assets</w:t>
            </w:r>
          </w:p>
        </w:tc>
        <w:tc>
          <w:tcPr>
            <w:tcW w:w="1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189,060</w:t>
            </w:r>
          </w:p>
        </w:tc>
        <w:tc>
          <w:tcPr>
            <w:tcW w:w="400" w:type="dxa"/>
            <w:vAlign w:val="bottom"/>
          </w:tcPr>
          <w:p>
            <w:pPr>
              <w:spacing w:after="0"/>
              <w:rPr>
                <w:sz w:val="20"/>
                <w:szCs w:val="20"/>
                <w:color w:val="auto"/>
              </w:rPr>
            </w:pPr>
          </w:p>
        </w:tc>
      </w:tr>
      <w:tr>
        <w:trPr>
          <w:trHeight w:val="607"/>
        </w:trPr>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9"/>
              </w:rPr>
              <w:t>December 31, 2025</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
        </w:trPr>
        <w:tc>
          <w:tcPr>
            <w:tcW w:w="3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18"/>
        </w:trPr>
        <w:tc>
          <w:tcPr>
            <w:tcW w:w="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color w:val="auto"/>
              </w:rPr>
              <w:t>Gross 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Accumulated</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9"/>
        </w:trPr>
        <w:tc>
          <w:tcPr>
            <w:tcW w:w="3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color w:val="auto"/>
                <w:w w:val="99"/>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Amortization</w:t>
            </w:r>
          </w:p>
        </w:tc>
        <w:tc>
          <w:tcPr>
            <w:tcW w:w="1960" w:type="dxa"/>
            <w:vAlign w:val="bottom"/>
            <w:gridSpan w:val="3"/>
          </w:tcPr>
          <w:p>
            <w:pPr>
              <w:ind w:left="20"/>
              <w:spacing w:after="0"/>
              <w:rPr>
                <w:sz w:val="20"/>
                <w:szCs w:val="20"/>
                <w:color w:val="auto"/>
              </w:rPr>
            </w:pPr>
            <w:r>
              <w:rPr>
                <w:rFonts w:ascii="Arial" w:cs="Arial" w:eastAsia="Arial" w:hAnsi="Arial"/>
                <w:sz w:val="18"/>
                <w:szCs w:val="18"/>
                <w:color w:val="auto"/>
              </w:rPr>
              <w:t>Net Carrying Value</w:t>
            </w:r>
          </w:p>
        </w:tc>
      </w:tr>
      <w:tr>
        <w:trPr>
          <w:trHeight w:val="23"/>
        </w:trPr>
        <w:tc>
          <w:tcPr>
            <w:tcW w:w="3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30"/>
        </w:trPr>
        <w:tc>
          <w:tcPr>
            <w:tcW w:w="34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269,390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(78,564)</w:t>
            </w:r>
          </w:p>
        </w:tc>
        <w:tc>
          <w:tcPr>
            <w:tcW w:w="10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190,826</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Tradenames</w:t>
            </w: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400" w:type="dxa"/>
            <w:vAlign w:val="bottom"/>
          </w:tcPr>
          <w:p>
            <w:pPr>
              <w:spacing w:after="0"/>
              <w:rPr>
                <w:sz w:val="21"/>
                <w:szCs w:val="21"/>
                <w:color w:val="auto"/>
              </w:rPr>
            </w:pPr>
          </w:p>
        </w:tc>
      </w:tr>
      <w:tr>
        <w:trPr>
          <w:trHeight w:val="247"/>
        </w:trPr>
        <w:tc>
          <w:tcPr>
            <w:tcW w:w="340" w:type="dxa"/>
            <w:vAlign w:val="bottom"/>
          </w:tcPr>
          <w:p>
            <w:pPr>
              <w:spacing w:after="0"/>
              <w:rPr>
                <w:sz w:val="21"/>
                <w:szCs w:val="21"/>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27,559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10,268</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43"/>
        </w:trPr>
        <w:tc>
          <w:tcPr>
            <w:tcW w:w="3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310,724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207,850</w:t>
            </w:r>
          </w:p>
        </w:tc>
        <w:tc>
          <w:tcPr>
            <w:tcW w:w="400" w:type="dxa"/>
            <w:vAlign w:val="bottom"/>
          </w:tcPr>
          <w:p>
            <w:pPr>
              <w:spacing w:after="0"/>
              <w:rPr>
                <w:sz w:val="21"/>
                <w:szCs w:val="21"/>
                <w:color w:val="auto"/>
              </w:rPr>
            </w:pPr>
          </w:p>
        </w:tc>
      </w:tr>
      <w:tr>
        <w:trPr>
          <w:trHeight w:val="270"/>
        </w:trPr>
        <w:tc>
          <w:tcPr>
            <w:tcW w:w="34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0"/>
        </w:trPr>
        <w:tc>
          <w:tcPr>
            <w:tcW w:w="3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Pr>
          <w:p>
            <w:pPr>
              <w:spacing w:after="0"/>
              <w:rPr>
                <w:sz w:val="21"/>
                <w:szCs w:val="21"/>
                <w:color w:val="auto"/>
              </w:rPr>
            </w:pPr>
          </w:p>
        </w:tc>
      </w:tr>
      <w:tr>
        <w:trPr>
          <w:trHeight w:val="247"/>
        </w:trPr>
        <w:tc>
          <w:tcPr>
            <w:tcW w:w="340" w:type="dxa"/>
            <w:vAlign w:val="bottom"/>
          </w:tcPr>
          <w:p>
            <w:pPr>
              <w:spacing w:after="0"/>
              <w:rPr>
                <w:sz w:val="21"/>
                <w:szCs w:val="21"/>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Tradenames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165,260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165,260</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w:t>
            </w:r>
          </w:p>
        </w:tc>
        <w:tc>
          <w:tcPr>
            <w:tcW w:w="1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400" w:type="dxa"/>
            <w:vAlign w:val="bottom"/>
          </w:tcPr>
          <w:p>
            <w:pPr>
              <w:spacing w:after="0"/>
              <w:rPr>
                <w:sz w:val="23"/>
                <w:szCs w:val="23"/>
                <w:color w:val="auto"/>
              </w:rPr>
            </w:pPr>
          </w:p>
        </w:tc>
      </w:tr>
      <w:tr>
        <w:trPr>
          <w:trHeight w:val="240"/>
        </w:trPr>
        <w:tc>
          <w:tcPr>
            <w:tcW w:w="340" w:type="dxa"/>
            <w:vAlign w:val="bottom"/>
          </w:tcPr>
          <w:p>
            <w:pPr>
              <w:spacing w:after="0"/>
              <w:rPr>
                <w:sz w:val="20"/>
                <w:szCs w:val="20"/>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Total indefinite-lived intangible assets</w:t>
            </w:r>
          </w:p>
        </w:tc>
        <w:tc>
          <w:tcPr>
            <w:tcW w:w="1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189,060</w:t>
            </w:r>
          </w:p>
        </w:tc>
        <w:tc>
          <w:tcPr>
            <w:tcW w:w="400" w:type="dxa"/>
            <w:vAlign w:val="bottom"/>
          </w:tcPr>
          <w:p>
            <w:pPr>
              <w:spacing w:after="0"/>
              <w:rPr>
                <w:sz w:val="20"/>
                <w:szCs w:val="20"/>
                <w:color w:val="auto"/>
              </w:rPr>
            </w:pPr>
          </w:p>
        </w:tc>
      </w:tr>
      <w:tr>
        <w:trPr>
          <w:trHeight w:val="918"/>
        </w:trPr>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7"/>
        </w:trPr>
        <w:tc>
          <w:tcPr>
            <w:tcW w:w="34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outlines the estimated amortization expense related to finite-lived intangible assets held as of March 29, 2026:</w:t>
      </w:r>
    </w:p>
    <w:p>
      <w:pPr>
        <w:spacing w:after="0" w:line="271"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(excluding the thirteen weeks ended March 29, 2026)</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10,388</w:t>
            </w:r>
          </w:p>
        </w:tc>
      </w:tr>
      <w:tr>
        <w:trPr>
          <w:trHeight w:val="247"/>
        </w:trPr>
        <w:tc>
          <w:tcPr>
            <w:tcW w:w="8920" w:type="dxa"/>
            <w:vAlign w:val="bottom"/>
          </w:tcPr>
          <w:p>
            <w:pPr>
              <w:ind w:left="20"/>
              <w:spacing w:after="0"/>
              <w:rPr>
                <w:sz w:val="20"/>
                <w:szCs w:val="20"/>
                <w:color w:val="auto"/>
              </w:rPr>
            </w:pPr>
            <w:r>
              <w:rPr>
                <w:rFonts w:ascii="Arial" w:cs="Arial" w:eastAsia="Arial" w:hAnsi="Arial"/>
                <w:sz w:val="18"/>
                <w:szCs w:val="18"/>
                <w:color w:val="auto"/>
              </w:rPr>
              <w:t>2027</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13,830</w:t>
            </w:r>
          </w:p>
        </w:tc>
      </w:tr>
      <w:tr>
        <w:trPr>
          <w:trHeight w:val="23"/>
        </w:trPr>
        <w:tc>
          <w:tcPr>
            <w:tcW w:w="8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13,830</w:t>
            </w:r>
          </w:p>
        </w:tc>
      </w:tr>
      <w:tr>
        <w:trPr>
          <w:trHeight w:val="247"/>
        </w:trPr>
        <w:tc>
          <w:tcPr>
            <w:tcW w:w="8920" w:type="dxa"/>
            <w:vAlign w:val="bottom"/>
          </w:tcPr>
          <w:p>
            <w:pPr>
              <w:ind w:left="20"/>
              <w:spacing w:after="0"/>
              <w:rPr>
                <w:sz w:val="20"/>
                <w:szCs w:val="20"/>
                <w:color w:val="auto"/>
              </w:rPr>
            </w:pPr>
            <w:r>
              <w:rPr>
                <w:rFonts w:ascii="Arial" w:cs="Arial" w:eastAsia="Arial" w:hAnsi="Arial"/>
                <w:sz w:val="18"/>
                <w:szCs w:val="18"/>
                <w:color w:val="auto"/>
              </w:rPr>
              <w:t>2029</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13,830</w:t>
            </w:r>
          </w:p>
        </w:tc>
      </w:tr>
      <w:tr>
        <w:trPr>
          <w:trHeight w:val="23"/>
        </w:trPr>
        <w:tc>
          <w:tcPr>
            <w:tcW w:w="8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13,789</w:t>
            </w:r>
          </w:p>
        </w:tc>
      </w:tr>
      <w:tr>
        <w:trPr>
          <w:trHeight w:val="247"/>
        </w:trPr>
        <w:tc>
          <w:tcPr>
            <w:tcW w:w="8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142,195</w:t>
            </w:r>
          </w:p>
        </w:tc>
      </w:tr>
      <w:tr>
        <w:trPr>
          <w:trHeight w:val="23"/>
        </w:trPr>
        <w:tc>
          <w:tcPr>
            <w:tcW w:w="89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207,862</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of the Company consisted of the following:</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6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2"/>
              </w:rPr>
              <w:t>As of</w:t>
            </w:r>
          </w:p>
        </w:tc>
        <w:tc>
          <w:tcPr>
            <w:tcW w:w="1860" w:type="dxa"/>
            <w:vAlign w:val="bottom"/>
          </w:tcPr>
          <w:p>
            <w:pPr>
              <w:spacing w:after="0"/>
              <w:rPr>
                <w:sz w:val="20"/>
                <w:szCs w:val="20"/>
                <w:color w:val="auto"/>
              </w:rPr>
            </w:pPr>
          </w:p>
        </w:tc>
      </w:tr>
      <w:tr>
        <w:trPr>
          <w:trHeight w:val="23"/>
        </w:trPr>
        <w:tc>
          <w:tcPr>
            <w:tcW w:w="6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1"/>
        </w:trPr>
        <w:tc>
          <w:tcPr>
            <w:tcW w:w="6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March 29, 2026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w w:val="99"/>
              </w:rPr>
              <w:t>December 31, 2025</w:t>
            </w:r>
          </w:p>
        </w:tc>
      </w:tr>
      <w:tr>
        <w:trPr>
          <w:trHeight w:val="23"/>
        </w:trPr>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freight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r>
      <w:tr>
        <w:trPr>
          <w:trHeight w:val="247"/>
        </w:trPr>
        <w:tc>
          <w:tcPr>
            <w:tcW w:w="6380" w:type="dxa"/>
            <w:vAlign w:val="bottom"/>
          </w:tcPr>
          <w:p>
            <w:pPr>
              <w:ind w:left="20"/>
              <w:spacing w:after="0"/>
              <w:rPr>
                <w:sz w:val="20"/>
                <w:szCs w:val="20"/>
                <w:color w:val="auto"/>
              </w:rPr>
            </w:pPr>
            <w:r>
              <w:rPr>
                <w:rFonts w:ascii="Arial" w:cs="Arial" w:eastAsia="Arial" w:hAnsi="Arial"/>
                <w:sz w:val="18"/>
                <w:szCs w:val="18"/>
                <w:color w:val="auto"/>
              </w:rPr>
              <w:t>Accrued employee compensation and benefits</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11,540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15,638</w:t>
            </w:r>
          </w:p>
        </w:tc>
      </w:tr>
      <w:tr>
        <w:trPr>
          <w:trHeight w:val="23"/>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returns, allowances, and warranties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12,488</w:t>
            </w:r>
          </w:p>
        </w:tc>
      </w:tr>
      <w:tr>
        <w:trPr>
          <w:trHeight w:val="247"/>
        </w:trPr>
        <w:tc>
          <w:tcPr>
            <w:tcW w:w="638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2,478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1,649</w:t>
            </w:r>
          </w:p>
        </w:tc>
      </w:tr>
      <w:tr>
        <w:trPr>
          <w:trHeight w:val="23"/>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5,841</w:t>
            </w:r>
          </w:p>
        </w:tc>
      </w:tr>
      <w:tr>
        <w:trPr>
          <w:trHeight w:val="247"/>
        </w:trPr>
        <w:tc>
          <w:tcPr>
            <w:tcW w:w="6380" w:type="dxa"/>
            <w:vAlign w:val="bottom"/>
          </w:tcPr>
          <w:p>
            <w:pPr>
              <w:ind w:left="20"/>
              <w:spacing w:after="0"/>
              <w:rPr>
                <w:sz w:val="20"/>
                <w:szCs w:val="20"/>
                <w:color w:val="auto"/>
              </w:rPr>
            </w:pPr>
            <w:r>
              <w:rPr>
                <w:rFonts w:ascii="Arial" w:cs="Arial" w:eastAsia="Arial" w:hAnsi="Arial"/>
                <w:sz w:val="18"/>
                <w:szCs w:val="18"/>
                <w:color w:val="auto"/>
              </w:rPr>
              <w:t>Cataclean license accrual</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3,570</w:t>
            </w:r>
          </w:p>
        </w:tc>
      </w:tr>
      <w:tr>
        <w:trPr>
          <w:trHeight w:val="23"/>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5,408</w:t>
            </w:r>
          </w:p>
        </w:tc>
      </w:tr>
      <w:tr>
        <w:trPr>
          <w:trHeight w:val="263"/>
        </w:trPr>
        <w:tc>
          <w:tcPr>
            <w:tcW w:w="6380" w:type="dxa"/>
            <w:vAlign w:val="bottom"/>
          </w:tcPr>
          <w:p>
            <w:pPr>
              <w:ind w:left="20"/>
              <w:spacing w:after="0"/>
              <w:rPr>
                <w:sz w:val="20"/>
                <w:szCs w:val="20"/>
                <w:color w:val="auto"/>
              </w:rPr>
            </w:pPr>
            <w:r>
              <w:rPr>
                <w:rFonts w:ascii="Arial" w:cs="Arial" w:eastAsia="Arial" w:hAnsi="Arial"/>
                <w:sz w:val="18"/>
                <w:szCs w:val="18"/>
                <w:color w:val="auto"/>
              </w:rPr>
              <w:t>Total accrued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39,078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48,316</w:t>
            </w: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Debt of the Company consisted of the following:</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6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As of</w:t>
            </w:r>
          </w:p>
        </w:tc>
        <w:tc>
          <w:tcPr>
            <w:tcW w:w="1860" w:type="dxa"/>
            <w:vAlign w:val="bottom"/>
          </w:tcPr>
          <w:p>
            <w:pPr>
              <w:spacing w:after="0"/>
              <w:rPr>
                <w:sz w:val="20"/>
                <w:szCs w:val="20"/>
                <w:color w:val="auto"/>
              </w:rPr>
            </w:pPr>
          </w:p>
        </w:tc>
      </w:tr>
      <w:tr>
        <w:trPr>
          <w:trHeight w:val="23"/>
        </w:trPr>
        <w:tc>
          <w:tcPr>
            <w:tcW w:w="6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0"/>
        </w:trPr>
        <w:tc>
          <w:tcPr>
            <w:tcW w:w="6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March 29, 2026</w:t>
            </w:r>
          </w:p>
        </w:tc>
        <w:tc>
          <w:tcPr>
            <w:tcW w:w="240" w:type="dxa"/>
            <w:vAlign w:val="bottom"/>
          </w:tcPr>
          <w:p>
            <w:pPr>
              <w:spacing w:after="0"/>
              <w:rPr>
                <w:sz w:val="20"/>
                <w:szCs w:val="20"/>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w w:val="99"/>
              </w:rPr>
              <w:t>December 31, 2025</w:t>
            </w:r>
          </w:p>
        </w:tc>
      </w:tr>
      <w:tr>
        <w:trPr>
          <w:trHeight w:val="23"/>
        </w:trPr>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lien term loan due November 17, 2028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529,362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529,362</w:t>
            </w:r>
          </w:p>
        </w:tc>
      </w:tr>
      <w:tr>
        <w:trPr>
          <w:trHeight w:val="247"/>
        </w:trPr>
        <w:tc>
          <w:tcPr>
            <w:tcW w:w="63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380" w:type="dxa"/>
            <w:vAlign w:val="bottom"/>
          </w:tcPr>
          <w:p>
            <w:pPr>
              <w:ind w:left="20"/>
              <w:spacing w:after="0"/>
              <w:rPr>
                <w:sz w:val="20"/>
                <w:szCs w:val="20"/>
                <w:color w:val="auto"/>
              </w:rPr>
            </w:pPr>
            <w:r>
              <w:rPr>
                <w:rFonts w:ascii="Arial" w:cs="Arial" w:eastAsia="Arial" w:hAnsi="Arial"/>
                <w:sz w:val="18"/>
                <w:szCs w:val="18"/>
                <w:color w:val="auto"/>
              </w:rPr>
              <w:t>Financing lease</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(6,908)</w:t>
            </w:r>
          </w:p>
        </w:tc>
      </w:tr>
      <w:tr>
        <w:trPr>
          <w:trHeight w:val="240"/>
        </w:trPr>
        <w:tc>
          <w:tcPr>
            <w:tcW w:w="63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537,396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522,649</w:t>
            </w:r>
          </w:p>
        </w:tc>
      </w:tr>
      <w:tr>
        <w:trPr>
          <w:trHeight w:val="23"/>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(6,571)</w:t>
            </w:r>
          </w:p>
        </w:tc>
      </w:tr>
      <w:tr>
        <w:trPr>
          <w:trHeight w:val="240"/>
        </w:trPr>
        <w:tc>
          <w:tcPr>
            <w:tcW w:w="63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530,825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516,078</w:t>
            </w:r>
          </w:p>
        </w:tc>
      </w:tr>
      <w:tr>
        <w:trPr>
          <w:trHeight w:val="23"/>
        </w:trPr>
        <w:tc>
          <w:tcPr>
            <w:tcW w:w="6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On November 18, 2021, the Company entered into a credit facility with a syndicate of lenders and Wells Fargo Bank, N.A., ("Wells Fargo") as administrative agent for the lenders, letter of credit issuer and swing line lender (the "Credit Agreement"). The financing consisted of a seven-year $600,000 first lien term loan, a five-year $125,000 revolving credit facility, and a $100,000 delayed draw term loan. The proceeds of delayed draw loans made after closing were available to the Company to finance acquisitions. Upon the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expiration of the delayed draw term loan in May 2022, the Company had drawn $57,000, which is included in the amount outstanding under the first lien term loan due November 17, 2028. Proceeds from the credit facility were used to repay in full the Company’s obligations under its previously existing first lien and second lien notes and to pay $13,413 in deferred financing fees related to the refinancing.</w:t>
      </w:r>
    </w:p>
    <w:p>
      <w:pPr>
        <w:spacing w:after="0" w:line="176"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revolving credit facility includes a letter of credit facility in the amount of $10,000, pursuant to which letters of credit may be issued as long as revolving loans may be advanced and subject to availability under the revolving credit facility. The Company had $2,509 in outstanding letters of credit on March 29, 2026.</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first lien term loan is to be repaid in quarterly payments of $1,643 through September 30, 2028 with the balance due upon maturity on November 17, 2028. The Company is required to make annual payments on the term loan in an amount equal to 50% of annual excess cash flow greater than $5,000, as defined in the Credit Agreement. This percentage requirement may decrease or be eliminated if certain leverage ratios are achieved. Based on the Company's results for 2025, no excess cash flow payment is expected to be required in 2026. Any such payments offset future mandatory quarterly payments. The Credit Agreement permits voluntary prepayments at any time, in whole or in part.</w:t>
      </w:r>
    </w:p>
    <w:p>
      <w:pPr>
        <w:spacing w:after="0" w:line="18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As of March 29, 2026, amounts outstanding under the credit facility accrue interest at a rate equal to either the Secured Overnight Financing Rate ("SOFR") or base rate, at the Company's election, plus a specified margin. In the case of revolving credit loans and letter of credit fees, the specified margin is based on the Company's Total Leverage Ratio, as defined in the Credit Agreement. Commitment fees payable under the revolving credit facility are based on the Company's Total Leverage Ratio. On March 29, 2026, the weighted average interest rate on the Company's borrowings under the credit facility was 7.5%. As of March 29, 2026, the Company had $10,000 borrowings outstanding on its revolving credit facility.</w:t>
      </w:r>
    </w:p>
    <w:p>
      <w:pPr>
        <w:spacing w:after="0" w:line="182"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Company has entered into interest rate collars in the notional amounts of $500,000 and $400,000 to hedge the Company's exposure to fluctuations in interest rates on its variable-rate debt. During 13-week period ended March 29, 2026, the $500,000 notional collar expired. As of March 29, 2026, the Company had one interest rate collar remaining with a notional amount of $400,000. Refer to Note 9,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additional information.</w:t>
      </w:r>
    </w:p>
    <w:p>
      <w:pPr>
        <w:spacing w:after="0" w:line="17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Obligations under the Credit Agreement are secured by substantially all of the Company’s assets, including a secured interest in the Company's headquarters, with a carrying value of $3,014. The Credit Agreement includes representations and warranties and affirmative and negative covenants customary for financings of this type, including, but not limited to, limitations on restricted payments, additional borrowings, additional investments, and asset sales. The Credit Agreement also requires that Holley maintain, on the last day of each quarter, a Total Leverage Ratio not to exceed a maximum amount.</w:t>
      </w:r>
    </w:p>
    <w:p>
      <w:pPr>
        <w:spacing w:after="0" w:line="179"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In February 2023, the Company entered into an amendment to the Credit Agreement which, among other things, increases the Total Leverage Ratio applicable under the Credit Agreement as of the quarter ending March 31, 2024 to initially 7.25:1.00, and provides for modified step-down levels for such covenant thereafter through the fiscal quarter ending June 30, 2024 (the “Covenant Relief Period”). As a condition to the Covenant Relief Period, the Company also agreed to (i) a minimum liquidity test, (ii) an interest coverage test, (iii) an anti-cash hoarding test at any time revolving loans are outstanding, and (iv) additional reporting obligations. Under the amended Credit Agreement, the revolving credit facility contains a minimum liquidity financial covenant of $45,000, which includes unrestricted cash and any available borrowing capacity under the revolving credit facility. In April 2023, the Company entered into a second amendment to the Credit Agreement in which the interest rate on any outstanding borrowings under the Credit Agreement was changed from LIBOR to SOFR. In May 2023, the Company entered into a third amendment to the Credit Agreement in which certain defined terms were clarified. The Company incurred $2,106 of deferred financing fees related to these amendments. As of March 29, 2026, the required Total Leverage Ratio was 5.00:1.00.</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right="20"/>
        <w:spacing w:after="0" w:line="268" w:lineRule="auto"/>
        <w:rPr>
          <w:sz w:val="20"/>
          <w:szCs w:val="20"/>
          <w:color w:val="auto"/>
        </w:rPr>
      </w:pPr>
      <w:r>
        <w:rPr>
          <w:rFonts w:ascii="Arial" w:cs="Arial" w:eastAsia="Arial" w:hAnsi="Arial"/>
          <w:sz w:val="18"/>
          <w:szCs w:val="18"/>
          <w:color w:val="auto"/>
        </w:rPr>
        <w:t>Some of the lenders that are parties to the Credit Agreement, and their respective affiliates, have various relationships with the Company in the ordinary course of business involving the provision of financial services, including cash management, commercial banking, investment banking or other services.</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December 4, 2024, the Company entered into an amendment to its Credit Agreement that extends the revolver maturity date to November 18, 2029, which date may occur earlier if the maturity date of the existing term loan is not extended, and reduces the revolving credit facility from $125,000 to $100,000. The amendment permits our Total Leverage Ratio for the benefit of the revolving credit lenders to be tested only for fiscal quarters in which there are outstanding revolving credit loans on the last day of such fiscal quarter. On March 29, 2026, the Company was in compliance with all financial covenants.</w:t>
      </w:r>
    </w:p>
    <w:p>
      <w:pPr>
        <w:spacing w:after="0" w:line="179"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On March 18, 2026, the Company assumed approximately $2,200 of existing third-party debt obligations related to the HRX acquisition. Additionally, pursuant to the terms of the sale and purchase agreement, the Company is obligated to make deferred purchase price payments totaling approximately $2,100. Both the assumed debt and deferred payment obligations are classified as long-term on the condensed consolidated balance sheet as of March 29, 2026. Refer to Note 2, "</w:t>
      </w:r>
      <w:r>
        <w:rPr>
          <w:rFonts w:ascii="Arial" w:cs="Arial" w:eastAsia="Arial" w:hAnsi="Arial"/>
          <w:sz w:val="18"/>
          <w:szCs w:val="18"/>
          <w:i w:val="1"/>
          <w:iCs w:val="1"/>
          <w:color w:val="auto"/>
        </w:rPr>
        <w:t>Acquisition,</w:t>
      </w:r>
      <w:r>
        <w:rPr>
          <w:rFonts w:ascii="Arial" w:cs="Arial" w:eastAsia="Arial" w:hAnsi="Arial"/>
          <w:sz w:val="18"/>
          <w:szCs w:val="18"/>
          <w:color w:val="auto"/>
        </w:rPr>
        <w:t>" for additional information.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maturities of long-term debt and amortization of debt issuance costs as of March 29, 2026 are as follows:</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Debt Issuance</w:t>
            </w:r>
          </w:p>
        </w:tc>
      </w:tr>
      <w:tr>
        <w:trPr>
          <w:trHeight w:val="239"/>
        </w:trPr>
        <w:tc>
          <w:tcPr>
            <w:tcW w:w="7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Costs</w:t>
            </w:r>
          </w:p>
        </w:tc>
      </w:tr>
      <w:tr>
        <w:trPr>
          <w:trHeight w:val="23"/>
        </w:trPr>
        <w:tc>
          <w:tcPr>
            <w:tcW w:w="7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 (excluding the thirteen weeks ended March 29, 2026)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2027</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6,571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2,155</w:t>
            </w:r>
          </w:p>
        </w:tc>
      </w:tr>
      <w:tr>
        <w:trPr>
          <w:trHeight w:val="23"/>
        </w:trPr>
        <w:tc>
          <w:tcPr>
            <w:tcW w:w="7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516,220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r>
      <w:tr>
        <w:trPr>
          <w:trHeight w:val="240"/>
        </w:trPr>
        <w:tc>
          <w:tcPr>
            <w:tcW w:w="72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529,362</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6,463</w:t>
            </w:r>
          </w:p>
        </w:tc>
      </w:tr>
      <w:tr>
        <w:trPr>
          <w:trHeight w:val="23"/>
        </w:trPr>
        <w:tc>
          <w:tcPr>
            <w:tcW w:w="7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 AND EARN-OUT LIABILITY</w:t>
      </w:r>
    </w:p>
    <w:p>
      <w:pPr>
        <w:spacing w:after="0" w:line="225"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consummated a business combination (the “Business Combination”) pursuant to that certain Agreement and Plan of Merger dated March 11, 2021 (the “Merger Agreement”), by and among Empower Ltd., (“Empower”), Empower Merger Sub I Inc., Empower Merger Sub II LLC, and Holley Intermediate Holdings, Inc. (“Holley Intermediate”) on July 16, 2021, (the “Closing” and such date, the “Closing Date”). Upon the Closing, there were 14,666,644 Warrants, consisting of 9,999,977 public warrants ("Public Warrants") and 4,666,667 private warrants ("Private Warrants" and together with the Public Warrants, the “Warrants”), outstanding to purchase shares of Common Stock that were issued by Empower prior to the Business Combination. Each Warrant entitles the registered holder to purchase one share of Common Stock at a price of $11.50 per share, subject to adjustments, provided that the Company has an effective 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may be exercised only for a whole number of shares of Common Stock. The Warrants expire on July 16, 2026, the date that is five years after the Closing Date, or earlier upon redemption or liquidation. Additionally, the Private Warrants will be non-redeemable and are exercisable on a cashless basis so long as they are held by Empower Sponsor Holdings, LLC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83"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may redeem the Public Warrants at a price of $0.01 per warrant upon 30 days' notice if the closing price of Common Stock equals or exceeds $18.00 per share, subject to adjustments, on the trading day prior to the date on which notice of redemption is given, provided there is an effective registration statement and current prospectus in effect with respect to the ordinary shares underlying such Warrants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 Further, the Company may redeem the Public Warrants at a price of $ 0.10 per warrant upon 30 days' notice if the closing price of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Common Stock as determined by reference to a table in the warrant agreement.</w:t>
      </w:r>
    </w:p>
    <w:p>
      <w:pPr>
        <w:spacing w:after="0" w:line="183"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During any period when the Company has failed to maintain an effective registration statement, warrant holders may exercise Warrants on a cashless basis in accordance with Section 3(a)(9) of the Securities Act or another exemption, and the Company will use its commercially reasonable best efforts to register or qualify the shares under applicable blue-sky laws to the extent an exemption is not available.</w:t>
      </w:r>
    </w:p>
    <w:p>
      <w:pPr>
        <w:spacing w:after="0" w:line="17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Company’s Warrants are accounted for as a liability in accordance with ASC 815-40 and are presented as a warrant liability on the balance sheet. The warrant liability was measured at fair value at inception and on a recurring basis, with changes in fair value recognized as non-operating expense. As of March 29, 2026 and December 31, 2025, a warrant liability with a fair value of $993 and $2,024, respectively, was reflected as a long-term liability in the condensed consolidated balance sheets. A decrease of $1,031 and $73 in the fair value of the warrant liability was reflected as change in fair value of warrant liability in the condensed consolidated statements of comprehensive income for the 13-week periods ended March 29, 2026 and March 30, 2025, respectively.</w:t>
      </w:r>
    </w:p>
    <w:p>
      <w:pPr>
        <w:spacing w:after="0" w:line="182"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Additionally, the Sponsor received 2,187,500 shares of Common Stock upon the Closing, which vest in two equal tranches upon achievement of certain market share price milestones during the earn-out period, as outlined in the Merger Agreement (the “Earn-Out Shares”). The first tranche of Earn-Out Shares vested during the first quarter of 2022. Upon vesting, the first tranche of 1,093,750 Earn-Out Shares were issued and a liability of $14,689, representing the fair value of the shares on the date of vesting, was reclassified from liabilities to equity. The remaining tranche of Earn-Out Shares will be forfeited if the applicable conditions are not satisfied before July 16, 2028 (seven years after the Closing Date). The unvested Earn-Out Shares are presented as an earn-out liability on the balance sheet and are remeasured at fair value with changes in fair value recognized as non-operating expense. As of March 29, 2026 and December 31, 2025, an earn-out liability with a fair value of $ 1,531 and $2,045, respectively, was reflected as a long-term liability in the condensed consolidated balance sheets. A decrease of $514 and $185 in the fair value of the earn-out liability was reflected as change in fair value of earn-out liability in the condensed consolidated statements of comprehensive income for the 13-week periods ended March 29, 2026 and March 30, 2025, respectively.</w:t>
      </w:r>
    </w:p>
    <w:p>
      <w:pPr>
        <w:spacing w:after="0" w:line="18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25"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from time to time enters into derivative financial instruments, such as interest rate collar agreements (each, a “Collar”), to manage its exposure to fluctuations in interest rates on the Company’s variable rate debt. On January 4, 2023, the Company entered into a Collar with Wells Fargo Bank, N.A. ("Wells Fargo") with a notional amount of $500,000 that expired on February 18, 2026. The Collar had a floor of 2.81% and a cap of 5.00% (based on three-month SOFR). On January 30, 2025, the Company entered into another Collar with Wells Fargo with a notional amount of $400,000 that expires on November 18, 2028. The Collar has a floor of 3.35% and a cap of 4.99% (based on three-month SOFR). The structure of these Collars is such that the Company receives an incremental amount if the Collar index exceeds the cap rate. Conversely, the Company pays an incremental amount to Wells Fargo if the Collar index falls below the floor rate. No payments are required if the Collar index falls between the cap and floor rates.</w:t>
      </w:r>
    </w:p>
    <w:p>
      <w:pPr>
        <w:spacing w:after="0" w:line="184" w:lineRule="exact"/>
        <w:rPr>
          <w:rFonts w:ascii="Arial" w:cs="Arial" w:eastAsia="Arial" w:hAnsi="Arial"/>
          <w:sz w:val="18"/>
          <w:szCs w:val="18"/>
          <w:b w:val="1"/>
          <w:bCs w:val="1"/>
          <w:color w:val="auto"/>
        </w:rPr>
      </w:pPr>
    </w:p>
    <w:p>
      <w:pPr>
        <w:ind w:left="34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On March 29, 2026, the Company recognized a derivative liability of $2,471 for the Collar in other noncurrent liabilities on the condensed consolidated balance sheets. The Company recorded a net change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in the fair value of the Collar as a decrease of $1,028 and an increase of $3,812 to interest expense for the 13-week periods ended March 29, 2026 and March 30, 2025, respectively.</w:t>
      </w:r>
    </w:p>
    <w:p>
      <w:pPr>
        <w:spacing w:after="0" w:line="15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 xml:space="preserve">The fair value of the Collar is determined using observable market-based inputs and the impact of credit risk on the derivative’s fair value (the creditworthiness of the Company’s counterparty for assets and the creditworthiness of the Company for liabilities) (a Level 2 measurement, as described in Note 10,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171"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Company’s financial liabilities subject to fair value measurement on a recurring basis and the level of inputs used for such measurements were as follows: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4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60" w:type="dxa"/>
            <w:vAlign w:val="bottom"/>
            <w:gridSpan w:val="9"/>
          </w:tcPr>
          <w:p>
            <w:pPr>
              <w:jc w:val="right"/>
              <w:ind w:right="230"/>
              <w:spacing w:after="0"/>
              <w:rPr>
                <w:sz w:val="20"/>
                <w:szCs w:val="20"/>
                <w:color w:val="auto"/>
              </w:rPr>
            </w:pPr>
            <w:r>
              <w:rPr>
                <w:rFonts w:ascii="Arial" w:cs="Arial" w:eastAsia="Arial" w:hAnsi="Arial"/>
                <w:sz w:val="18"/>
                <w:szCs w:val="18"/>
                <w:color w:val="auto"/>
                <w:w w:val="99"/>
              </w:rPr>
              <w:t>Fair Value Measured on March 29, 2026</w:t>
            </w:r>
          </w:p>
        </w:tc>
        <w:tc>
          <w:tcPr>
            <w:tcW w:w="1100" w:type="dxa"/>
            <w:vAlign w:val="bottom"/>
          </w:tcPr>
          <w:p>
            <w:pPr>
              <w:spacing w:after="0"/>
              <w:rPr>
                <w:sz w:val="20"/>
                <w:szCs w:val="20"/>
                <w:color w:val="auto"/>
              </w:rPr>
            </w:pPr>
          </w:p>
        </w:tc>
      </w:tr>
      <w:tr>
        <w:trPr>
          <w:trHeight w:val="23"/>
        </w:trPr>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1"/>
        </w:trPr>
        <w:tc>
          <w:tcPr>
            <w:tcW w:w="4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Level 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Total</w:t>
            </w:r>
          </w:p>
        </w:tc>
      </w:tr>
      <w:tr>
        <w:trPr>
          <w:trHeight w:val="23"/>
        </w:trPr>
        <w:tc>
          <w:tcPr>
            <w:tcW w:w="4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7"/>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Warrant liability (Public)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670</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3"/>
        </w:trPr>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Warrant liability (Private)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47"/>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Earn-out liability</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1,531</w:t>
            </w:r>
          </w:p>
        </w:tc>
      </w:tr>
      <w:tr>
        <w:trPr>
          <w:trHeight w:val="23"/>
        </w:trPr>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collar liability</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r>
      <w:tr>
        <w:trPr>
          <w:trHeight w:val="263"/>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Total fair value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4,995</w:t>
            </w:r>
          </w:p>
        </w:tc>
      </w:tr>
      <w:tr>
        <w:trPr>
          <w:trHeight w:val="21"/>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78"/>
        </w:trPr>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gridSpan w:val="10"/>
          </w:tcPr>
          <w:p>
            <w:pPr>
              <w:jc w:val="right"/>
              <w:ind w:right="70"/>
              <w:spacing w:after="0"/>
              <w:rPr>
                <w:sz w:val="20"/>
                <w:szCs w:val="20"/>
                <w:color w:val="auto"/>
              </w:rPr>
            </w:pPr>
            <w:r>
              <w:rPr>
                <w:rFonts w:ascii="Arial" w:cs="Arial" w:eastAsia="Arial" w:hAnsi="Arial"/>
                <w:sz w:val="18"/>
                <w:szCs w:val="18"/>
                <w:color w:val="auto"/>
              </w:rPr>
              <w:t>Fair Value Measured on December 31, 2025</w:t>
            </w:r>
          </w:p>
        </w:tc>
        <w:tc>
          <w:tcPr>
            <w:tcW w:w="1100" w:type="dxa"/>
            <w:vAlign w:val="bottom"/>
          </w:tcPr>
          <w:p>
            <w:pPr>
              <w:spacing w:after="0"/>
              <w:rPr>
                <w:sz w:val="24"/>
                <w:szCs w:val="24"/>
                <w:color w:val="auto"/>
              </w:rPr>
            </w:pPr>
          </w:p>
        </w:tc>
      </w:tr>
      <w:tr>
        <w:trPr>
          <w:trHeight w:val="23"/>
        </w:trPr>
        <w:tc>
          <w:tcPr>
            <w:tcW w:w="4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0"/>
        </w:trPr>
        <w:tc>
          <w:tcPr>
            <w:tcW w:w="4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Level 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Total</w:t>
            </w:r>
          </w:p>
        </w:tc>
      </w:tr>
      <w:tr>
        <w:trPr>
          <w:trHeight w:val="23"/>
        </w:trPr>
        <w:tc>
          <w:tcPr>
            <w:tcW w:w="4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7"/>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Warrant liability (Public)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1,369</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1,369</w:t>
            </w:r>
          </w:p>
        </w:tc>
      </w:tr>
      <w:tr>
        <w:trPr>
          <w:trHeight w:val="23"/>
        </w:trPr>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Warrant liability (Private)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47"/>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Earn-out liability</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2,045</w:t>
            </w:r>
          </w:p>
        </w:tc>
      </w:tr>
      <w:tr>
        <w:trPr>
          <w:trHeight w:val="23"/>
        </w:trPr>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collar liability</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3,498</w:t>
            </w:r>
          </w:p>
        </w:tc>
      </w:tr>
      <w:tr>
        <w:trPr>
          <w:trHeight w:val="263"/>
        </w:trPr>
        <w:tc>
          <w:tcPr>
            <w:tcW w:w="4440" w:type="dxa"/>
            <w:vAlign w:val="bottom"/>
          </w:tcPr>
          <w:p>
            <w:pPr>
              <w:ind w:left="20"/>
              <w:spacing w:after="0"/>
              <w:rPr>
                <w:sz w:val="20"/>
                <w:szCs w:val="20"/>
                <w:color w:val="auto"/>
              </w:rPr>
            </w:pPr>
            <w:r>
              <w:rPr>
                <w:rFonts w:ascii="Arial" w:cs="Arial" w:eastAsia="Arial" w:hAnsi="Arial"/>
                <w:sz w:val="18"/>
                <w:szCs w:val="18"/>
                <w:color w:val="auto"/>
              </w:rPr>
              <w:t>Total fair value liabilities</w:t>
            </w: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7,567</w:t>
            </w:r>
          </w:p>
        </w:tc>
      </w:tr>
      <w:tr>
        <w:trPr>
          <w:trHeight w:val="21"/>
        </w:trPr>
        <w:tc>
          <w:tcPr>
            <w:tcW w:w="4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As of March 29, 2026, the Company's derivative liabilities for its Private and Public Warrants, earn-out liability, and derivative liability for its Collar are measured at fair value on a recurring basis (see Note 8, “</w:t>
      </w:r>
      <w:r>
        <w:rPr>
          <w:rFonts w:ascii="Arial" w:cs="Arial" w:eastAsia="Arial" w:hAnsi="Arial"/>
          <w:sz w:val="18"/>
          <w:szCs w:val="18"/>
          <w:i w:val="1"/>
          <w:iCs w:val="1"/>
          <w:color w:val="auto"/>
        </w:rPr>
        <w:t>Common Stock Warrants and Earn-Out Liability</w:t>
      </w:r>
      <w:r>
        <w:rPr>
          <w:rFonts w:ascii="Arial" w:cs="Arial" w:eastAsia="Arial" w:hAnsi="Arial"/>
          <w:sz w:val="18"/>
          <w:szCs w:val="18"/>
          <w:color w:val="auto"/>
        </w:rPr>
        <w:t>,” and Note 9,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more details). The fair values of the Private Warrants and earn-out liability are determined based on significant inputs not observable in the market (Level 3).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Collar, which is included in other noncurrent liabilities on the condensed consolidated balance sheets, is determined based on models that reflect the contractual terms of the derivative, yield curves, and the credit quality of the counterparties. Inputs are generally observable and do not contain a high level of subjectivity (Level 2). The fair value of the Public Warrants is determined using publicly traded prices (Level 1). Changes in the fair value of the derivative liabilities related to Warrants and the earn-out liability are recognized as non-operating expense in the condensed consolidated statements of comprehensive income. Changes in the fair value of the Collar are recognized as an adjustment to interest expense in the condensed consolidated statements of comprehensive income. Changes in the fair value of the derivative liabilities related to Warrants, the earn -out liability, and the Collar are recognized in net cash provided by operating activities on the condensed consolidated statements of cash flows.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fair value of Private Warrants was estimated as of the measurement date using the Monte Carlo simulation model with the following assumptions: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6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2"/>
          </w:tcPr>
          <w:p>
            <w:pPr>
              <w:ind w:left="140"/>
              <w:spacing w:after="0"/>
              <w:rPr>
                <w:sz w:val="20"/>
                <w:szCs w:val="20"/>
                <w:color w:val="auto"/>
              </w:rPr>
            </w:pPr>
            <w:r>
              <w:rPr>
                <w:rFonts w:ascii="Arial" w:cs="Arial" w:eastAsia="Arial" w:hAnsi="Arial"/>
                <w:sz w:val="18"/>
                <w:szCs w:val="18"/>
                <w:color w:val="auto"/>
              </w:rPr>
              <w:t>March 29, 2026</w:t>
            </w:r>
          </w:p>
        </w:tc>
        <w:tc>
          <w:tcPr>
            <w:tcW w:w="200" w:type="dxa"/>
            <w:vAlign w:val="bottom"/>
          </w:tcPr>
          <w:p>
            <w:pPr>
              <w:spacing w:after="0"/>
              <w:rPr>
                <w:sz w:val="20"/>
                <w:szCs w:val="20"/>
                <w:color w:val="auto"/>
              </w:rPr>
            </w:pP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December 31, 2025</w:t>
            </w:r>
          </w:p>
        </w:tc>
      </w:tr>
      <w:tr>
        <w:trPr>
          <w:trHeight w:val="23"/>
        </w:trPr>
        <w:tc>
          <w:tcPr>
            <w:tcW w:w="6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date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4.13</w:t>
            </w:r>
          </w:p>
        </w:tc>
      </w:tr>
      <w:tr>
        <w:trPr>
          <w:trHeight w:val="247"/>
        </w:trPr>
        <w:tc>
          <w:tcPr>
            <w:tcW w:w="6140" w:type="dxa"/>
            <w:vAlign w:val="bottom"/>
          </w:tcPr>
          <w:p>
            <w:pPr>
              <w:ind w:left="20"/>
              <w:spacing w:after="0"/>
              <w:rPr>
                <w:sz w:val="20"/>
                <w:szCs w:val="20"/>
                <w:color w:val="auto"/>
              </w:rPr>
            </w:pPr>
            <w:r>
              <w:rPr>
                <w:rFonts w:ascii="Arial" w:cs="Arial" w:eastAsia="Arial" w:hAnsi="Arial"/>
                <w:sz w:val="18"/>
                <w:szCs w:val="18"/>
                <w:color w:val="auto"/>
              </w:rPr>
              <w:t>Strike price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50"/>
              <w:spacing w:after="0"/>
              <w:rPr>
                <w:sz w:val="20"/>
                <w:szCs w:val="20"/>
                <w:color w:val="auto"/>
              </w:rPr>
            </w:pPr>
            <w:r>
              <w:rPr>
                <w:rFonts w:ascii="Arial" w:cs="Arial" w:eastAsia="Arial" w:hAnsi="Arial"/>
                <w:sz w:val="18"/>
                <w:szCs w:val="18"/>
                <w:color w:val="auto"/>
              </w:rPr>
              <w:t>11.50</w:t>
            </w:r>
          </w:p>
        </w:tc>
      </w:tr>
      <w:tr>
        <w:trPr>
          <w:trHeight w:val="23"/>
        </w:trPr>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life (in years)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r>
      <w:tr>
        <w:trPr>
          <w:trHeight w:val="247"/>
        </w:trPr>
        <w:tc>
          <w:tcPr>
            <w:tcW w:w="6140" w:type="dxa"/>
            <w:vAlign w:val="bottom"/>
          </w:tcPr>
          <w:p>
            <w:pPr>
              <w:ind w:left="20"/>
              <w:spacing w:after="0"/>
              <w:rPr>
                <w:sz w:val="20"/>
                <w:szCs w:val="20"/>
                <w:color w:val="auto"/>
              </w:rPr>
            </w:pPr>
            <w:r>
              <w:rPr>
                <w:rFonts w:ascii="Arial" w:cs="Arial" w:eastAsia="Arial" w:hAnsi="Arial"/>
                <w:sz w:val="18"/>
                <w:szCs w:val="18"/>
                <w:color w:val="auto"/>
              </w:rPr>
              <w:t>Expected dividend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
        </w:trPr>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47"/>
        </w:trPr>
        <w:tc>
          <w:tcPr>
            <w:tcW w:w="6140" w:type="dxa"/>
            <w:vAlign w:val="bottom"/>
          </w:tcPr>
          <w:p>
            <w:pPr>
              <w:ind w:left="20"/>
              <w:spacing w:after="0"/>
              <w:rPr>
                <w:sz w:val="20"/>
                <w:szCs w:val="20"/>
                <w:color w:val="auto"/>
              </w:rPr>
            </w:pPr>
            <w:r>
              <w:rPr>
                <w:rFonts w:ascii="Arial" w:cs="Arial" w:eastAsia="Arial" w:hAnsi="Arial"/>
                <w:sz w:val="18"/>
                <w:szCs w:val="18"/>
                <w:color w:val="auto"/>
              </w:rPr>
              <w:t>Price threshold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50"/>
              <w:spacing w:after="0"/>
              <w:rPr>
                <w:sz w:val="20"/>
                <w:szCs w:val="20"/>
                <w:color w:val="auto"/>
              </w:rPr>
            </w:pPr>
            <w:r>
              <w:rPr>
                <w:rFonts w:ascii="Arial" w:cs="Arial" w:eastAsia="Arial" w:hAnsi="Arial"/>
                <w:sz w:val="18"/>
                <w:szCs w:val="18"/>
                <w:color w:val="auto"/>
              </w:rPr>
              <w:t>18.00</w:t>
            </w:r>
          </w:p>
        </w:tc>
      </w:tr>
    </w:tbl>
    <w:p>
      <w:pPr>
        <w:spacing w:after="0" w:line="31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fair value of the earn-out liability was estimated as of the measurement date using the Monte Carlo simulation model with the following assumptions: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6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2"/>
          </w:tcPr>
          <w:p>
            <w:pPr>
              <w:ind w:left="140"/>
              <w:spacing w:after="0"/>
              <w:rPr>
                <w:sz w:val="20"/>
                <w:szCs w:val="20"/>
                <w:color w:val="auto"/>
              </w:rPr>
            </w:pPr>
            <w:r>
              <w:rPr>
                <w:rFonts w:ascii="Arial" w:cs="Arial" w:eastAsia="Arial" w:hAnsi="Arial"/>
                <w:sz w:val="18"/>
                <w:szCs w:val="18"/>
                <w:color w:val="auto"/>
              </w:rPr>
              <w:t>March 29, 2026</w:t>
            </w:r>
          </w:p>
        </w:tc>
        <w:tc>
          <w:tcPr>
            <w:tcW w:w="200" w:type="dxa"/>
            <w:vAlign w:val="bottom"/>
          </w:tcPr>
          <w:p>
            <w:pPr>
              <w:spacing w:after="0"/>
              <w:rPr>
                <w:sz w:val="20"/>
                <w:szCs w:val="20"/>
                <w:color w:val="auto"/>
              </w:rPr>
            </w:pP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December 31, 2025</w:t>
            </w:r>
          </w:p>
        </w:tc>
      </w:tr>
      <w:tr>
        <w:trPr>
          <w:trHeight w:val="23"/>
        </w:trPr>
        <w:tc>
          <w:tcPr>
            <w:tcW w:w="6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date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4.13</w:t>
            </w:r>
          </w:p>
        </w:tc>
      </w:tr>
      <w:tr>
        <w:trPr>
          <w:trHeight w:val="247"/>
        </w:trPr>
        <w:tc>
          <w:tcPr>
            <w:tcW w:w="61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3"/>
        </w:trPr>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78.79%</w:t>
            </w:r>
          </w:p>
        </w:tc>
      </w:tr>
      <w:tr>
        <w:trPr>
          <w:trHeight w:val="247"/>
        </w:trPr>
        <w:tc>
          <w:tcPr>
            <w:tcW w:w="61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3"/>
        </w:trPr>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7"/>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 hurdle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15.00</w:t>
            </w:r>
          </w:p>
        </w:tc>
      </w:tr>
      <w:tr>
        <w:trPr>
          <w:trHeight w:val="23"/>
        </w:trPr>
        <w:tc>
          <w:tcPr>
            <w:tcW w:w="6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278"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As of March 29, 2026 and December 31, 2025, the Company has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changes in Level 3 liabilities during the 13-week periods ended March 29, 2026 and March 30, 2025 is as follows:</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5640" w:type="dxa"/>
            <w:vAlign w:val="bottom"/>
          </w:tcPr>
          <w:p>
            <w:pPr>
              <w:spacing w:after="0"/>
              <w:rPr>
                <w:sz w:val="20"/>
                <w:szCs w:val="20"/>
                <w:color w:val="auto"/>
              </w:rPr>
            </w:pP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Private Warrants</w:t>
            </w:r>
          </w:p>
        </w:tc>
        <w:tc>
          <w:tcPr>
            <w:tcW w:w="1640" w:type="dxa"/>
            <w:vAlign w:val="bottom"/>
            <w:gridSpan w:val="3"/>
          </w:tcPr>
          <w:p>
            <w:pPr>
              <w:ind w:left="80"/>
              <w:spacing w:after="0"/>
              <w:rPr>
                <w:sz w:val="20"/>
                <w:szCs w:val="20"/>
                <w:color w:val="auto"/>
              </w:rPr>
            </w:pPr>
            <w:r>
              <w:rPr>
                <w:rFonts w:ascii="Arial" w:cs="Arial" w:eastAsia="Arial" w:hAnsi="Arial"/>
                <w:sz w:val="18"/>
                <w:szCs w:val="18"/>
                <w:color w:val="auto"/>
              </w:rPr>
              <w:t>Earn-Out Liability</w:t>
            </w: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3"/>
        </w:trPr>
        <w:tc>
          <w:tcPr>
            <w:tcW w:w="56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r>
      <w:tr>
        <w:trPr>
          <w:trHeight w:val="247"/>
        </w:trPr>
        <w:tc>
          <w:tcPr>
            <w:tcW w:w="5640" w:type="dxa"/>
            <w:vAlign w:val="bottom"/>
          </w:tcPr>
          <w:p>
            <w:pPr>
              <w:ind w:left="20"/>
              <w:spacing w:after="0"/>
              <w:rPr>
                <w:sz w:val="20"/>
                <w:szCs w:val="20"/>
                <w:color w:val="auto"/>
              </w:rPr>
            </w:pPr>
            <w:r>
              <w:rPr>
                <w:rFonts w:ascii="Arial" w:cs="Arial" w:eastAsia="Arial" w:hAnsi="Arial"/>
                <w:sz w:val="18"/>
                <w:szCs w:val="18"/>
                <w:color w:val="auto"/>
              </w:rPr>
              <w:t>Gains included in earnings</w:t>
            </w: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3"/>
        </w:trPr>
        <w:tc>
          <w:tcPr>
            <w:tcW w:w="56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30, 2025</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2025</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47"/>
        </w:trPr>
        <w:tc>
          <w:tcPr>
            <w:tcW w:w="5640" w:type="dxa"/>
            <w:vAlign w:val="bottom"/>
          </w:tcPr>
          <w:p>
            <w:pPr>
              <w:ind w:left="20"/>
              <w:spacing w:after="0"/>
              <w:rPr>
                <w:sz w:val="20"/>
                <w:szCs w:val="20"/>
                <w:color w:val="auto"/>
              </w:rPr>
            </w:pPr>
            <w:r>
              <w:rPr>
                <w:rFonts w:ascii="Arial" w:cs="Arial" w:eastAsia="Arial" w:hAnsi="Arial"/>
                <w:sz w:val="18"/>
                <w:szCs w:val="18"/>
                <w:color w:val="auto"/>
              </w:rPr>
              <w:t>Gains included in earnings</w:t>
            </w: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(846)</w:t>
            </w:r>
          </w:p>
        </w:tc>
      </w:tr>
      <w:tr>
        <w:trPr>
          <w:trHeight w:val="23"/>
        </w:trPr>
        <w:tc>
          <w:tcPr>
            <w:tcW w:w="56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29, 2026</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spacing w:after="0" w:line="17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The Company has evaluated the terms of our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more information.</w:t>
      </w:r>
    </w:p>
    <w:p>
      <w:pPr>
        <w:spacing w:after="0" w:line="181"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following table summarizes total revenue by division category during the 13-week periods ended March 29, 2026 and March 30, 2025.</w:t>
      </w:r>
    </w:p>
    <w:p>
      <w:pPr>
        <w:spacing w:after="0" w:line="207" w:lineRule="exact"/>
        <w:rPr>
          <w:sz w:val="20"/>
          <w:szCs w:val="20"/>
          <w:color w:val="auto"/>
        </w:rPr>
      </w:pPr>
    </w:p>
    <w:tbl>
      <w:tblPr>
        <w:tblLayout w:type="fixed"/>
        <w:tblInd w:w="540" w:type="dxa"/>
        <w:tblCellMar>
          <w:top w:w="0" w:type="dxa"/>
          <w:left w:w="0" w:type="dxa"/>
          <w:bottom w:w="0" w:type="dxa"/>
          <w:right w:w="0" w:type="dxa"/>
        </w:tblCellMar>
      </w:tblPr>
      <w:tr>
        <w:trPr>
          <w:trHeight w:val="239"/>
        </w:trPr>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gridSpan w:val="4"/>
          </w:tcPr>
          <w:p>
            <w:pPr>
              <w:jc w:val="right"/>
              <w:ind w:right="810"/>
              <w:spacing w:after="0"/>
              <w:rPr>
                <w:sz w:val="20"/>
                <w:szCs w:val="20"/>
                <w:color w:val="auto"/>
              </w:rPr>
            </w:pPr>
            <w:r>
              <w:rPr>
                <w:rFonts w:ascii="Arial" w:cs="Arial" w:eastAsia="Arial" w:hAnsi="Arial"/>
                <w:sz w:val="18"/>
                <w:szCs w:val="18"/>
                <w:color w:val="auto"/>
              </w:rPr>
              <w:t>For the thirteen weeks ended</w:t>
            </w:r>
          </w:p>
        </w:tc>
      </w:tr>
      <w:tr>
        <w:trPr>
          <w:trHeight w:val="23"/>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0"/>
        </w:trPr>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March 29, 2026</w:t>
            </w:r>
          </w:p>
        </w:tc>
        <w:tc>
          <w:tcPr>
            <w:tcW w:w="240" w:type="dxa"/>
            <w:vAlign w:val="bottom"/>
          </w:tcPr>
          <w:p>
            <w:pPr>
              <w:spacing w:after="0"/>
              <w:rPr>
                <w:sz w:val="20"/>
                <w:szCs w:val="20"/>
                <w:color w:val="auto"/>
              </w:rPr>
            </w:pPr>
          </w:p>
        </w:tc>
        <w:tc>
          <w:tcPr>
            <w:tcW w:w="1780" w:type="dxa"/>
            <w:vAlign w:val="bottom"/>
          </w:tcPr>
          <w:p>
            <w:pPr>
              <w:jc w:val="right"/>
              <w:ind w:right="290"/>
              <w:spacing w:after="0"/>
              <w:rPr>
                <w:sz w:val="20"/>
                <w:szCs w:val="20"/>
                <w:color w:val="auto"/>
              </w:rPr>
            </w:pPr>
            <w:r>
              <w:rPr>
                <w:rFonts w:ascii="Arial" w:cs="Arial" w:eastAsia="Arial" w:hAnsi="Arial"/>
                <w:sz w:val="18"/>
                <w:szCs w:val="18"/>
                <w:color w:val="auto"/>
              </w:rPr>
              <w:t>March 30, 2025</w:t>
            </w:r>
          </w:p>
        </w:tc>
      </w:tr>
      <w:tr>
        <w:trPr>
          <w:trHeight w:val="2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American Performance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91,842</w:t>
            </w:r>
          </w:p>
        </w:tc>
      </w:tr>
      <w:tr>
        <w:trPr>
          <w:trHeight w:val="247"/>
        </w:trPr>
        <w:tc>
          <w:tcPr>
            <w:tcW w:w="6060" w:type="dxa"/>
            <w:vAlign w:val="bottom"/>
          </w:tcPr>
          <w:p>
            <w:pPr>
              <w:spacing w:after="0"/>
              <w:rPr>
                <w:sz w:val="20"/>
                <w:szCs w:val="20"/>
                <w:color w:val="auto"/>
              </w:rPr>
            </w:pPr>
            <w:r>
              <w:rPr>
                <w:rFonts w:ascii="Arial" w:cs="Arial" w:eastAsia="Arial" w:hAnsi="Arial"/>
                <w:sz w:val="18"/>
                <w:szCs w:val="18"/>
                <w:color w:val="auto"/>
              </w:rPr>
              <w:t>Euro &amp; Import</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6,847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10,955</w:t>
            </w:r>
          </w:p>
        </w:tc>
      </w:tr>
      <w:tr>
        <w:trPr>
          <w:trHeight w:val="2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Truck &amp; Off-Road</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31,229</w:t>
            </w:r>
          </w:p>
        </w:tc>
      </w:tr>
      <w:tr>
        <w:trPr>
          <w:trHeight w:val="247"/>
        </w:trPr>
        <w:tc>
          <w:tcPr>
            <w:tcW w:w="6060" w:type="dxa"/>
            <w:vAlign w:val="bottom"/>
          </w:tcPr>
          <w:p>
            <w:pPr>
              <w:spacing w:after="0"/>
              <w:rPr>
                <w:sz w:val="20"/>
                <w:szCs w:val="20"/>
                <w:color w:val="auto"/>
              </w:rPr>
            </w:pPr>
            <w:r>
              <w:rPr>
                <w:rFonts w:ascii="Arial" w:cs="Arial" w:eastAsia="Arial" w:hAnsi="Arial"/>
                <w:sz w:val="18"/>
                <w:szCs w:val="18"/>
                <w:color w:val="auto"/>
              </w:rPr>
              <w:t>Safety &amp; Racing</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21,205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19,018</w:t>
            </w:r>
          </w:p>
        </w:tc>
      </w:tr>
      <w:tr>
        <w:trPr>
          <w:trHeight w:val="2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88"/>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147,330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153,044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total revenue based on geographic location from which the product is shipped:</w:t>
      </w:r>
    </w:p>
    <w:p>
      <w:pPr>
        <w:spacing w:after="0" w:line="279" w:lineRule="exact"/>
        <w:rPr>
          <w:sz w:val="20"/>
          <w:szCs w:val="20"/>
          <w:color w:val="auto"/>
        </w:rPr>
      </w:pPr>
    </w:p>
    <w:tbl>
      <w:tblPr>
        <w:tblLayout w:type="fixed"/>
        <w:tblInd w:w="540" w:type="dxa"/>
        <w:tblCellMar>
          <w:top w:w="0" w:type="dxa"/>
          <w:left w:w="0" w:type="dxa"/>
          <w:bottom w:w="0" w:type="dxa"/>
          <w:right w:w="0" w:type="dxa"/>
        </w:tblCellMar>
      </w:tblPr>
      <w:tr>
        <w:trPr>
          <w:trHeight w:val="239"/>
        </w:trPr>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gridSpan w:val="4"/>
          </w:tcPr>
          <w:p>
            <w:pPr>
              <w:jc w:val="right"/>
              <w:ind w:right="750"/>
              <w:spacing w:after="0"/>
              <w:rPr>
                <w:sz w:val="20"/>
                <w:szCs w:val="20"/>
                <w:color w:val="auto"/>
              </w:rPr>
            </w:pPr>
            <w:r>
              <w:rPr>
                <w:rFonts w:ascii="Arial" w:cs="Arial" w:eastAsia="Arial" w:hAnsi="Arial"/>
                <w:sz w:val="18"/>
                <w:szCs w:val="18"/>
                <w:color w:val="auto"/>
              </w:rPr>
              <w:t>For the thirteen weeks ended</w:t>
            </w:r>
          </w:p>
        </w:tc>
      </w:tr>
      <w:tr>
        <w:trPr>
          <w:trHeight w:val="23"/>
        </w:trPr>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0"/>
        </w:trPr>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ind w:left="120"/>
              <w:spacing w:after="0"/>
              <w:rPr>
                <w:sz w:val="20"/>
                <w:szCs w:val="20"/>
                <w:color w:val="auto"/>
              </w:rPr>
            </w:pPr>
            <w:r>
              <w:rPr>
                <w:rFonts w:ascii="Arial" w:cs="Arial" w:eastAsia="Arial" w:hAnsi="Arial"/>
                <w:sz w:val="18"/>
                <w:szCs w:val="18"/>
                <w:color w:val="auto"/>
              </w:rPr>
              <w:t>March 29, 2026</w:t>
            </w:r>
          </w:p>
        </w:tc>
        <w:tc>
          <w:tcPr>
            <w:tcW w:w="240" w:type="dxa"/>
            <w:vAlign w:val="bottom"/>
          </w:tcPr>
          <w:p>
            <w:pPr>
              <w:spacing w:after="0"/>
              <w:rPr>
                <w:sz w:val="20"/>
                <w:szCs w:val="20"/>
                <w:color w:val="auto"/>
              </w:rPr>
            </w:pP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March 30, 2025</w:t>
            </w:r>
          </w:p>
        </w:tc>
      </w:tr>
      <w:tr>
        <w:trPr>
          <w:trHeight w:val="23"/>
        </w:trPr>
        <w:tc>
          <w:tcPr>
            <w:tcW w:w="6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147,491</w:t>
            </w:r>
          </w:p>
        </w:tc>
      </w:tr>
      <w:tr>
        <w:trPr>
          <w:trHeight w:val="247"/>
        </w:trPr>
        <w:tc>
          <w:tcPr>
            <w:tcW w:w="6160" w:type="dxa"/>
            <w:vAlign w:val="bottom"/>
          </w:tcPr>
          <w:p>
            <w:pPr>
              <w:ind w:left="20"/>
              <w:spacing w:after="0"/>
              <w:rPr>
                <w:sz w:val="20"/>
                <w:szCs w:val="20"/>
                <w:color w:val="auto"/>
              </w:rPr>
            </w:pPr>
            <w:r>
              <w:rPr>
                <w:rFonts w:ascii="Arial" w:cs="Arial" w:eastAsia="Arial" w:hAnsi="Arial"/>
                <w:sz w:val="18"/>
                <w:szCs w:val="18"/>
                <w:color w:val="auto"/>
              </w:rPr>
              <w:t>Italy</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5,553</w:t>
            </w:r>
          </w:p>
        </w:tc>
      </w:tr>
      <w:tr>
        <w:trPr>
          <w:trHeight w:val="23"/>
        </w:trPr>
        <w:tc>
          <w:tcPr>
            <w:tcW w:w="6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147,330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153,044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income tax rate is based on expected income, statutory rates and tax planning opportunities available in the various jurisdictions in which it operates. For interim financial reporting, the Company estimates the annual income tax rate based on projected taxable income for the full year and records a quarterly income tax provision or benefit in accordance with the anticipated annual rate. The Company refines the estimates of the year's taxable income as new information becomes available, including actual year-to-date financial results. This continual estimation process often results in a change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expected effective income tax rate for the year. When this occurs, the Company adjusts the income tax provision during the quarter in which the change in estimate occurs so that the year-to-date provision reflects the expected income tax rate. Significant judgment is required in determining the effective tax rate and in evaluating tax positions.</w:t>
      </w:r>
    </w:p>
    <w:p>
      <w:pPr>
        <w:spacing w:after="0" w:line="225" w:lineRule="exact"/>
        <w:rPr>
          <w:sz w:val="20"/>
          <w:szCs w:val="20"/>
          <w:color w:val="auto"/>
        </w:rPr>
      </w:pPr>
    </w:p>
    <w:tbl>
      <w:tblPr>
        <w:tblLayout w:type="fixed"/>
        <w:tblInd w:w="280" w:type="dxa"/>
        <w:tblCellMar>
          <w:top w:w="0" w:type="dxa"/>
          <w:left w:w="0" w:type="dxa"/>
          <w:bottom w:w="0" w:type="dxa"/>
          <w:right w:w="0" w:type="dxa"/>
        </w:tblCellMar>
      </w:tblPr>
      <w:tr>
        <w:trPr>
          <w:trHeight w:val="239"/>
        </w:trPr>
        <w:tc>
          <w:tcPr>
            <w:tcW w:w="6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40" w:type="dxa"/>
            <w:vAlign w:val="bottom"/>
            <w:gridSpan w:val="4"/>
          </w:tcPr>
          <w:p>
            <w:pPr>
              <w:jc w:val="right"/>
              <w:ind w:right="910"/>
              <w:spacing w:after="0"/>
              <w:rPr>
                <w:sz w:val="20"/>
                <w:szCs w:val="20"/>
                <w:color w:val="auto"/>
              </w:rPr>
            </w:pPr>
            <w:r>
              <w:rPr>
                <w:rFonts w:ascii="Arial" w:cs="Arial" w:eastAsia="Arial" w:hAnsi="Arial"/>
                <w:sz w:val="18"/>
                <w:szCs w:val="18"/>
                <w:color w:val="auto"/>
              </w:rPr>
              <w:t>For the thirteen weeks ended</w:t>
            </w:r>
          </w:p>
        </w:tc>
      </w:tr>
      <w:tr>
        <w:trPr>
          <w:trHeight w:val="23"/>
        </w:trPr>
        <w:tc>
          <w:tcPr>
            <w:tcW w:w="6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1"/>
        </w:trPr>
        <w:tc>
          <w:tcPr>
            <w:tcW w:w="6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2"/>
          </w:tcPr>
          <w:p>
            <w:pPr>
              <w:ind w:left="160"/>
              <w:spacing w:after="0"/>
              <w:rPr>
                <w:sz w:val="20"/>
                <w:szCs w:val="20"/>
                <w:color w:val="auto"/>
              </w:rPr>
            </w:pPr>
            <w:r>
              <w:rPr>
                <w:rFonts w:ascii="Arial" w:cs="Arial" w:eastAsia="Arial" w:hAnsi="Arial"/>
                <w:sz w:val="18"/>
                <w:szCs w:val="18"/>
                <w:color w:val="auto"/>
              </w:rPr>
              <w:t>March 29, 2026</w:t>
            </w:r>
          </w:p>
        </w:tc>
        <w:tc>
          <w:tcPr>
            <w:tcW w:w="260" w:type="dxa"/>
            <w:vAlign w:val="bottom"/>
          </w:tcPr>
          <w:p>
            <w:pPr>
              <w:spacing w:after="0"/>
              <w:rPr>
                <w:sz w:val="20"/>
                <w:szCs w:val="20"/>
                <w:color w:val="auto"/>
              </w:rPr>
            </w:pP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March 30, 2025</w:t>
            </w:r>
          </w:p>
        </w:tc>
      </w:tr>
      <w:tr>
        <w:trPr>
          <w:trHeight w:val="23"/>
        </w:trPr>
        <w:tc>
          <w:tcPr>
            <w:tcW w:w="6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1,076</w:t>
            </w:r>
          </w:p>
        </w:tc>
      </w:tr>
      <w:tr>
        <w:trPr>
          <w:trHeight w:val="247"/>
        </w:trPr>
        <w:tc>
          <w:tcPr>
            <w:tcW w:w="63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27.6%</w:t>
            </w:r>
          </w:p>
        </w:tc>
      </w:tr>
    </w:tbl>
    <w:p>
      <w:pPr>
        <w:spacing w:after="0" w:line="31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For the 13-week period ended March 29, 2026, the Company's effective tax rate of 20.6% differed from the 21.0% federal statutory tax rate primarily due to permanent differences related to changes in fair value of warrant and earn-out liabilities recognized during the period, the benefit from the foreign derived intangible income ("FDII") deduction, federal research and development tax credits, state taxes, and the impact of foreign taxes in higher tax rate jurisdictions. For the 13-week period ended March 30, 2025, the Company’s effective tax rate of 27.6% differed from the 21.0% federal statutory rate primarily due to federal research and development tax credits, the impact of foreign taxes in higher tax rate jurisdictions, and excess tax deficiencies from share based compensation recognized during the period.</w:t>
      </w:r>
    </w:p>
    <w:p>
      <w:pPr>
        <w:spacing w:after="0" w:line="183"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Where relevant, the Company has reflected any material items that were enacted in the consolidated financial statements for the 13-week period ended March 29, 2026. Key provisions that impact the Company include the restoration of 100% bonus depreciation, restoration of immediate expensing for domestic research and development costs, and reversion to an EBITDA-based limitation for business interest expense deductions under Section 163(j) of the Internal Revenue Code.</w:t>
      </w:r>
    </w:p>
    <w:p>
      <w:pPr>
        <w:spacing w:after="0" w:line="18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calculation of basic and diluted earnings per share: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4"/>
          </w:tcPr>
          <w:p>
            <w:pPr>
              <w:jc w:val="right"/>
              <w:ind w:right="790"/>
              <w:spacing w:after="0"/>
              <w:rPr>
                <w:sz w:val="20"/>
                <w:szCs w:val="20"/>
                <w:color w:val="auto"/>
              </w:rPr>
            </w:pPr>
            <w:r>
              <w:rPr>
                <w:rFonts w:ascii="Arial" w:cs="Arial" w:eastAsia="Arial" w:hAnsi="Arial"/>
                <w:sz w:val="18"/>
                <w:szCs w:val="18"/>
                <w:color w:val="auto"/>
              </w:rPr>
              <w:t>For the thirteen weeks ended</w:t>
            </w:r>
          </w:p>
        </w:tc>
      </w:tr>
      <w:tr>
        <w:trPr>
          <w:trHeight w:val="23"/>
        </w:trPr>
        <w:tc>
          <w:tcPr>
            <w:tcW w:w="5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0"/>
        </w:trPr>
        <w:tc>
          <w:tcPr>
            <w:tcW w:w="50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March 29, 2026</w:t>
            </w:r>
          </w:p>
        </w:tc>
        <w:tc>
          <w:tcPr>
            <w:tcW w:w="240" w:type="dxa"/>
            <w:vAlign w:val="bottom"/>
          </w:tcPr>
          <w:p>
            <w:pPr>
              <w:spacing w:after="0"/>
              <w:rPr>
                <w:sz w:val="20"/>
                <w:szCs w:val="20"/>
                <w:color w:val="auto"/>
              </w:rPr>
            </w:pP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March 30, 2025</w:t>
            </w:r>
          </w:p>
        </w:tc>
      </w:tr>
      <w:tr>
        <w:trPr>
          <w:trHeight w:val="23"/>
        </w:trPr>
        <w:tc>
          <w:tcPr>
            <w:tcW w:w="50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47"/>
        </w:trPr>
        <w:tc>
          <w:tcPr>
            <w:tcW w:w="5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2,817</w:t>
            </w:r>
          </w:p>
        </w:tc>
      </w:tr>
      <w:tr>
        <w:trPr>
          <w:trHeight w:val="23"/>
        </w:trPr>
        <w:tc>
          <w:tcPr>
            <w:tcW w:w="5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47"/>
        </w:trPr>
        <w:tc>
          <w:tcPr>
            <w:tcW w:w="50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2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119,806,586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118,845,487</w:t>
            </w:r>
          </w:p>
        </w:tc>
      </w:tr>
      <w:tr>
        <w:trPr>
          <w:trHeight w:val="23"/>
        </w:trPr>
        <w:tc>
          <w:tcPr>
            <w:tcW w:w="5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potential common shares from RSUs</w:t>
            </w:r>
          </w:p>
        </w:tc>
        <w:tc>
          <w:tcPr>
            <w:tcW w:w="2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1,821,018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578,059</w:t>
            </w:r>
          </w:p>
        </w:tc>
      </w:tr>
      <w:tr>
        <w:trPr>
          <w:trHeight w:val="247"/>
        </w:trPr>
        <w:tc>
          <w:tcPr>
            <w:tcW w:w="5000" w:type="dxa"/>
            <w:vAlign w:val="bottom"/>
          </w:tcPr>
          <w:p>
            <w:pPr>
              <w:ind w:left="20"/>
              <w:spacing w:after="0"/>
              <w:rPr>
                <w:sz w:val="20"/>
                <w:szCs w:val="20"/>
                <w:color w:val="auto"/>
              </w:rPr>
            </w:pPr>
            <w:r>
              <w:rPr>
                <w:rFonts w:ascii="Arial" w:cs="Arial" w:eastAsia="Arial" w:hAnsi="Arial"/>
                <w:sz w:val="18"/>
                <w:szCs w:val="18"/>
                <w:color w:val="auto"/>
              </w:rPr>
              <w:t>Dilutive effect of potential common shares from PSUs</w:t>
            </w:r>
          </w:p>
        </w:tc>
        <w:tc>
          <w:tcPr>
            <w:tcW w:w="2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377,316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135,671</w:t>
            </w:r>
          </w:p>
        </w:tc>
      </w:tr>
      <w:tr>
        <w:trPr>
          <w:trHeight w:val="23"/>
        </w:trPr>
        <w:tc>
          <w:tcPr>
            <w:tcW w:w="50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2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122,004,920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119,559,217</w:t>
            </w:r>
          </w:p>
        </w:tc>
      </w:tr>
      <w:tr>
        <w:trPr>
          <w:trHeight w:val="263"/>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5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47"/>
        </w:trPr>
        <w:tc>
          <w:tcPr>
            <w:tcW w:w="5000" w:type="dxa"/>
            <w:vAlign w:val="bottom"/>
          </w:tcPr>
          <w:p>
            <w:pPr>
              <w:ind w:left="20"/>
              <w:spacing w:after="0"/>
              <w:rPr>
                <w:sz w:val="20"/>
                <w:szCs w:val="20"/>
                <w:color w:val="auto"/>
              </w:rPr>
            </w:pPr>
            <w:r>
              <w:rPr>
                <w:rFonts w:ascii="Arial" w:cs="Arial" w:eastAsia="Arial" w:hAnsi="Arial"/>
                <w:sz w:val="18"/>
                <w:szCs w:val="18"/>
                <w:color w:val="auto"/>
              </w:rPr>
              <w:t>Diluted</w:t>
            </w:r>
          </w:p>
        </w:tc>
        <w:tc>
          <w:tcPr>
            <w:tcW w:w="2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918"/>
        </w:trPr>
        <w:tc>
          <w:tcPr>
            <w:tcW w:w="5000" w:type="dxa"/>
            <w:vAlign w:val="bottom"/>
          </w:tcPr>
          <w:p>
            <w:pPr>
              <w:spacing w:after="0"/>
              <w:rPr>
                <w:sz w:val="24"/>
                <w:szCs w:val="24"/>
                <w:color w:val="auto"/>
              </w:rPr>
            </w:pPr>
          </w:p>
        </w:tc>
        <w:tc>
          <w:tcPr>
            <w:tcW w:w="2140" w:type="dxa"/>
            <w:vAlign w:val="bottom"/>
          </w:tcPr>
          <w:p>
            <w:pPr>
              <w:jc w:val="right"/>
              <w:ind w:right="133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27"/>
        </w:trPr>
        <w:tc>
          <w:tcPr>
            <w:tcW w:w="50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earnings per share because their effect would have been anti-dilutive. Warrants to purchase shares of Common Stock having an exercise price greater than the average share market price are excluded from the calculation of diluted earnings per share.</w:t>
      </w:r>
    </w:p>
    <w:p>
      <w:pPr>
        <w:spacing w:after="0" w:line="22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For the 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34925</wp:posOffset>
            </wp:positionV>
            <wp:extent cx="25971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40" w:type="dxa"/>
            <w:vAlign w:val="bottom"/>
          </w:tcPr>
          <w:p>
            <w:pPr>
              <w:spacing w:after="0"/>
              <w:rPr>
                <w:sz w:val="20"/>
                <w:szCs w:val="20"/>
                <w:color w:val="auto"/>
              </w:rPr>
            </w:pPr>
          </w:p>
        </w:tc>
        <w:tc>
          <w:tcPr>
            <w:tcW w:w="2100" w:type="dxa"/>
            <w:vAlign w:val="bottom"/>
            <w:gridSpan w:val="2"/>
          </w:tcPr>
          <w:p>
            <w:pPr>
              <w:ind w:left="380"/>
              <w:spacing w:after="0"/>
              <w:rPr>
                <w:sz w:val="20"/>
                <w:szCs w:val="20"/>
                <w:color w:val="auto"/>
              </w:rPr>
            </w:pPr>
            <w:r>
              <w:rPr>
                <w:rFonts w:ascii="Arial" w:cs="Arial" w:eastAsia="Arial" w:hAnsi="Arial"/>
                <w:sz w:val="18"/>
                <w:szCs w:val="18"/>
                <w:color w:val="auto"/>
              </w:rPr>
              <w:t>March 29, 2026</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March 30, 2025</w:t>
            </w:r>
          </w:p>
        </w:tc>
      </w:tr>
      <w:tr>
        <w:trPr>
          <w:trHeight w:val="23"/>
        </w:trPr>
        <w:tc>
          <w:tcPr>
            <w:tcW w:w="714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shares excluded from calculation of diluted EPS:</w:t>
            </w:r>
          </w:p>
        </w:tc>
        <w:tc>
          <w:tcPr>
            <w:tcW w:w="2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r>
      <w:tr>
        <w:trPr>
          <w:trHeight w:val="247"/>
        </w:trPr>
        <w:tc>
          <w:tcPr>
            <w:tcW w:w="71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000" w:type="dxa"/>
            <w:vAlign w:val="bottom"/>
          </w:tcPr>
          <w:p>
            <w:pPr>
              <w:jc w:val="right"/>
              <w:spacing w:after="0"/>
              <w:rPr>
                <w:sz w:val="20"/>
                <w:szCs w:val="20"/>
                <w:color w:val="auto"/>
              </w:rPr>
            </w:pPr>
            <w:r>
              <w:rPr>
                <w:rFonts w:ascii="Arial" w:cs="Arial" w:eastAsia="Arial" w:hAnsi="Arial"/>
                <w:sz w:val="18"/>
                <w:szCs w:val="18"/>
                <w:color w:val="auto"/>
              </w:rPr>
              <w:t>14,633,311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14,633,311</w:t>
            </w:r>
          </w:p>
        </w:tc>
      </w:tr>
      <w:tr>
        <w:trPr>
          <w:trHeight w:val="23"/>
        </w:trPr>
        <w:tc>
          <w:tcPr>
            <w:tcW w:w="7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433,846</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437,268</w:t>
            </w:r>
          </w:p>
        </w:tc>
      </w:tr>
      <w:tr>
        <w:trPr>
          <w:trHeight w:val="247"/>
        </w:trPr>
        <w:tc>
          <w:tcPr>
            <w:tcW w:w="7140" w:type="dxa"/>
            <w:vAlign w:val="bottom"/>
          </w:tcPr>
          <w:p>
            <w:pPr>
              <w:ind w:left="180"/>
              <w:spacing w:after="0"/>
              <w:rPr>
                <w:sz w:val="20"/>
                <w:szCs w:val="20"/>
                <w:color w:val="auto"/>
              </w:rPr>
            </w:pPr>
            <w:r>
              <w:rPr>
                <w:rFonts w:ascii="Arial" w:cs="Arial" w:eastAsia="Arial" w:hAnsi="Arial"/>
                <w:sz w:val="18"/>
                <w:szCs w:val="18"/>
                <w:color w:val="auto"/>
              </w:rPr>
              <w:t>Restricted stock units</w:t>
            </w:r>
          </w:p>
        </w:tc>
        <w:tc>
          <w:tcPr>
            <w:tcW w:w="2000" w:type="dxa"/>
            <w:vAlign w:val="bottom"/>
          </w:tcPr>
          <w:p>
            <w:pPr>
              <w:jc w:val="right"/>
              <w:spacing w:after="0"/>
              <w:rPr>
                <w:sz w:val="20"/>
                <w:szCs w:val="20"/>
                <w:color w:val="auto"/>
              </w:rPr>
            </w:pPr>
            <w:r>
              <w:rPr>
                <w:rFonts w:ascii="Arial" w:cs="Arial" w:eastAsia="Arial" w:hAnsi="Arial"/>
                <w:sz w:val="18"/>
                <w:szCs w:val="18"/>
                <w:color w:val="auto"/>
              </w:rPr>
              <w:t>121,603</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1,484,272</w:t>
            </w:r>
          </w:p>
        </w:tc>
      </w:tr>
      <w:tr>
        <w:trPr>
          <w:trHeight w:val="23"/>
        </w:trPr>
        <w:tc>
          <w:tcPr>
            <w:tcW w:w="7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Performance stock units</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2,001,853</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2,514,393</w:t>
            </w:r>
          </w:p>
        </w:tc>
      </w:tr>
      <w:tr>
        <w:trPr>
          <w:trHeight w:val="247"/>
        </w:trPr>
        <w:tc>
          <w:tcPr>
            <w:tcW w:w="7140" w:type="dxa"/>
            <w:vAlign w:val="bottom"/>
          </w:tcPr>
          <w:p>
            <w:pPr>
              <w:ind w:left="180"/>
              <w:spacing w:after="0"/>
              <w:rPr>
                <w:sz w:val="20"/>
                <w:szCs w:val="20"/>
                <w:color w:val="auto"/>
              </w:rPr>
            </w:pPr>
            <w:r>
              <w:rPr>
                <w:rFonts w:ascii="Arial" w:cs="Arial" w:eastAsia="Arial" w:hAnsi="Arial"/>
                <w:sz w:val="18"/>
                <w:szCs w:val="18"/>
                <w:color w:val="auto"/>
              </w:rPr>
              <w:t>Unvested earn-out shares</w:t>
            </w:r>
          </w:p>
        </w:tc>
        <w:tc>
          <w:tcPr>
            <w:tcW w:w="2000" w:type="dxa"/>
            <w:vAlign w:val="bottom"/>
          </w:tcPr>
          <w:p>
            <w:pPr>
              <w:jc w:val="right"/>
              <w:spacing w:after="0"/>
              <w:rPr>
                <w:sz w:val="20"/>
                <w:szCs w:val="20"/>
                <w:color w:val="auto"/>
              </w:rPr>
            </w:pPr>
            <w:r>
              <w:rPr>
                <w:rFonts w:ascii="Arial" w:cs="Arial" w:eastAsia="Arial" w:hAnsi="Arial"/>
                <w:sz w:val="18"/>
                <w:szCs w:val="18"/>
                <w:color w:val="auto"/>
              </w:rPr>
              <w:t>1,093,750</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1,093,750</w:t>
            </w:r>
          </w:p>
        </w:tc>
      </w:tr>
      <w:tr>
        <w:trPr>
          <w:trHeight w:val="23"/>
        </w:trPr>
        <w:tc>
          <w:tcPr>
            <w:tcW w:w="714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8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shares</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18,284,363</w:t>
            </w:r>
          </w:p>
        </w:tc>
        <w:tc>
          <w:tcPr>
            <w:tcW w:w="10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20,162,994</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PLANS</w:t>
      </w:r>
    </w:p>
    <w:p>
      <w:pPr>
        <w:spacing w:after="0" w:line="225"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2021, the Company adopted the 2021 Omnibus Incentive Plan (the “2021 Plan”), under which awards, including stock options, restricted stock units ("RSUs") and performance stock units ("PSUs") may be granted to employees and non-employee directors. The 2021 Plan authorized 8,850,000 shares of Common Stock to be available for award grants. As of March 29, 2026, 1,134,282 shares of Common Stock remained available for future issuance under the 2021 Plan.</w:t>
      </w:r>
    </w:p>
    <w:p>
      <w:pPr>
        <w:spacing w:after="0" w:line="17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Equity-based compensation expense included the following components:</w:t>
      </w:r>
    </w:p>
    <w:p>
      <w:pPr>
        <w:spacing w:after="0" w:line="279" w:lineRule="exact"/>
        <w:rPr>
          <w:sz w:val="20"/>
          <w:szCs w:val="20"/>
          <w:color w:val="auto"/>
        </w:rPr>
      </w:pPr>
    </w:p>
    <w:tbl>
      <w:tblPr>
        <w:tblLayout w:type="fixed"/>
        <w:tblInd w:w="220" w:type="dxa"/>
        <w:tblCellMar>
          <w:top w:w="0" w:type="dxa"/>
          <w:left w:w="0" w:type="dxa"/>
          <w:bottom w:w="0" w:type="dxa"/>
          <w:right w:w="0" w:type="dxa"/>
        </w:tblCellMar>
      </w:tblPr>
      <w:tr>
        <w:trPr>
          <w:trHeight w:val="239"/>
        </w:trPr>
        <w:tc>
          <w:tcPr>
            <w:tcW w:w="6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4"/>
          </w:tcPr>
          <w:p>
            <w:pPr>
              <w:jc w:val="right"/>
              <w:ind w:right="770"/>
              <w:spacing w:after="0"/>
              <w:rPr>
                <w:sz w:val="20"/>
                <w:szCs w:val="20"/>
                <w:color w:val="auto"/>
              </w:rPr>
            </w:pPr>
            <w:r>
              <w:rPr>
                <w:rFonts w:ascii="Arial" w:cs="Arial" w:eastAsia="Arial" w:hAnsi="Arial"/>
                <w:sz w:val="18"/>
                <w:szCs w:val="18"/>
                <w:color w:val="auto"/>
              </w:rPr>
              <w:t>For the thirteen weeks ended</w:t>
            </w:r>
          </w:p>
        </w:tc>
      </w:tr>
      <w:tr>
        <w:trPr>
          <w:trHeight w:val="23"/>
        </w:trPr>
        <w:tc>
          <w:tcPr>
            <w:tcW w:w="6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0"/>
        </w:trPr>
        <w:tc>
          <w:tcPr>
            <w:tcW w:w="6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March 29, 2026</w:t>
            </w:r>
          </w:p>
        </w:tc>
        <w:tc>
          <w:tcPr>
            <w:tcW w:w="260" w:type="dxa"/>
            <w:vAlign w:val="bottom"/>
          </w:tcPr>
          <w:p>
            <w:pPr>
              <w:spacing w:after="0"/>
              <w:rPr>
                <w:sz w:val="20"/>
                <w:szCs w:val="20"/>
                <w:color w:val="auto"/>
              </w:rPr>
            </w:pP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March 30, 2025</w:t>
            </w:r>
          </w:p>
        </w:tc>
      </w:tr>
      <w:tr>
        <w:trPr>
          <w:trHeight w:val="23"/>
        </w:trPr>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47"/>
        </w:trPr>
        <w:tc>
          <w:tcPr>
            <w:tcW w:w="6720" w:type="dxa"/>
            <w:vAlign w:val="bottom"/>
          </w:tcPr>
          <w:p>
            <w:pPr>
              <w:ind w:left="20"/>
              <w:spacing w:after="0"/>
              <w:rPr>
                <w:sz w:val="20"/>
                <w:szCs w:val="20"/>
                <w:color w:val="auto"/>
              </w:rPr>
            </w:pPr>
            <w:r>
              <w:rPr>
                <w:rFonts w:ascii="Arial" w:cs="Arial" w:eastAsia="Arial" w:hAnsi="Arial"/>
                <w:sz w:val="18"/>
                <w:szCs w:val="18"/>
                <w:color w:val="auto"/>
              </w:rPr>
              <w:t>Performance stock units</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3"/>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
        </w:trPr>
        <w:tc>
          <w:tcPr>
            <w:tcW w:w="6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78"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All equity-based compensation expenses are recorded in selling, general and administrative costs in the condensed consolidated statements of comprehensive income.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3"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RSUs and PSUs are collectively referred to as "Restricted Stock Awards". The Compensation Committee has awarded RSUs to select employees and non-employee directors and has awarded PSUs to select employees. The RSUs vest ratably over one to four years of continued employment or board services, as applicable. The grant date fair value of a time-based award or a performance-based award without a market condition is equal to the market price of Common Stock on the grant date and is recognized over the requisite service period. The grant date fair value of a performance-based award with a market condition is determined using a Monte Carlo simulation and is recognized over the requisite service period. On March 29, 2026, there was $9,477 of unrecognized compensation cost related to unvested Restricted Stock Awards that is expected to be recognized over a remaining weighted average period of 2.1 years.</w:t>
      </w:r>
    </w:p>
    <w:p>
      <w:pPr>
        <w:spacing w:after="0" w:line="18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weighted-average grant-date fair value of Restricted Stock Awards granted during the 13-week periods ended March 29, 2026 and March 30, 2025, was $3.02 and $2.57, respectively. The fair value of Restricted Stock Awards vested and converted to shares of Common Stock during the 13-week periods ended March 29, 2026 and March 30, 2025, was $2,768 and $1,084,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Restricted Stock Award for the 13-week period ended March 29, 2026:</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7300" w:type="dxa"/>
            <w:vAlign w:val="bottom"/>
          </w:tcPr>
          <w:p>
            <w:pPr>
              <w:spacing w:after="0"/>
              <w:rPr>
                <w:sz w:val="20"/>
                <w:szCs w:val="20"/>
                <w:color w:val="auto"/>
              </w:rPr>
            </w:pPr>
          </w:p>
        </w:tc>
        <w:tc>
          <w:tcPr>
            <w:tcW w:w="3200" w:type="dxa"/>
            <w:vAlign w:val="bottom"/>
            <w:gridSpan w:val="4"/>
          </w:tcPr>
          <w:p>
            <w:pPr>
              <w:jc w:val="right"/>
              <w:ind w:right="130"/>
              <w:spacing w:after="0"/>
              <w:rPr>
                <w:sz w:val="20"/>
                <w:szCs w:val="20"/>
                <w:color w:val="auto"/>
              </w:rPr>
            </w:pPr>
            <w:r>
              <w:rPr>
                <w:rFonts w:ascii="Arial" w:cs="Arial" w:eastAsia="Arial" w:hAnsi="Arial"/>
                <w:sz w:val="18"/>
                <w:szCs w:val="18"/>
                <w:color w:val="auto"/>
              </w:rPr>
              <w:t>Unvested Restricted Stock Awards</w:t>
            </w:r>
          </w:p>
        </w:tc>
      </w:tr>
      <w:tr>
        <w:trPr>
          <w:trHeight w:val="23"/>
        </w:trPr>
        <w:tc>
          <w:tcPr>
            <w:tcW w:w="73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18"/>
        </w:trPr>
        <w:tc>
          <w:tcPr>
            <w:tcW w:w="7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8"/>
              </w:rPr>
              <w:t>Weighted Average</w:t>
            </w:r>
          </w:p>
        </w:tc>
      </w:tr>
      <w:tr>
        <w:trPr>
          <w:trHeight w:val="216"/>
        </w:trPr>
        <w:tc>
          <w:tcPr>
            <w:tcW w:w="7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Arial" w:cs="Arial" w:eastAsia="Arial" w:hAnsi="Arial"/>
                <w:sz w:val="18"/>
                <w:szCs w:val="18"/>
                <w:color w:val="auto"/>
                <w:w w:val="99"/>
              </w:rPr>
              <w:t>Grant Date Fair</w:t>
            </w:r>
          </w:p>
        </w:tc>
      </w:tr>
      <w:tr>
        <w:trPr>
          <w:trHeight w:val="239"/>
        </w:trPr>
        <w:tc>
          <w:tcPr>
            <w:tcW w:w="730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Number of RSAs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color w:val="auto"/>
                <w:w w:val="99"/>
              </w:rPr>
              <w:t>Value</w:t>
            </w:r>
          </w:p>
        </w:tc>
      </w:tr>
      <w:tr>
        <w:trPr>
          <w:trHeight w:val="23"/>
        </w:trPr>
        <w:tc>
          <w:tcPr>
            <w:tcW w:w="73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on December 31, 2025</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6,385,354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47"/>
        </w:trPr>
        <w:tc>
          <w:tcPr>
            <w:tcW w:w="73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1,124,908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3"/>
        </w:trPr>
        <w:tc>
          <w:tcPr>
            <w:tcW w:w="7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(920,924)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7"/>
        </w:trPr>
        <w:tc>
          <w:tcPr>
            <w:tcW w:w="73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spacing w:after="0"/>
              <w:rPr>
                <w:sz w:val="20"/>
                <w:szCs w:val="20"/>
                <w:color w:val="auto"/>
              </w:rPr>
            </w:pPr>
            <w:r>
              <w:rPr>
                <w:rFonts w:ascii="Arial" w:cs="Arial" w:eastAsia="Arial" w:hAnsi="Arial"/>
                <w:sz w:val="18"/>
                <w:szCs w:val="18"/>
                <w:color w:val="auto"/>
              </w:rPr>
              <w:t>(166,583)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
        </w:trPr>
        <w:tc>
          <w:tcPr>
            <w:tcW w:w="73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8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on March 29, 2026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6,422,755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223"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PSUs granted under the 2021 Plan represent shares of Common Stock that are potentially issuable in the future based on a combination of performance and service requirements. On March 13, 2026, the Company granted 379,211 PSUs under the 2021 Plan to employees with a grant date fair value of $3.01. The PSUs granted to employees were based on salary and include annual net sales and adjusted EBITDA growth targets with threshold and stretch goals. The awards vest ratably over three years, subject to the employee’s continuous employment through the vesting date and the level of performance achieved. The number of PSUs granted reflects the target number able to be earned under a given award. Non-vested PSU compensation expense is based on the most recent performance assumption available and is adjusted as assumptions change. The fair value of a PSU at the grant date is equal to the market price of Common Stock on the grant date. The cost estimates for PSU grants represent initial target awards until the Company can reasonably forecast the financial performance of each PSU award grant. The actual number of shares of Common Stock to be issued at the end of each performance period will range from —% to 150% of the initial target awards.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2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Stock option grants have an exercise price at least equal to the market value of the underlying Common Stock on the date of grant, have ten-year terms, and vest ratably over three years of continued employment. In general, vested options expire if not exercised within 90 days of termination of service. Compensation expense for stock options is recorded based on straight-line amortization of the grant date fair value over the requisite service period. As of March 29, 2026, all stock options were vested and there was no additional compensation cost to recognize.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for the 13-week period ended March 29, 2026:</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Weighted Average</w:t>
            </w:r>
          </w:p>
        </w:tc>
      </w:tr>
      <w:tr>
        <w:trPr>
          <w:trHeight w:val="216"/>
        </w:trPr>
        <w:tc>
          <w:tcPr>
            <w:tcW w:w="5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Weighted</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Remaining</w:t>
            </w:r>
          </w:p>
        </w:tc>
      </w:tr>
      <w:tr>
        <w:trPr>
          <w:trHeight w:val="216"/>
        </w:trPr>
        <w:tc>
          <w:tcPr>
            <w:tcW w:w="5660" w:type="dxa"/>
            <w:vAlign w:val="bottom"/>
          </w:tcPr>
          <w:p>
            <w:pPr>
              <w:spacing w:after="0"/>
              <w:rPr>
                <w:sz w:val="18"/>
                <w:szCs w:val="18"/>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rPr>
              <w:t>Average</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Contractual</w:t>
            </w:r>
          </w:p>
        </w:tc>
      </w:tr>
      <w:tr>
        <w:trPr>
          <w:trHeight w:val="239"/>
        </w:trPr>
        <w:tc>
          <w:tcPr>
            <w:tcW w:w="566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rPr>
              <w:t>Exercise Price</w:t>
            </w:r>
          </w:p>
        </w:tc>
        <w:tc>
          <w:tcPr>
            <w:tcW w:w="1540" w:type="dxa"/>
            <w:vAlign w:val="bottom"/>
          </w:tcPr>
          <w:p>
            <w:pPr>
              <w:jc w:val="center"/>
              <w:spacing w:after="0"/>
              <w:rPr>
                <w:sz w:val="20"/>
                <w:szCs w:val="20"/>
                <w:color w:val="auto"/>
              </w:rPr>
            </w:pPr>
            <w:r>
              <w:rPr>
                <w:rFonts w:ascii="Arial" w:cs="Arial" w:eastAsia="Arial" w:hAnsi="Arial"/>
                <w:sz w:val="18"/>
                <w:szCs w:val="18"/>
                <w:color w:val="auto"/>
                <w:w w:val="98"/>
              </w:rPr>
              <w:t>Term (years)</w:t>
            </w:r>
          </w:p>
        </w:tc>
      </w:tr>
      <w:tr>
        <w:trPr>
          <w:trHeight w:val="23"/>
        </w:trPr>
        <w:tc>
          <w:tcPr>
            <w:tcW w:w="56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on December 31, 2025</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437,268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7"/>
        </w:trPr>
        <w:tc>
          <w:tcPr>
            <w:tcW w:w="56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3"/>
        </w:trPr>
        <w:tc>
          <w:tcPr>
            <w:tcW w:w="5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r>
      <w:tr>
        <w:trPr>
          <w:trHeight w:val="263"/>
        </w:trPr>
        <w:tc>
          <w:tcPr>
            <w:tcW w:w="5660" w:type="dxa"/>
            <w:vAlign w:val="bottom"/>
          </w:tcPr>
          <w:p>
            <w:pPr>
              <w:ind w:left="20"/>
              <w:spacing w:after="0"/>
              <w:rPr>
                <w:sz w:val="20"/>
                <w:szCs w:val="20"/>
                <w:color w:val="auto"/>
              </w:rPr>
            </w:pPr>
            <w:r>
              <w:rPr>
                <w:rFonts w:ascii="Arial" w:cs="Arial" w:eastAsia="Arial" w:hAnsi="Arial"/>
                <w:sz w:val="18"/>
                <w:szCs w:val="18"/>
                <w:color w:val="auto"/>
              </w:rPr>
              <w:t>Options outstanding on March 29, 2026</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433,596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4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exercisable on March 29, 2026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433,596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3"/>
        </w:trPr>
        <w:tc>
          <w:tcPr>
            <w:tcW w:w="56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225"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leases retail stores, manufacturing, distribution, engineering, and research and development facilities, office space, equipment, and automobiles under operating lease agreements. Leases have remaining lease terms of one to 14 years, inclusive of renewal options that the Company is reasonably certain to exercise.</w:t>
      </w:r>
    </w:p>
    <w:p>
      <w:pPr>
        <w:spacing w:after="0" w:line="170"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October 15, 2025, the Company entered into a new operating Lease Agreement (the "Glendale Lease") in Glendale, Arizona. The Glendale Lease commenced on February 1, 2026, with an initial term of 122 calendar months with two three-year extension options. The Glendale Lease provides for an initial monthly base rent of $103, subject to annual fixed escalators of 3.5%. In addition to base rent, the Company is responsible for its pro rata share of real property taxes, utilities, and insurance expenses, which are accounted for as variable lease costs. The renewal options have not been included in the measurement of the right-of-use asset and lease liability as the Company has determined it is not reasonably certain to exercise such options at this time.</w:t>
      </w:r>
    </w:p>
    <w:p>
      <w:pPr>
        <w:spacing w:after="0" w:line="182"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Upon commencement of the Glendale Lease on February 1, 2026, the Company recognized an operating lease right-of-use asset of $10.1 million and a corresponding operating lease liability of approximately $10.1 million. The right-of-use asset and lease liability were measured at the present value of future lease payments over the initial 122 calendar month lease term, discounted using the Company's incremental borrowing rate of 7.5% at the commencement date, as the rate implicit in the Glendale Lease was not readily determinable.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following table summarizes operating lease assets and obligations, and provides information associated with the measurement of operating lease obligations.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gridSpan w:val="3"/>
          </w:tcPr>
          <w:p>
            <w:pPr>
              <w:jc w:val="center"/>
              <w:ind w:left="10"/>
              <w:spacing w:after="0"/>
              <w:rPr>
                <w:sz w:val="20"/>
                <w:szCs w:val="20"/>
                <w:color w:val="auto"/>
              </w:rPr>
            </w:pPr>
            <w:r>
              <w:rPr>
                <w:rFonts w:ascii="Arial" w:cs="Arial" w:eastAsia="Arial" w:hAnsi="Arial"/>
                <w:sz w:val="18"/>
                <w:szCs w:val="18"/>
                <w:color w:val="auto"/>
              </w:rPr>
              <w:t>As of</w:t>
            </w:r>
          </w:p>
        </w:tc>
        <w:tc>
          <w:tcPr>
            <w:tcW w:w="1900" w:type="dxa"/>
            <w:vAlign w:val="bottom"/>
          </w:tcPr>
          <w:p>
            <w:pPr>
              <w:spacing w:after="0"/>
              <w:rPr>
                <w:sz w:val="20"/>
                <w:szCs w:val="20"/>
                <w:color w:val="auto"/>
              </w:rPr>
            </w:pPr>
          </w:p>
        </w:tc>
      </w:tr>
      <w:tr>
        <w:trPr>
          <w:trHeight w:val="23"/>
        </w:trPr>
        <w:tc>
          <w:tcPr>
            <w:tcW w:w="6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1"/>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March 29, 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jc w:val="right"/>
              <w:ind w:right="210"/>
              <w:spacing w:after="0"/>
              <w:rPr>
                <w:sz w:val="20"/>
                <w:szCs w:val="20"/>
                <w:color w:val="auto"/>
              </w:rPr>
            </w:pPr>
            <w:r>
              <w:rPr>
                <w:rFonts w:ascii="Arial" w:cs="Arial" w:eastAsia="Arial" w:hAnsi="Arial"/>
                <w:sz w:val="18"/>
                <w:szCs w:val="18"/>
                <w:color w:val="auto"/>
                <w:w w:val="99"/>
              </w:rPr>
              <w:t>December 31, 2025</w:t>
            </w:r>
          </w:p>
        </w:tc>
      </w:tr>
      <w:tr>
        <w:trPr>
          <w:trHeight w:val="23"/>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47"/>
        </w:trPr>
        <w:tc>
          <w:tcPr>
            <w:tcW w:w="6280" w:type="dxa"/>
            <w:vAlign w:val="bottom"/>
          </w:tcPr>
          <w:p>
            <w:pPr>
              <w:ind w:left="180"/>
              <w:spacing w:after="0"/>
              <w:rPr>
                <w:sz w:val="20"/>
                <w:szCs w:val="20"/>
                <w:color w:val="auto"/>
              </w:rPr>
            </w:pPr>
            <w:r>
              <w:rPr>
                <w:rFonts w:ascii="Arial" w:cs="Arial" w:eastAsia="Arial" w:hAnsi="Arial"/>
                <w:sz w:val="18"/>
                <w:szCs w:val="18"/>
                <w:color w:val="auto"/>
              </w:rPr>
              <w:t>Operating right of use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42,473</w:t>
            </w: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33,415</w:t>
            </w:r>
          </w:p>
        </w:tc>
      </w:tr>
      <w:tr>
        <w:trPr>
          <w:trHeight w:val="2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47"/>
        </w:trPr>
        <w:tc>
          <w:tcPr>
            <w:tcW w:w="6280" w:type="dxa"/>
            <w:vAlign w:val="bottom"/>
          </w:tcPr>
          <w:p>
            <w:pPr>
              <w:ind w:left="180"/>
              <w:spacing w:after="0"/>
              <w:rPr>
                <w:sz w:val="20"/>
                <w:szCs w:val="20"/>
                <w:color w:val="auto"/>
              </w:rPr>
            </w:pPr>
            <w:r>
              <w:rPr>
                <w:rFonts w:ascii="Arial" w:cs="Arial" w:eastAsia="Arial" w:hAnsi="Arial"/>
                <w:sz w:val="18"/>
                <w:szCs w:val="18"/>
                <w:color w:val="auto"/>
              </w:rPr>
              <w:t>Current operating lease liabilities - Accrued liabilities</w:t>
            </w: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6,385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5,841</w:t>
            </w:r>
          </w:p>
        </w:tc>
      </w:tr>
      <w:tr>
        <w:trPr>
          <w:trHeight w:val="2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operating lease liabilities - 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37,682</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28,686</w:t>
            </w:r>
          </w:p>
        </w:tc>
      </w:tr>
      <w:tr>
        <w:trPr>
          <w:trHeight w:val="268"/>
        </w:trPr>
        <w:tc>
          <w:tcPr>
            <w:tcW w:w="628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44,067</w:t>
            </w:r>
          </w:p>
        </w:tc>
        <w:tc>
          <w:tcPr>
            <w:tcW w:w="1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34,527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-1905</wp:posOffset>
            </wp:positionV>
            <wp:extent cx="666940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69405" cy="188595"/>
                    </a:xfrm>
                    <a:prstGeom prst="rect">
                      <a:avLst/>
                    </a:prstGeom>
                    <a:noFill/>
                  </pic:spPr>
                </pic:pic>
              </a:graphicData>
            </a:graphic>
          </wp:anchor>
        </w:drawing>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Lease term and discount rate</w:t>
      </w:r>
    </w:p>
    <w:p>
      <w:pPr>
        <w:spacing w:after="0" w:line="63"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5920" w:type="dxa"/>
            <w:vAlign w:val="bottom"/>
          </w:tcPr>
          <w:p>
            <w:pPr>
              <w:ind w:left="180"/>
              <w:spacing w:after="0"/>
              <w:rPr>
                <w:sz w:val="20"/>
                <w:szCs w:val="20"/>
                <w:color w:val="auto"/>
              </w:rPr>
            </w:pPr>
            <w:r>
              <w:rPr>
                <w:rFonts w:ascii="Arial" w:cs="Arial" w:eastAsia="Arial" w:hAnsi="Arial"/>
                <w:sz w:val="18"/>
                <w:szCs w:val="18"/>
                <w:color w:val="auto"/>
              </w:rPr>
              <w:t>Weighted average remaining lease term (in years)</w:t>
            </w:r>
          </w:p>
        </w:tc>
        <w:tc>
          <w:tcPr>
            <w:tcW w:w="3160" w:type="dxa"/>
            <w:vAlign w:val="bottom"/>
          </w:tcPr>
          <w:p>
            <w:pPr>
              <w:jc w:val="right"/>
              <w:ind w:right="790"/>
              <w:spacing w:after="0"/>
              <w:rPr>
                <w:sz w:val="20"/>
                <w:szCs w:val="20"/>
                <w:color w:val="auto"/>
              </w:rPr>
            </w:pPr>
            <w:r>
              <w:rPr>
                <w:rFonts w:ascii="Arial" w:cs="Arial" w:eastAsia="Arial" w:hAnsi="Arial"/>
                <w:sz w:val="18"/>
                <w:szCs w:val="18"/>
                <w:color w:val="auto"/>
              </w:rPr>
              <w:t>6.5</w:t>
            </w:r>
          </w:p>
        </w:tc>
        <w:tc>
          <w:tcPr>
            <w:tcW w:w="1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
        </w:trPr>
        <w:tc>
          <w:tcPr>
            <w:tcW w:w="5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7"/>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discount rate</w:t>
            </w:r>
          </w:p>
        </w:tc>
        <w:tc>
          <w:tcPr>
            <w:tcW w:w="31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6.68%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3"/>
        </w:trPr>
        <w:tc>
          <w:tcPr>
            <w:tcW w:w="592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following summarizes the components of operating lease expense and provides supplemental cash flow information for operating leases:</w:t>
      </w:r>
    </w:p>
    <w:p>
      <w:pPr>
        <w:spacing w:after="0" w:line="204" w:lineRule="exact"/>
        <w:rPr>
          <w:sz w:val="20"/>
          <w:szCs w:val="20"/>
          <w:color w:val="auto"/>
        </w:rPr>
      </w:pPr>
    </w:p>
    <w:tbl>
      <w:tblPr>
        <w:tblLayout w:type="fixed"/>
        <w:tblInd w:w="380" w:type="dxa"/>
        <w:tblCellMar>
          <w:top w:w="0" w:type="dxa"/>
          <w:left w:w="0" w:type="dxa"/>
          <w:bottom w:w="0" w:type="dxa"/>
          <w:right w:w="0" w:type="dxa"/>
        </w:tblCellMar>
      </w:tblPr>
      <w:tr>
        <w:trPr>
          <w:trHeight w:val="225"/>
        </w:trPr>
        <w:tc>
          <w:tcPr>
            <w:tcW w:w="6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gridSpan w:val="4"/>
          </w:tcPr>
          <w:p>
            <w:pPr>
              <w:jc w:val="center"/>
              <w:ind w:right="135"/>
              <w:spacing w:after="0"/>
              <w:rPr>
                <w:sz w:val="20"/>
                <w:szCs w:val="20"/>
                <w:color w:val="auto"/>
              </w:rPr>
            </w:pPr>
            <w:r>
              <w:rPr>
                <w:rFonts w:ascii="Arial" w:cs="Arial" w:eastAsia="Arial" w:hAnsi="Arial"/>
                <w:sz w:val="17"/>
                <w:szCs w:val="17"/>
                <w:color w:val="auto"/>
              </w:rPr>
              <w:t>For the thirteen weeks ended</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ind w:left="100"/>
              <w:spacing w:after="0"/>
              <w:rPr>
                <w:sz w:val="20"/>
                <w:szCs w:val="20"/>
                <w:color w:val="auto"/>
              </w:rPr>
            </w:pPr>
            <w:r>
              <w:rPr>
                <w:rFonts w:ascii="Arial" w:cs="Arial" w:eastAsia="Arial" w:hAnsi="Arial"/>
                <w:sz w:val="17"/>
                <w:szCs w:val="17"/>
                <w:color w:val="auto"/>
              </w:rPr>
              <w:t>March 29, 2026</w:t>
            </w:r>
          </w:p>
        </w:tc>
        <w:tc>
          <w:tcPr>
            <w:tcW w:w="260" w:type="dxa"/>
            <w:vAlign w:val="bottom"/>
          </w:tcPr>
          <w:p>
            <w:pPr>
              <w:spacing w:after="0"/>
              <w:rPr>
                <w:sz w:val="19"/>
                <w:szCs w:val="19"/>
                <w:color w:val="auto"/>
              </w:rPr>
            </w:pPr>
          </w:p>
        </w:tc>
        <w:tc>
          <w:tcPr>
            <w:tcW w:w="1800" w:type="dxa"/>
            <w:vAlign w:val="bottom"/>
          </w:tcPr>
          <w:p>
            <w:pPr>
              <w:jc w:val="right"/>
              <w:ind w:right="355"/>
              <w:spacing w:after="0"/>
              <w:rPr>
                <w:sz w:val="20"/>
                <w:szCs w:val="20"/>
                <w:color w:val="auto"/>
              </w:rPr>
            </w:pPr>
            <w:r>
              <w:rPr>
                <w:rFonts w:ascii="Arial" w:cs="Arial" w:eastAsia="Arial" w:hAnsi="Arial"/>
                <w:sz w:val="17"/>
                <w:szCs w:val="17"/>
                <w:color w:val="auto"/>
              </w:rPr>
              <w:t>March 30, 2025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5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Components of lease expense:</w:t>
            </w: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00"/>
              <w:spacing w:after="0"/>
              <w:rPr>
                <w:sz w:val="20"/>
                <w:szCs w:val="20"/>
                <w:color w:val="auto"/>
              </w:rPr>
            </w:pPr>
            <w:r>
              <w:rPr>
                <w:rFonts w:ascii="Arial" w:cs="Arial" w:eastAsia="Arial" w:hAnsi="Arial"/>
                <w:sz w:val="17"/>
                <w:szCs w:val="17"/>
                <w:color w:val="auto"/>
              </w:rPr>
              <w:t>Operating lease expense</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2,110</w:t>
            </w:r>
          </w:p>
        </w:tc>
        <w:tc>
          <w:tcPr>
            <w:tcW w:w="100" w:type="dxa"/>
            <w:vAlign w:val="bottom"/>
          </w:tcPr>
          <w:p>
            <w:pPr>
              <w:spacing w:after="0"/>
              <w:rPr>
                <w:sz w:val="19"/>
                <w:szCs w:val="19"/>
                <w:color w:val="auto"/>
              </w:rPr>
            </w:pPr>
          </w:p>
        </w:tc>
        <w:tc>
          <w:tcPr>
            <w:tcW w:w="260" w:type="dxa"/>
            <w:vAlign w:val="bottom"/>
          </w:tcPr>
          <w:p>
            <w:pPr>
              <w:jc w:val="center"/>
              <w:ind w:right="55"/>
              <w:spacing w:after="0"/>
              <w:rPr>
                <w:sz w:val="20"/>
                <w:szCs w:val="20"/>
                <w:color w:val="auto"/>
              </w:rPr>
            </w:pPr>
            <w:r>
              <w:rPr>
                <w:rFonts w:ascii="Arial" w:cs="Arial" w:eastAsia="Arial" w:hAnsi="Arial"/>
                <w:sz w:val="17"/>
                <w:szCs w:val="17"/>
                <w:color w:val="auto"/>
                <w:w w:val="84"/>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1,988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Variable lease expense</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30"/>
        </w:trPr>
        <w:tc>
          <w:tcPr>
            <w:tcW w:w="6520" w:type="dxa"/>
            <w:vAlign w:val="bottom"/>
          </w:tcPr>
          <w:p>
            <w:pPr>
              <w:ind w:left="100"/>
              <w:spacing w:after="0"/>
              <w:rPr>
                <w:sz w:val="20"/>
                <w:szCs w:val="20"/>
                <w:color w:val="auto"/>
              </w:rPr>
            </w:pPr>
            <w:r>
              <w:rPr>
                <w:rFonts w:ascii="Arial" w:cs="Arial" w:eastAsia="Arial" w:hAnsi="Arial"/>
                <w:sz w:val="17"/>
                <w:szCs w:val="17"/>
                <w:color w:val="auto"/>
              </w:rPr>
              <w:t>Short-term lease expense</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lease expense</w:t>
            </w: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center"/>
              <w:ind w:right="55"/>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7"/>
                <w:szCs w:val="17"/>
                <w:b w:val="1"/>
                <w:bCs w:val="1"/>
                <w:color w:val="auto"/>
              </w:rPr>
              <w:t>Supplemental cash flow information related to leases: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Cash paid for amounts included in measurement of operating lease liabilities</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center"/>
              <w:ind w:right="55"/>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1,884</w:t>
            </w:r>
          </w:p>
        </w:tc>
        <w:tc>
          <w:tcPr>
            <w:tcW w:w="0" w:type="dxa"/>
            <w:vAlign w:val="bottom"/>
          </w:tcPr>
          <w:p>
            <w:pPr>
              <w:spacing w:after="0"/>
              <w:rPr>
                <w:sz w:val="1"/>
                <w:szCs w:val="1"/>
                <w:color w:val="auto"/>
              </w:rPr>
            </w:pPr>
          </w:p>
        </w:tc>
      </w:tr>
      <w:tr>
        <w:trPr>
          <w:trHeight w:val="230"/>
        </w:trPr>
        <w:tc>
          <w:tcPr>
            <w:tcW w:w="6520" w:type="dxa"/>
            <w:vAlign w:val="bottom"/>
          </w:tcPr>
          <w:p>
            <w:pPr>
              <w:ind w:left="100"/>
              <w:spacing w:after="0"/>
              <w:rPr>
                <w:sz w:val="20"/>
                <w:szCs w:val="20"/>
                <w:color w:val="auto"/>
              </w:rPr>
            </w:pPr>
            <w:r>
              <w:rPr>
                <w:rFonts w:ascii="Arial" w:cs="Arial" w:eastAsia="Arial" w:hAnsi="Arial"/>
                <w:sz w:val="17"/>
                <w:szCs w:val="17"/>
                <w:color w:val="auto"/>
              </w:rPr>
              <w:t>Right-of-use assets obtained in exchange for new operating lease liabilities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10,400</w:t>
            </w:r>
          </w:p>
        </w:tc>
        <w:tc>
          <w:tcPr>
            <w:tcW w:w="100" w:type="dxa"/>
            <w:vAlign w:val="bottom"/>
          </w:tcPr>
          <w:p>
            <w:pPr>
              <w:spacing w:after="0"/>
              <w:rPr>
                <w:sz w:val="19"/>
                <w:szCs w:val="19"/>
                <w:color w:val="auto"/>
              </w:rPr>
            </w:pPr>
          </w:p>
        </w:tc>
        <w:tc>
          <w:tcPr>
            <w:tcW w:w="260" w:type="dxa"/>
            <w:vAlign w:val="bottom"/>
          </w:tcPr>
          <w:p>
            <w:pPr>
              <w:jc w:val="center"/>
              <w:ind w:right="55"/>
              <w:spacing w:after="0"/>
              <w:rPr>
                <w:sz w:val="20"/>
                <w:szCs w:val="20"/>
                <w:color w:val="auto"/>
              </w:rPr>
            </w:pPr>
            <w:r>
              <w:rPr>
                <w:rFonts w:ascii="Arial" w:cs="Arial" w:eastAsia="Arial" w:hAnsi="Arial"/>
                <w:sz w:val="17"/>
                <w:szCs w:val="17"/>
                <w:color w:val="auto"/>
                <w:w w:val="84"/>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maturities of the Company's operating lease liabilities as of March 29, 2026:</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0" w:type="dxa"/>
            <w:vAlign w:val="bottom"/>
          </w:tcPr>
          <w:p>
            <w:pPr>
              <w:spacing w:after="0"/>
              <w:rPr>
                <w:sz w:val="23"/>
                <w:szCs w:val="23"/>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(excluding the thirteen weeks ended March 29, 2026)</w:t>
            </w:r>
          </w:p>
        </w:tc>
        <w:tc>
          <w:tcPr>
            <w:tcW w:w="4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2027</w:t>
            </w:r>
          </w:p>
        </w:tc>
        <w:tc>
          <w:tcPr>
            <w:tcW w:w="3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9,189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280" w:type="dxa"/>
            <w:vAlign w:val="bottom"/>
            <w:gridSpan w:val="2"/>
          </w:tcPr>
          <w:p>
            <w:pPr>
              <w:spacing w:after="0"/>
              <w:rPr>
                <w:sz w:val="2"/>
                <w:szCs w:val="2"/>
                <w:color w:val="auto"/>
              </w:rPr>
            </w:pPr>
          </w:p>
        </w:tc>
        <w:tc>
          <w:tcPr>
            <w:tcW w:w="3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2029</w:t>
            </w:r>
          </w:p>
        </w:tc>
        <w:tc>
          <w:tcPr>
            <w:tcW w:w="3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7,786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280" w:type="dxa"/>
            <w:vAlign w:val="bottom"/>
            <w:gridSpan w:val="2"/>
          </w:tcPr>
          <w:p>
            <w:pPr>
              <w:spacing w:after="0"/>
              <w:rPr>
                <w:sz w:val="2"/>
                <w:szCs w:val="2"/>
                <w:color w:val="auto"/>
              </w:rPr>
            </w:pPr>
          </w:p>
        </w:tc>
        <w:tc>
          <w:tcPr>
            <w:tcW w:w="3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3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15,035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54,572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(10,505)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4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44,067</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bottom w:val="single" w:sz="8" w:color="CCEEFF"/>
            </w:tcBorders>
            <w:vMerge w:val="restart"/>
          </w:tcPr>
          <w:p>
            <w:pPr>
              <w:jc w:val="right"/>
              <w:ind w:right="3450"/>
              <w:spacing w:after="0"/>
              <w:rPr>
                <w:sz w:val="20"/>
                <w:szCs w:val="20"/>
                <w:color w:val="auto"/>
              </w:rPr>
            </w:pPr>
            <w:r>
              <w:rPr>
                <w:rFonts w:ascii="Arial" w:cs="Arial" w:eastAsia="Arial" w:hAnsi="Arial"/>
                <w:sz w:val="18"/>
                <w:szCs w:val="18"/>
                <w:color w:val="auto"/>
              </w:rPr>
              <w:t>26</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3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ind w:left="340" w:right="7540" w:hanging="332"/>
        <w:spacing w:after="0" w:line="500" w:lineRule="auto"/>
        <w:tabs>
          <w:tab w:leader="none" w:pos="351"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is a party to various lawsuits and claims in the normal course of business, as well as the putative securities class action described below. While the lawsuits and claims against the Company cannot be predicted with certainty, management believes that the ultimate resolution of such matters will not have a material effect on the consolidated financial position or liquidity of the Company; however, in light of the inherent uncertainties involved in such lawsuits and claims, some of which may be beyond the Company’s control, an adverse outcome in one or more of these matters could be material to the Company’s results of operations or cash flows for any particular reporting period. The Company has established loss provision for matters in which losses are probable and can be reasonably estimated. Although management will continue to reassess the estimated liability based on future developments, an objective assessment of such claims may not always be predictive of the outcome and actual results may vary from current estimates.</w:t>
      </w:r>
    </w:p>
    <w:p>
      <w:pPr>
        <w:spacing w:after="0" w:line="184"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A putative securities class action was filed on November 6, 2023, against the Company, Tom Tomlinson (the Company’s former Director, President, and Chief Executive Officer), and Dominic Bardos (the Company’s former Chief Financial Officer) in the United States District Court for the Western District of Kentucky (the “Complaint”) and is captioned City of Fort Lauderdale General Employees’ Retirement System v. Holley, Inc., f/k/a Empower LTD., Tom Tomlinson, and Dominic Bardos, Civil Action No. 1:23-cv-148-S.</w:t>
      </w:r>
    </w:p>
    <w:p>
      <w:pPr>
        <w:spacing w:after="0" w:line="176"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February 26, 2024, the court appointed City of Fort Lauderdale General Employees’ Retirement System to serve as lead plaintiff to prosecute claims on behalf of a proposed class of stockholders who purchased or otherwise acquired Holley securities between July 21, 2021 and February 6, 2023. On April 26, 2024, the lead plaintiff filed an amended complaint, adding Vinod Nimmagadda (the Company’s Executive Vice President of Corporate Development and New Ventures) as a defendant. The lead plaintiff alleges that statements made regarding the Company’s business, operations, and prospects violated Sections 10(b), Section 20(a) and Rule 10b-5 of the Securities Exchange Act of 1934 and seeks class certification, damages, interest, attorneys’ fees, and other relief. The Company filed a motion to dismiss on June 28, 2024. On January 7, 2025, the lead plaintiff filed a motion for leave to file a supplemented amended Complaint, which the court granted on March 20, 2025. The Company filed a motion to dismiss the supplemented amended Complaint on April 3, 2025, and on August 29, 2025, the court denied the motion to dismiss. The parties are currently conducting discovery.</w:t>
      </w:r>
    </w:p>
    <w:p>
      <w:pPr>
        <w:spacing w:after="0" w:line="180"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On April 21, 2026, the parties reached an agreement in principle to resolve the matter, and on April 22, 2026, the parties filed a joint motion to stay all case deadlines for sixty days to negotiate and prepare a settlement agreement and settlement-related papers. The Court granted the motion on April 24, 2026.</w:t>
      </w:r>
    </w:p>
    <w:p>
      <w:pPr>
        <w:spacing w:after="0" w:line="170"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is currently working with the plaintiff to finalize the terms of the settlement, which remains subject to negotiation, execution of definitive documentation, and Court approval. Based on information currently available, the Company believes that its existing accruals appropriately reflect its estimated exposure related to this matter, including amounts associated with applicable insurance deductibles. The Company expects that a substantial portion of any settlement amount in excess of the applicable deductible will be covered by insurance. Accordingly, the Company does not expect the resolution of this matter to have a material incremental impact on its consolidated financial position or results of operations.</w:t>
      </w:r>
    </w:p>
    <w:p>
      <w:pPr>
        <w:spacing w:after="0" w:line="18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Product Warranties</w:t>
      </w:r>
    </w:p>
    <w:p>
      <w:pPr>
        <w:spacing w:after="0" w:line="223"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following table provides the changes in the Company's accrual for product warranties, which is classified as a component of accrued liabilities in the condensed consolidated balance sheets.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4"/>
          </w:tcPr>
          <w:p>
            <w:pPr>
              <w:ind w:left="640"/>
              <w:spacing w:after="0"/>
              <w:rPr>
                <w:sz w:val="20"/>
                <w:szCs w:val="20"/>
                <w:color w:val="auto"/>
              </w:rPr>
            </w:pPr>
            <w:r>
              <w:rPr>
                <w:rFonts w:ascii="Arial" w:cs="Arial" w:eastAsia="Arial" w:hAnsi="Arial"/>
                <w:sz w:val="18"/>
                <w:szCs w:val="18"/>
                <w:color w:val="auto"/>
              </w:rPr>
              <w:t>For the thirteen weeks ended</w:t>
            </w:r>
          </w:p>
        </w:tc>
      </w:tr>
      <w:tr>
        <w:trPr>
          <w:trHeight w:val="23"/>
        </w:trPr>
        <w:tc>
          <w:tcPr>
            <w:tcW w:w="6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1"/>
        </w:trPr>
        <w:tc>
          <w:tcPr>
            <w:tcW w:w="6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March 29, 2026</w:t>
            </w:r>
          </w:p>
        </w:tc>
        <w:tc>
          <w:tcPr>
            <w:tcW w:w="240" w:type="dxa"/>
            <w:vAlign w:val="bottom"/>
          </w:tcPr>
          <w:p>
            <w:pPr>
              <w:spacing w:after="0"/>
              <w:rPr>
                <w:sz w:val="20"/>
                <w:szCs w:val="20"/>
                <w:color w:val="auto"/>
              </w:rPr>
            </w:pPr>
          </w:p>
        </w:tc>
        <w:tc>
          <w:tcPr>
            <w:tcW w:w="1760" w:type="dxa"/>
            <w:vAlign w:val="bottom"/>
          </w:tcPr>
          <w:p>
            <w:pPr>
              <w:ind w:left="140"/>
              <w:spacing w:after="0"/>
              <w:rPr>
                <w:sz w:val="20"/>
                <w:szCs w:val="20"/>
                <w:color w:val="auto"/>
              </w:rPr>
            </w:pPr>
            <w:r>
              <w:rPr>
                <w:rFonts w:ascii="Arial" w:cs="Arial" w:eastAsia="Arial" w:hAnsi="Arial"/>
                <w:sz w:val="18"/>
                <w:szCs w:val="18"/>
                <w:color w:val="auto"/>
              </w:rPr>
              <w:t>March 30, 2025</w:t>
            </w:r>
          </w:p>
        </w:tc>
      </w:tr>
      <w:tr>
        <w:trPr>
          <w:trHeight w:val="23"/>
        </w:trPr>
        <w:tc>
          <w:tcPr>
            <w:tcW w:w="6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center"/>
              <w:ind w:left="1050"/>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center"/>
              <w:ind w:left="1070"/>
              <w:spacing w:after="0"/>
              <w:rPr>
                <w:sz w:val="20"/>
                <w:szCs w:val="20"/>
                <w:color w:val="auto"/>
              </w:rPr>
            </w:pPr>
            <w:r>
              <w:rPr>
                <w:rFonts w:ascii="Arial" w:cs="Arial" w:eastAsia="Arial" w:hAnsi="Arial"/>
                <w:sz w:val="18"/>
                <w:szCs w:val="18"/>
                <w:color w:val="auto"/>
                <w:w w:val="97"/>
              </w:rPr>
              <w:t>2,332</w:t>
            </w:r>
          </w:p>
        </w:tc>
      </w:tr>
      <w:tr>
        <w:trPr>
          <w:trHeight w:val="247"/>
        </w:trPr>
        <w:tc>
          <w:tcPr>
            <w:tcW w:w="6240" w:type="dxa"/>
            <w:vAlign w:val="bottom"/>
          </w:tcPr>
          <w:p>
            <w:pPr>
              <w:spacing w:after="0"/>
              <w:rPr>
                <w:sz w:val="20"/>
                <w:szCs w:val="20"/>
                <w:color w:val="auto"/>
              </w:rPr>
            </w:pPr>
            <w:r>
              <w:rPr>
                <w:rFonts w:ascii="Arial" w:cs="Arial" w:eastAsia="Arial" w:hAnsi="Arial"/>
                <w:sz w:val="18"/>
                <w:szCs w:val="18"/>
                <w:color w:val="auto"/>
              </w:rPr>
              <w:t>Accrued for current year warranty claims</w:t>
            </w:r>
          </w:p>
        </w:tc>
        <w:tc>
          <w:tcPr>
            <w:tcW w:w="240" w:type="dxa"/>
            <w:vAlign w:val="bottom"/>
          </w:tcPr>
          <w:p>
            <w:pPr>
              <w:spacing w:after="0"/>
              <w:rPr>
                <w:sz w:val="21"/>
                <w:szCs w:val="21"/>
                <w:color w:val="auto"/>
              </w:rPr>
            </w:pPr>
          </w:p>
        </w:tc>
        <w:tc>
          <w:tcPr>
            <w:tcW w:w="1760" w:type="dxa"/>
            <w:vAlign w:val="bottom"/>
          </w:tcPr>
          <w:p>
            <w:pPr>
              <w:jc w:val="center"/>
              <w:ind w:left="1050"/>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center"/>
              <w:ind w:left="1070"/>
              <w:spacing w:after="0"/>
              <w:rPr>
                <w:sz w:val="20"/>
                <w:szCs w:val="20"/>
                <w:color w:val="auto"/>
              </w:rPr>
            </w:pPr>
            <w:r>
              <w:rPr>
                <w:rFonts w:ascii="Arial" w:cs="Arial" w:eastAsia="Arial" w:hAnsi="Arial"/>
                <w:sz w:val="18"/>
                <w:szCs w:val="18"/>
                <w:color w:val="auto"/>
                <w:w w:val="97"/>
              </w:rPr>
              <w:t>1,709</w:t>
            </w:r>
          </w:p>
        </w:tc>
      </w:tr>
      <w:tr>
        <w:trPr>
          <w:trHeight w:val="23"/>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Settlement of warranty claims</w:t>
            </w:r>
          </w:p>
        </w:tc>
        <w:tc>
          <w:tcPr>
            <w:tcW w:w="2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center"/>
              <w:ind w:left="1030"/>
              <w:spacing w:after="0"/>
              <w:rPr>
                <w:sz w:val="20"/>
                <w:szCs w:val="20"/>
                <w:color w:val="auto"/>
              </w:rPr>
            </w:pPr>
            <w:r>
              <w:rPr>
                <w:rFonts w:ascii="Arial" w:cs="Arial" w:eastAsia="Arial" w:hAnsi="Arial"/>
                <w:sz w:val="18"/>
                <w:szCs w:val="18"/>
                <w:color w:val="auto"/>
                <w:w w:val="98"/>
              </w:rPr>
              <w:t>(1,942)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center"/>
              <w:ind w:left="1050"/>
              <w:spacing w:after="0"/>
              <w:rPr>
                <w:sz w:val="20"/>
                <w:szCs w:val="20"/>
                <w:color w:val="auto"/>
              </w:rPr>
            </w:pPr>
            <w:r>
              <w:rPr>
                <w:rFonts w:ascii="Arial" w:cs="Arial" w:eastAsia="Arial" w:hAnsi="Arial"/>
                <w:sz w:val="18"/>
                <w:szCs w:val="18"/>
                <w:color w:val="auto"/>
              </w:rPr>
              <w:t>(1,714)</w:t>
            </w:r>
          </w:p>
        </w:tc>
      </w:tr>
      <w:tr>
        <w:trPr>
          <w:trHeight w:val="263"/>
        </w:trPr>
        <w:tc>
          <w:tcPr>
            <w:tcW w:w="6240" w:type="dxa"/>
            <w:vAlign w:val="bottom"/>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center"/>
              <w:ind w:left="1050"/>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center"/>
              <w:ind w:left="1070"/>
              <w:spacing w:after="0"/>
              <w:rPr>
                <w:sz w:val="20"/>
                <w:szCs w:val="20"/>
                <w:color w:val="auto"/>
              </w:rPr>
            </w:pPr>
            <w:r>
              <w:rPr>
                <w:rFonts w:ascii="Arial" w:cs="Arial" w:eastAsia="Arial" w:hAnsi="Arial"/>
                <w:sz w:val="18"/>
                <w:szCs w:val="18"/>
                <w:color w:val="auto"/>
                <w:w w:val="97"/>
              </w:rPr>
              <w:t>2,327</w:t>
            </w:r>
          </w:p>
        </w:tc>
      </w:tr>
      <w:tr>
        <w:trPr>
          <w:trHeight w:val="21"/>
        </w:trPr>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Savings Plans</w:t>
      </w:r>
    </w:p>
    <w:p>
      <w:pPr>
        <w:spacing w:after="0" w:line="223"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Company has a defined-contribution savings plan under Section 401(k) of the Internal Revenue Code that covers United States-based employees. United States-based eligible employees may contribute up to the current statutory limits under the Internal Revenue Service regulations. Holley matches employee contributions to the 401(k) Plan up to 3.5% each pay period, and an additional discretionary match of up to 1.5% is made based on company performance targets. The Company also has a defined-contribution saving plan for Canada-based employees. Canada-based eligible employees may contribute up to the current statutory limits for a Registered Retirement Savings Plan. Holley matches employee contributions to the Group Savings Plan up to 3.0% each pay period, and an additional discretionary match of up to 1.5% is made based on company performance targets.</w:t>
      </w:r>
    </w:p>
    <w:p>
      <w:pPr>
        <w:spacing w:after="0" w:line="183"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During the 13-week periods ended March 29, 2026 and March 30, 2025, the Company made matching contributions under the savings plans totaling $753 and $612, respectively.</w:t>
      </w:r>
    </w:p>
    <w:p>
      <w:pPr>
        <w:spacing w:after="0" w:line="15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22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operates as one operating segment. The Company's chief operating decision maker ("CODM") is its Chief Executive Officer, who reviews financial information presented on a consolidated basis. The CODM uses consolidated gross margin and net income to assess financial performance and allocate resources. These financial metrics are used by the CODM to make key operating decisions, such as the determination of the rate at which the Company seeks to grow gross margin and the allocation of budget between cost of revenues, sales and marketing, research and development, and general and administrative expenses.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following table presents selected financial information with respect to the Company’s single operating segment for the 13-week periods ended March 29, 2026 and March 30,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4"/>
          </w:tcPr>
          <w:p>
            <w:pPr>
              <w:jc w:val="right"/>
              <w:ind w:right="790"/>
              <w:spacing w:after="0"/>
              <w:rPr>
                <w:sz w:val="20"/>
                <w:szCs w:val="20"/>
                <w:color w:val="auto"/>
              </w:rPr>
            </w:pPr>
            <w:r>
              <w:rPr>
                <w:rFonts w:ascii="Arial" w:cs="Arial" w:eastAsia="Arial" w:hAnsi="Arial"/>
                <w:sz w:val="18"/>
                <w:szCs w:val="18"/>
                <w:color w:val="auto"/>
              </w:rPr>
              <w:t>For the thirteen weeks ended</w:t>
            </w:r>
          </w:p>
        </w:tc>
      </w:tr>
      <w:tr>
        <w:trPr>
          <w:trHeight w:val="23"/>
        </w:trPr>
        <w:tc>
          <w:tcPr>
            <w:tcW w:w="7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1"/>
        </w:trPr>
        <w:tc>
          <w:tcPr>
            <w:tcW w:w="7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March 29, 2026</w:t>
            </w:r>
          </w:p>
        </w:tc>
        <w:tc>
          <w:tcPr>
            <w:tcW w:w="240" w:type="dxa"/>
            <w:vAlign w:val="bottom"/>
          </w:tcPr>
          <w:p>
            <w:pPr>
              <w:spacing w:after="0"/>
              <w:rPr>
                <w:sz w:val="20"/>
                <w:szCs w:val="20"/>
                <w:color w:val="auto"/>
              </w:rPr>
            </w:pP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March 30, 2025</w:t>
            </w:r>
          </w:p>
        </w:tc>
      </w:tr>
      <w:tr>
        <w:trPr>
          <w:trHeight w:val="23"/>
        </w:trPr>
        <w:tc>
          <w:tcPr>
            <w:tcW w:w="7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153,044</w:t>
            </w:r>
          </w:p>
        </w:tc>
      </w:tr>
      <w:tr>
        <w:trPr>
          <w:trHeight w:val="247"/>
        </w:trPr>
        <w:tc>
          <w:tcPr>
            <w:tcW w:w="71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86,594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88,956</w:t>
            </w:r>
          </w:p>
        </w:tc>
      </w:tr>
      <w:tr>
        <w:trPr>
          <w:trHeight w:val="23"/>
        </w:trPr>
        <w:tc>
          <w:tcPr>
            <w:tcW w:w="7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64,088</w:t>
            </w:r>
          </w:p>
        </w:tc>
      </w:tr>
      <w:tr>
        <w:trPr>
          <w:trHeight w:val="247"/>
        </w:trPr>
        <w:tc>
          <w:tcPr>
            <w:tcW w:w="71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36,699</w:t>
            </w:r>
          </w:p>
        </w:tc>
      </w:tr>
      <w:tr>
        <w:trPr>
          <w:trHeight w:val="23"/>
        </w:trPr>
        <w:tc>
          <w:tcPr>
            <w:tcW w:w="7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r>
      <w:tr>
        <w:trPr>
          <w:trHeight w:val="247"/>
        </w:trPr>
        <w:tc>
          <w:tcPr>
            <w:tcW w:w="714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3,532</w:t>
            </w:r>
          </w:p>
        </w:tc>
      </w:tr>
      <w:tr>
        <w:trPr>
          <w:trHeight w:val="23"/>
        </w:trPr>
        <w:tc>
          <w:tcPr>
            <w:tcW w:w="7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47"/>
        </w:trPr>
        <w:tc>
          <w:tcPr>
            <w:tcW w:w="714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3"/>
        </w:trPr>
        <w:tc>
          <w:tcPr>
            <w:tcW w:w="7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income</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1"/>
        </w:trPr>
        <w:tc>
          <w:tcPr>
            <w:tcW w:w="7140" w:type="dxa"/>
            <w:vAlign w:val="bottom"/>
          </w:tcPr>
          <w:p>
            <w:pPr>
              <w:ind w:left="360"/>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44,745</w:t>
            </w:r>
          </w:p>
        </w:tc>
      </w:tr>
      <w:tr>
        <w:trPr>
          <w:trHeight w:val="23"/>
        </w:trPr>
        <w:tc>
          <w:tcPr>
            <w:tcW w:w="7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19,343</w:t>
            </w:r>
          </w:p>
        </w:tc>
      </w:tr>
      <w:tr>
        <w:trPr>
          <w:trHeight w:val="247"/>
        </w:trPr>
        <w:tc>
          <w:tcPr>
            <w:tcW w:w="714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
        </w:trPr>
        <w:tc>
          <w:tcPr>
            <w:tcW w:w="7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earn-out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47"/>
        </w:trPr>
        <w:tc>
          <w:tcPr>
            <w:tcW w:w="71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9,917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15,708</w:t>
            </w:r>
          </w:p>
        </w:tc>
      </w:tr>
      <w:tr>
        <w:trPr>
          <w:trHeight w:val="23"/>
        </w:trPr>
        <w:tc>
          <w:tcPr>
            <w:tcW w:w="7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3"/>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non-operating expense</w:t>
            </w:r>
          </w:p>
        </w:tc>
        <w:tc>
          <w:tcPr>
            <w:tcW w:w="2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15,450</w:t>
            </w:r>
          </w:p>
        </w:tc>
      </w:tr>
      <w:tr>
        <w:trPr>
          <w:trHeight w:val="240"/>
        </w:trPr>
        <w:tc>
          <w:tcPr>
            <w:tcW w:w="714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3,893</w:t>
            </w:r>
          </w:p>
        </w:tc>
      </w:tr>
      <w:tr>
        <w:trPr>
          <w:trHeight w:val="23"/>
        </w:trPr>
        <w:tc>
          <w:tcPr>
            <w:tcW w:w="7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64"/>
        </w:trPr>
        <w:tc>
          <w:tcPr>
            <w:tcW w:w="71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2,817</w:t>
            </w:r>
          </w:p>
        </w:tc>
      </w:tr>
      <w:tr>
        <w:trPr>
          <w:trHeight w:val="20"/>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38"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On April 18, 2026, the Company completed the sale of its Arizona Desert Shocks ("ADS") business as part of its ongoing efforts to optimize its brand portfolio and focus on its core business operations. Total consideration received was approximately $3,600, consisting of $1,000 in cash and a $2,600 promissory note. The Company is continuing to evaluate the financial reporting implications of this transaction.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Unless the context otherwise requires or indicates, references to “Holley,” “we,” “us,” “our”, and “the Company” in this section are to the business and operations of Holley Inc. and its subsidiaries. The following discussion and analysis should be read in conjunction with Holley’s condensed consolidated financial statements and related notes thereto included in this Quarterly Report on Form 10-Q. In addition to historical information, this discussion contains forward-looking statements that involve risks, uncertainties, and assumptions that could cause Holley’s actual results to differ materially from management’s expectations. Factors that could cause such differences are discussed herein and under the caption, “Cautionary Note Regarding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designer, marketer, and manufacturer of high-performance automotive aftermarket products serving car and truck enthusiasts, with sales, processing, and distribution facilities reaching most major markets in the United States, Canada, Europe, and China. Holley designs, markets, manufactures and distributes a diversified line of performance automotive products including fuel injection systems, tuners, exhaust products, carburetors, safety equipment and various other performance automotive products. Our products are designed to enhance street, off-road, recreational and competitive vehicle performance and safety.</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Central to our business and growth strategy is a commitment to innovation. We have a history of developing innovative products, including new additions to existing product families, expansions of product lines, accessory offerings, and ventures into entirely new categories. We believe this strategic approach allows us to continually adapt to evolving consumer needs. Furthermore, strategic acquisitions have played a significant role in our evolution. These acquisitions have enabled us to expand our brand portfolio, enter new product categories and consumer segments, enhance DTC scale and connection, increase market share in existing product categories, and realize valuable revenue and cost synergies. While we anticipate continued organic growth, we intend to continue evaluating opportunities for strategic acquisitions that align with our current business, expanding our reach within the target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above, under the caption, "Cautionary Note Regarding Forward-Looking Statements," in this Quarterly Report on Form 10-Q, under the caption, “Risk Factors,” in our Annual Report on Form 10-K for the year ended December 31, 2025, as filed with the SEC on March 16, 2026, and in our subsequent filings with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and results of operations, financial condition, and liquidity are impacted by broad economic conditions including inflation, labor shortages, disruption of the supply chain, and potential tariffs, as well as by geopolitical events, including military conflicts (including the conflict in Ukraine, the conflict in the Middle East, and the possible expansion of such conflicts). Our operations have been adversely impacted, and may continue to be adversely impacted, by inflationary pressures primarily related to transportation, labor and component costs. In response to the global supply chain volatility and inflationary impacts, we have attempted to minimize potential adverse impacts on our business with cost savings initiatives, price increases to customers, and by increasing inventory levels of certain products and working closely with our suppliers and customers to minimize disruptions in delivering products to customers. Our profitability has been, and may continue to be, adversely affected by constrained consumer demand, a shift in sales mix to lower-margin products, which is offset by our cost cutting and operating efficiency gains. Should the ongoing macroeconomic conditions not improve, or worsen, or if our attempts to mitigate the impact on our supply chain, operations and costs is not successful, our business, results of operations and financial condition may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Tariffs and International Trade Policy on Our Operations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February 2025, the United States government began to impose new tariffs on imports from certain countries and regions, including China, Canada, Mexico, and the European Union. In response, some foreign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governments implemented retaliatory measures. These developments introduced new complexities to global supply chains. However, we believe Holley's business model and sourcing strategies have positioned us to manage these challenges effectively.</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international exposure is currently primarily centered in China. Tariffs on Chinese imports have been a factor in our sourcing strategies for several years, and we have proactively developed and implemented plans to mitigate their impact. These initiatives include, but are not limited to, conducting a harmonized tariff code audit to ensure accurate classification and compliance, changing to supplier locations outside of China, reshoring products to North America and exploring direct shipping from suppliers to international customers to reduce tariff exposure on goods entering the United States. We continue to evaluate additional strategies to further minimize the impact of tariffs on our operations.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our production costs are primarily U.S.-based and we have a broad product portfolio with a strong concentration of manufacturing and sourcing in the United States, we believe our U.S. focus enables us to better manage and mitigate the impact of tariffs on pricing more effectively than competitors who are less diversified and more reliant on single-source imports from China. During the second quarter of 2025, we undertook the initiatives discussed above to mitigate the economic impact of tariffs on our product portfolio. We believe these initiatives combined with our pricing actions have allowed us to successfully manage the impact of the latest tariff decisions. However, if current tariff levels are sustained or increased, there is a risk that our profitability, cash flows and estimates inherent in our financial statements could be negatively affected.</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20, 2026, the U.S. Supreme Court issued a ruling striking down certain tariffs previously imposed under the International Emergency Economic Powers Act (“IEEPA”). The ultimate availability, timing, and amount of any potential refunds of such tariffs remain highly uncertain and are subject to further legal, regulatory, and administrative developments. Accordingly, as of March 29, 2026, the Company has not recorded any benefit related to potential refunds of IEEPA tariffs paid. Following the Supreme Court’s decision, the U.S.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tariff levels, and whether further additional tariffs may be imposed, modified, or suspended, and the impacts of such actions on our business. There also remains substantial uncertainty regarding how countries with which the U.S. has negotiated or is in the process of negotiating tariff trade deals will respond to any further tariff actions by the U.S. Administration. We continue to monitor and evaluate these developments in order to analyze their impact on our business and identify possible actions to minimize adverse effects. The extent and duration of these tariffs, as well as their broader impact on macroeconomic conditions and our business, remain uncertain and will depend on a variety of factors outside of our control. Nevertheless, we remain committed to optimizing our operations, managing costs and leveraging our diversified supply chain to minimize the impact of tariffs on our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or Anticipated Trends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strategic plan, we have launched a portfolio optimization initiative through which we expect to exit non-core, low profit businesses while reinvesting in targeted mergers and acquisitions that align with our strategic priorities. The first divestiture under this initiative, the sale of our Arizona Desert Shocks ("ADS") business, was completed on April 18, 2026, and we continue to evaluate additional divestiture and acquisition opportunities that meet our strategic and financial criteria. See Note 18, "</w:t>
      </w:r>
      <w:r>
        <w:rPr>
          <w:rFonts w:ascii="Arial" w:cs="Arial" w:eastAsia="Arial" w:hAnsi="Arial"/>
          <w:sz w:val="18"/>
          <w:szCs w:val="18"/>
          <w:i w:val="1"/>
          <w:iCs w:val="1"/>
          <w:color w:val="auto"/>
        </w:rPr>
        <w:t>Subsequent Events</w:t>
      </w:r>
      <w:r>
        <w:rPr>
          <w:rFonts w:ascii="Arial" w:cs="Arial" w:eastAsia="Arial" w:hAnsi="Arial"/>
          <w:sz w:val="18"/>
          <w:szCs w:val="18"/>
          <w:color w:val="auto"/>
        </w:rPr>
        <w:t>" in the Notes to the condensed consolidated financial statements included in this Quarterly Report for more details.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more complete discussion of the risks facing our business, including risks related to our ability to execute our business strategy and to successfully integrate acquisitions or achieve the expected benefits from divestitures, see "Part I, Item 1A. Risk Factors" in our Annual Report on Form 10-K for the year ended December 31,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principal activity from which we generate our sales is the designing, marketing, manufacturing and distribution of performance aftermarket automotive parts for our end consumers. Sales are displayed net of rebates and sales returns allowances. Sales returns are recorded as a charge against gross sales in the period in which the related sales are recognized.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costs consist of payroll and related personnel expenses, IT and office services, office rent expense and professional services. In addition, self-insurance, advertising, research and development, outgoing shipping costs, pre-production and start-up costs are also included within selling, general, and administrative. We have incurred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other professional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83" w:lineRule="exact"/>
        <w:rPr>
          <w:sz w:val="20"/>
          <w:szCs w:val="20"/>
          <w:color w:val="auto"/>
        </w:rPr>
      </w:pPr>
    </w:p>
    <w:p>
      <w:pPr>
        <w:jc w:val="both"/>
        <w:ind w:right="20"/>
        <w:spacing w:after="0" w:line="247" w:lineRule="exact"/>
        <w:rPr>
          <w:sz w:val="20"/>
          <w:szCs w:val="20"/>
          <w:color w:val="auto"/>
        </w:rPr>
      </w:pPr>
      <w:r>
        <w:rPr>
          <w:rFonts w:ascii="Arial" w:cs="Arial" w:eastAsia="Arial" w:hAnsi="Arial"/>
          <w:sz w:val="18"/>
          <w:szCs w:val="18"/>
          <w:color w:val="auto"/>
        </w:rPr>
        <w:t>Amortization of intangible assets represents the non</w:t>
      </w:r>
      <w:r>
        <w:rPr>
          <w:rFonts w:ascii="MS PGothic" w:cs="MS PGothic" w:eastAsia="MS PGothic" w:hAnsi="MS PGothic"/>
          <w:sz w:val="18"/>
          <w:szCs w:val="18"/>
          <w:color w:val="auto"/>
        </w:rPr>
        <w:t>‑</w:t>
      </w:r>
      <w:r>
        <w:rPr>
          <w:rFonts w:ascii="Arial" w:cs="Arial" w:eastAsia="Arial" w:hAnsi="Arial"/>
          <w:sz w:val="18"/>
          <w:szCs w:val="18"/>
          <w:color w:val="auto"/>
        </w:rPr>
        <w:t>cash expense related to the systematic write down of our 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Restructuring costs include charges attributable to operational restructuring and integration activities, including professional and consulting services, termination related benefits, facilities relocation, and executive transition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consists of interest due on the indebtedness under our credit facilities. Interest is based on SOFR or the base rate, at the Company's election, plus the applicable margin rate. As of March 29, 2026, $529.4 million was outstanding under our Credit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Change in fair value of warrant liability represents remeasurement gains or losses on outstanding warrant liabilities, driven primarily by changes in our stock price and related valuation inputs.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183" w:lineRule="exact"/>
        <w:rPr>
          <w:sz w:val="20"/>
          <w:szCs w:val="20"/>
          <w:color w:val="auto"/>
        </w:rPr>
      </w:pPr>
    </w:p>
    <w:p>
      <w:pPr>
        <w:jc w:val="both"/>
        <w:spacing w:after="0" w:line="247" w:lineRule="exact"/>
        <w:rPr>
          <w:sz w:val="20"/>
          <w:szCs w:val="20"/>
          <w:color w:val="auto"/>
        </w:rPr>
      </w:pPr>
      <w:r>
        <w:rPr>
          <w:rFonts w:ascii="Arial" w:cs="Arial" w:eastAsia="Arial" w:hAnsi="Arial"/>
          <w:sz w:val="18"/>
          <w:szCs w:val="18"/>
          <w:color w:val="auto"/>
        </w:rPr>
        <w:t>Change in fair value of earn</w:t>
      </w:r>
      <w:r>
        <w:rPr>
          <w:rFonts w:ascii="MS PGothic" w:cs="MS PGothic" w:eastAsia="MS PGothic" w:hAnsi="MS PGothic"/>
          <w:sz w:val="18"/>
          <w:szCs w:val="18"/>
          <w:color w:val="auto"/>
        </w:rPr>
        <w:t>‑</w:t>
      </w:r>
      <w:r>
        <w:rPr>
          <w:rFonts w:ascii="Arial" w:cs="Arial" w:eastAsia="Arial" w:hAnsi="Arial"/>
          <w:sz w:val="18"/>
          <w:szCs w:val="18"/>
          <w:color w:val="auto"/>
        </w:rPr>
        <w:t>out liability reflects adjustments to contingent consideration based on revised expectations of earn</w:t>
      </w:r>
      <w:r>
        <w:rPr>
          <w:rFonts w:ascii="MS PGothic" w:cs="MS PGothic" w:eastAsia="MS PGothic" w:hAnsi="MS PGothic"/>
          <w:sz w:val="18"/>
          <w:szCs w:val="18"/>
          <w:color w:val="auto"/>
        </w:rPr>
        <w:t>‑</w:t>
      </w:r>
      <w:r>
        <w:rPr>
          <w:rFonts w:ascii="Arial" w:cs="Arial" w:eastAsia="Arial" w:hAnsi="Arial"/>
          <w:sz w:val="18"/>
          <w:szCs w:val="18"/>
          <w:color w:val="auto"/>
        </w:rPr>
        <w:t>out performance and updated valuation assumptions.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13-Week Period Ended March 29, 2026 Compared With 13-Week Period Ended March 30, 2025</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presents Holley’s results of operations for the 13-week periods ended March 29, 2026 and March 30, 2025 (dollars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4"/>
          </w:tcPr>
          <w:p>
            <w:pPr>
              <w:jc w:val="right"/>
              <w:ind w:right="63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
        </w:trPr>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1"/>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March 29, 2026</w:t>
            </w:r>
          </w:p>
        </w:tc>
        <w:tc>
          <w:tcPr>
            <w:tcW w:w="22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March 30, 2025</w:t>
            </w:r>
          </w:p>
        </w:tc>
        <w:tc>
          <w:tcPr>
            <w:tcW w:w="20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Change ($)</w:t>
            </w:r>
          </w:p>
        </w:tc>
        <w:tc>
          <w:tcPr>
            <w:tcW w:w="80" w:type="dxa"/>
            <w:vAlign w:val="bottom"/>
          </w:tcPr>
          <w:p>
            <w:pPr>
              <w:spacing w:after="0"/>
              <w:rPr>
                <w:sz w:val="20"/>
                <w:szCs w:val="20"/>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Change (%)</w:t>
            </w:r>
          </w:p>
        </w:tc>
      </w:tr>
      <w:tr>
        <w:trPr>
          <w:trHeight w:val="2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86,594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88,956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43"/>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35,402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36,699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costs</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Other operating expense</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43"/>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(958)</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earn-out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9,917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15,708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(5,791)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(36.9)%</w:t>
            </w:r>
          </w:p>
        </w:tc>
      </w:tr>
      <w:tr>
        <w:trPr>
          <w:trHeight w:val="2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134.7%</w:t>
            </w: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74.6 %</w:t>
            </w:r>
          </w:p>
        </w:tc>
      </w:tr>
      <w:tr>
        <w:trPr>
          <w:trHeight w:val="2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43"/>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157.6 %</w:t>
            </w: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235.5%</w:t>
            </w:r>
          </w:p>
        </w:tc>
      </w:tr>
      <w:tr>
        <w:trPr>
          <w:trHeight w:val="2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89"/>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148.8 %</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13-week period ended March 29, 2026 decreased $5.7 million, or 3.7%, to $ 147.3 million, as compared to $153.0 million for the 13-week period ended March 30, 2025. Lower sales volume resulted in a decrease of approximately $14.2 million, offset partially by improved price realization of approximately $8.1 million compared to the prior year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goods sold for the 13-week period ended March 29, 2026 decreased $2.4 million, or 2.7%, to $86.6 million, as compared to $89.0 million for the 13-week period ended March 30, 2025. The decrease in cost of goods sold in the first quarter of 2026, a period in which product sales decreased 3.7%, was due to lower sales volume and improved operational initiatives across facility efficiencies.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13-week period ended March 29, 2026 decreased $3.4 million, or 5.2%, to $60.7 million, as compared to $64.1 million for the 13-week period ended March 30, 2025. Gross margin for the 13-week period ended March 29, 2026 was 41.2% as compared to a gross margin of 41.9% for the 13-week period ended March 30, 2025. Gross profit margin decreased slightly due to fixed cost deleverage on lower new sales volume partially offset by improvements in operating efficiency.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costs for the 13-week period ended March 29, 2026 decreased $1.3 million, or 3.5%, to $35.4 million, as compared to $36.7 million for the 13-week period ended March 30, 2025. Selling, general and administrative costs expressed as a percentage of sales remained the same at 24.0% for the 13-week period ended March 29, 2026 compared to 24.0% for the 13-week period ended March 30, 2025. The decrease in selling, general and administrative costs was due to greater efficiency on legal and marketing spend combined with lower outbound freight costs on reduced sales volume.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Research and development costs for the 13-week period ended March 29, 2026 slightly decreased to $4.0 million as compared to $4.1 million for the 13-week period ended March 30, 2025, primarily due to a decrease in salaries.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Amortization of intangible assets was $3.4 million for the 13-week period ended March 29, 2026 compared to $3.5 million for the 13-week period ended March 30, 2025. Amortization decreased slightly due to tradenames with higher amortization expense in the prior year that became fully amortized.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costs for the 13-week period ended March 29, 2026 increased by $0.4 million to $0.9 million, as compared to $0.5 million for the 13-week period ended March 30, 2025, reflecting restructuring and integration activities associated with our implementation of resource allocation efforts in support of portfolio development optimization.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result of factors described above, operating income for the 13-week period ended March 29, 2026 decreased $1.8 million, or 9.5%, to $17.5 million, as compared to $19.3 million for the 13-week period ended March 30,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13-week periods ended March 29, 2026 and March 30, 2025, we recognized a gain of $1.0 million and a gain of $0.1 million, respectively. The warrant liability reflects the fair value of the Warrants issued in connection with the Business Combination.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13-week periods ended March 29, 2026 and March 30, 2025, we recognized a gain of $0.5 million and a gain of $0.2 million, respectively. The earn-out liability reflects the fair value of the unvested Earn-Out Shares resulting from the Business Combination.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13-week period ended March 29, 2026 decreased $5.8 million, or 36.9%, to $ 9.9 million, as compared to $ 15.7 million for the 13-week period ended March 30, 2025. The decrease was primarily attributable to changes in the fair value of the interest rate collar, which decreased interest expense by $1.0 million during the 13-week period ended March 29, 2026, compared to an increase to interest expense of $3.8 million the 13-week period ended March 30, 2025. Additionally, the interest expense decrease resulted from a decrease in our outstanding debt balance.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result of factors described above, we recognized $9.1 million of income before income taxes and $3.9 million of income before income taxes for the 13-week periods ended March 29, 2026 and March 30, 2025,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expense for the 13-week period ended March 29, 2026 was $1.9 million, as compared to income tax expense of $1.1 million for the 13-week period ended March 30, 2025. Our effective tax rate for the 13-week period ended March 29, 2026 was 20.6%. The difference between the effective tax rate for the 13-week period ended March 29, 2026 and the federal statutory rate in 2026 was due to permanent differences related to changes in fair value of warrant and earn-out liabilities recognized during the period, the benefit from the foreign derived intangible income (FDII) deduction, federal research and development tax credits, state taxes, and the impact of foreign taxes in higher tax rate jurisdictions. The effective tax rate for the 13-week period ended March 30, 2025 was 27.6%. The difference between the effective tax rate for the 13-week period ended March 30, 2025 and the federal statutory rate in 2025 was due to permanent differences related to changes in fair value of the warrant and earn-out liabilities recognized during the period, state taxes, and the impact of foreign taxes in higher rate jurisdictions.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Total Comprehensive Loss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factors described above, we recognized net income of $7.3 million and net income of $2.8 million for the 13-week periods ended March 29, 2026 and March 30, 2025, respectively. Additionally, we recognized total comprehensive income of $6.3 million for the 13-week period ended March 29, 2026, as compared to total comprehensive income of $2.5 million for the 13-week period ended March 30, 2025. Comprehensive income includes the effect of foreign currency translation adjustments.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present certain information with respect to EBITDA, Adjusted EBITDA, Adjusted EBITDA Margin, Adjusted Net Income, Adjusted Diluted EPS, and Free Cash Flow as supplemental measures of our operating performance and believe that such non-GAAP financial measures provide useful information to investors, because they exclude the impact of certain items that we do not consider indicative of our ongoing operating performance and we believe are useful in comparing our results of operations between periods. We believe that the presentation of such non-GAAP measures enhance the usefulness of our financial information by presenting measures that management uses internally to establish forecasts, budgets and operational goals to manage and monitor our business. We believe that these non-GAAP financial measures help to depict a more realistic representation of the performance of our underlying business, enabling us to evaluate and plan more effectively for the future.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EBITDA, Adjusted EBITDA, Adjusted EBITDA Margin, Adjusted Net Income, Adjusted Diluted EPS, and Free Cash Flow are not prepared in accordance with U.S. GAAP and may be different from non-GAAP financial measures used by other companies. These measures should not be considered as measures of financial performance under U.S. GAAP, and the items excluded from or included in these metrics are significant components in understanding and assessing our financial performance. These metrics should not be considered as alternatives to net income, gross profit, net cash provided by operating activities, or any other performance measures, as applicable, derived in accordance with U.S.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EBITDA as earnings before depreciation, amortization of intangible assets, interest expense, and income tax expense. We define Adjusted EBITDA as EBITDA adjusted to exclude, to the extent applicable, acquisition and restructuring costs, which includes operational restructuring and integration activities, termination related benefits, facilities relocation, and executive transition costs; changes in the fair value of the warrant liability; changes in the fair value of the earn-out liability; equity-based compensation expense; notable items that we do not believe are reflective of our underlying operating performance, including litigation settlements, transformative consulting fees and certain costs incurred for advisory services related to identifying</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performance initiatives; and other expenses or gains, which includes gains or losses from disposal of fixed assets, franchise taxes, and gains or losses from foreign currency transactions. We define Adjusted EBITDA Margin as Adjusted EBITDA divided by net sales.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unaudited table presents the reconciliation of net income, the most directly comparable GAAP measure, to EBITDA, Adjusted EBITDA, and Adjusted EBITDA Margin for the 13-week periods ended March 29, 2026 and March 30, 2025 (dollars in thousands):</w:t>
      </w:r>
    </w:p>
    <w:p>
      <w:pPr>
        <w:spacing w:after="0" w:line="20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For the thirteen weeks ended</w:t>
      </w:r>
    </w:p>
    <w:p>
      <w:pPr>
        <w:spacing w:after="0" w:line="35" w:lineRule="exact"/>
        <w:rPr>
          <w:sz w:val="20"/>
          <w:szCs w:val="20"/>
          <w:color w:val="auto"/>
        </w:rPr>
      </w:pPr>
    </w:p>
    <w:tbl>
      <w:tblPr>
        <w:tblLayout w:type="fixed"/>
        <w:tblInd w:w="340" w:type="dxa"/>
        <w:tblCellMar>
          <w:top w:w="0" w:type="dxa"/>
          <w:left w:w="0" w:type="dxa"/>
          <w:bottom w:w="0" w:type="dxa"/>
          <w:right w:w="0" w:type="dxa"/>
        </w:tblCellMar>
      </w:tblPr>
      <w:tr>
        <w:trPr>
          <w:trHeight w:val="283"/>
        </w:trPr>
        <w:tc>
          <w:tcPr>
            <w:tcW w:w="648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spacing w:after="0"/>
              <w:rPr>
                <w:sz w:val="24"/>
                <w:szCs w:val="24"/>
                <w:color w:val="auto"/>
              </w:rPr>
            </w:pPr>
          </w:p>
        </w:tc>
        <w:tc>
          <w:tcPr>
            <w:tcW w:w="1840" w:type="dxa"/>
            <w:vAlign w:val="bottom"/>
            <w:tcBorders>
              <w:top w:val="single" w:sz="8" w:color="auto"/>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March 29, 2026</w:t>
            </w:r>
          </w:p>
        </w:tc>
        <w:tc>
          <w:tcPr>
            <w:tcW w:w="260" w:type="dxa"/>
            <w:vAlign w:val="bottom"/>
            <w:tcBorders>
              <w:top w:val="single" w:sz="8" w:color="auto"/>
              <w:bottom w:val="single" w:sz="8" w:color="CCEEFF"/>
            </w:tcBorders>
            <w:shd w:val="clear" w:color="auto" w:fill="CCEEFF"/>
          </w:tcPr>
          <w:p>
            <w:pPr>
              <w:spacing w:after="0"/>
              <w:rPr>
                <w:sz w:val="24"/>
                <w:szCs w:val="24"/>
                <w:color w:val="auto"/>
              </w:rPr>
            </w:pPr>
          </w:p>
        </w:tc>
        <w:tc>
          <w:tcPr>
            <w:tcW w:w="174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March 30, 2025</w:t>
            </w:r>
          </w:p>
        </w:tc>
        <w:tc>
          <w:tcPr>
            <w:tcW w:w="0" w:type="dxa"/>
            <w:vAlign w:val="bottom"/>
          </w:tcPr>
          <w:p>
            <w:pPr>
              <w:spacing w:after="0"/>
              <w:rPr>
                <w:sz w:val="1"/>
                <w:szCs w:val="1"/>
                <w:color w:val="auto"/>
              </w:rPr>
            </w:pPr>
          </w:p>
        </w:tc>
      </w:tr>
      <w:tr>
        <w:trPr>
          <w:trHeight w:val="241"/>
        </w:trPr>
        <w:tc>
          <w:tcPr>
            <w:tcW w:w="6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7,257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4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47"/>
        </w:trPr>
        <w:tc>
          <w:tcPr>
            <w:tcW w:w="64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9,917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15,708</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41"/>
        </w:trPr>
        <w:tc>
          <w:tcPr>
            <w:tcW w:w="6480" w:type="dxa"/>
            <w:vAlign w:val="bottom"/>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25,004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25,432</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7"/>
        </w:trPr>
        <w:tc>
          <w:tcPr>
            <w:tcW w:w="6480" w:type="dxa"/>
            <w:vAlign w:val="bottom"/>
          </w:tcPr>
          <w:p>
            <w:pPr>
              <w:ind w:left="180"/>
              <w:spacing w:after="0"/>
              <w:rPr>
                <w:sz w:val="20"/>
                <w:szCs w:val="20"/>
                <w:color w:val="auto"/>
              </w:rPr>
            </w:pPr>
            <w:r>
              <w:rPr>
                <w:rFonts w:ascii="Arial" w:cs="Arial" w:eastAsia="Arial" w:hAnsi="Arial"/>
                <w:sz w:val="18"/>
                <w:szCs w:val="18"/>
                <w:color w:val="auto"/>
              </w:rPr>
              <w:t>Change in fair value of earn-out liability</w:t>
            </w:r>
          </w:p>
        </w:tc>
        <w:tc>
          <w:tcPr>
            <w:tcW w:w="24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47"/>
        </w:trPr>
        <w:tc>
          <w:tcPr>
            <w:tcW w:w="648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spacing w:after="0"/>
              <w:rPr>
                <w:sz w:val="21"/>
                <w:szCs w:val="21"/>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Notable items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7"/>
        </w:trPr>
        <w:tc>
          <w:tcPr>
            <w:tcW w:w="6480" w:type="dxa"/>
            <w:vAlign w:val="bottom"/>
          </w:tcPr>
          <w:p>
            <w:pPr>
              <w:ind w:left="180"/>
              <w:spacing w:after="0"/>
              <w:rPr>
                <w:sz w:val="20"/>
                <w:szCs w:val="20"/>
                <w:color w:val="auto"/>
              </w:rPr>
            </w:pPr>
            <w:r>
              <w:rPr>
                <w:rFonts w:ascii="Arial" w:cs="Arial" w:eastAsia="Arial" w:hAnsi="Arial"/>
                <w:sz w:val="18"/>
                <w:szCs w:val="18"/>
                <w:color w:val="auto"/>
              </w:rPr>
              <w:t>Other operating income</w:t>
            </w:r>
          </w:p>
        </w:tc>
        <w:tc>
          <w:tcPr>
            <w:tcW w:w="24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27,321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27,290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8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147,330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153,044</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margin</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7"/>
        </w:trPr>
        <w:tc>
          <w:tcPr>
            <w:tcW w:w="648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Diluted EPS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Adjusted Net Income as earnings excluding the after-tax effect of changes in the fair value of the warrant liability, changes in the fair value of the earn-out liability, impairment of goodwill and indefinite-lived intangible assets, loss on sale of assets, and gain or loss on the early extinguishment of debt. We define Adjusted Diluted EPS as Adjusted Net Income on a per share basis. Management uses these measures to focus on on-going operations and believes that it is useful to investors because it enables them to perform meaningful comparisons of past and present consolidated operating results. We believe that using this information, along with net income and net income per diluted share, provides for a more complete analysis of the results of operations.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unaudited tables present the reconciliation of net income and net income per diluted share, the most directly comparable GAAP measures, to Adjusted Net Income and Adjusted Diluted EPS for the 13-week periods ended March 29, 2026 and March 30, 2025 (dollars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6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gridSpan w:val="4"/>
          </w:tcPr>
          <w:p>
            <w:pPr>
              <w:jc w:val="right"/>
              <w:ind w:right="670"/>
              <w:spacing w:after="0"/>
              <w:rPr>
                <w:sz w:val="20"/>
                <w:szCs w:val="20"/>
                <w:color w:val="auto"/>
              </w:rPr>
            </w:pPr>
            <w:r>
              <w:rPr>
                <w:rFonts w:ascii="Arial" w:cs="Arial" w:eastAsia="Arial" w:hAnsi="Arial"/>
                <w:sz w:val="18"/>
                <w:szCs w:val="18"/>
                <w:color w:val="auto"/>
              </w:rPr>
              <w:t>For the thirteen weeks ended</w:t>
            </w:r>
          </w:p>
        </w:tc>
      </w:tr>
      <w:tr>
        <w:trPr>
          <w:trHeight w:val="23"/>
        </w:trPr>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0"/>
        </w:trPr>
        <w:tc>
          <w:tcPr>
            <w:tcW w:w="6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March 29, 2026</w:t>
            </w:r>
          </w:p>
        </w:tc>
        <w:tc>
          <w:tcPr>
            <w:tcW w:w="220" w:type="dxa"/>
            <w:vAlign w:val="bottom"/>
          </w:tcPr>
          <w:p>
            <w:pPr>
              <w:spacing w:after="0"/>
              <w:rPr>
                <w:sz w:val="20"/>
                <w:szCs w:val="20"/>
                <w:color w:val="auto"/>
              </w:rPr>
            </w:pP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March 30, 2025</w:t>
            </w:r>
          </w:p>
        </w:tc>
      </w:tr>
      <w:tr>
        <w:trPr>
          <w:trHeight w:val="23"/>
        </w:trPr>
        <w:tc>
          <w:tcPr>
            <w:tcW w:w="6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r>
      <w:tr>
        <w:trPr>
          <w:trHeight w:val="247"/>
        </w:trPr>
        <w:tc>
          <w:tcPr>
            <w:tcW w:w="6720" w:type="dxa"/>
            <w:vAlign w:val="bottom"/>
          </w:tcPr>
          <w:p>
            <w:pPr>
              <w:ind w:left="20"/>
              <w:spacing w:after="0"/>
              <w:rPr>
                <w:sz w:val="20"/>
                <w:szCs w:val="20"/>
                <w:color w:val="auto"/>
              </w:rPr>
            </w:pPr>
            <w:r>
              <w:rPr>
                <w:rFonts w:ascii="Arial" w:cs="Arial" w:eastAsia="Arial" w:hAnsi="Arial"/>
                <w:sz w:val="18"/>
                <w:szCs w:val="18"/>
                <w:color w:val="auto"/>
              </w:rPr>
              <w:t>Special items:</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
        </w:trPr>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 for: Change in fair value of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7"/>
        </w:trPr>
        <w:tc>
          <w:tcPr>
            <w:tcW w:w="6720" w:type="dxa"/>
            <w:vAlign w:val="bottom"/>
          </w:tcPr>
          <w:p>
            <w:pPr>
              <w:ind w:left="180"/>
              <w:spacing w:after="0"/>
              <w:rPr>
                <w:sz w:val="20"/>
                <w:szCs w:val="20"/>
                <w:color w:val="auto"/>
              </w:rPr>
            </w:pPr>
            <w:r>
              <w:rPr>
                <w:rFonts w:ascii="Arial" w:cs="Arial" w:eastAsia="Arial" w:hAnsi="Arial"/>
                <w:sz w:val="18"/>
                <w:szCs w:val="18"/>
                <w:color w:val="auto"/>
              </w:rPr>
              <w:t>Adjust for: Change in fair value of earn-out liability</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
        </w:trPr>
        <w:tc>
          <w:tcPr>
            <w:tcW w:w="6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9"/>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6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gridSpan w:val="4"/>
          </w:tcPr>
          <w:p>
            <w:pPr>
              <w:jc w:val="right"/>
              <w:ind w:right="670"/>
              <w:spacing w:after="0"/>
              <w:rPr>
                <w:sz w:val="20"/>
                <w:szCs w:val="20"/>
                <w:color w:val="auto"/>
              </w:rPr>
            </w:pPr>
            <w:r>
              <w:rPr>
                <w:rFonts w:ascii="Arial" w:cs="Arial" w:eastAsia="Arial" w:hAnsi="Arial"/>
                <w:sz w:val="18"/>
                <w:szCs w:val="18"/>
                <w:color w:val="auto"/>
              </w:rPr>
              <w:t>For the thirteen weeks ended</w:t>
            </w:r>
          </w:p>
        </w:tc>
      </w:tr>
      <w:tr>
        <w:trPr>
          <w:trHeight w:val="23"/>
        </w:trPr>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1"/>
        </w:trPr>
        <w:tc>
          <w:tcPr>
            <w:tcW w:w="6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March 29, 2026</w:t>
            </w:r>
          </w:p>
        </w:tc>
        <w:tc>
          <w:tcPr>
            <w:tcW w:w="220" w:type="dxa"/>
            <w:vAlign w:val="bottom"/>
          </w:tcPr>
          <w:p>
            <w:pPr>
              <w:spacing w:after="0"/>
              <w:rPr>
                <w:sz w:val="20"/>
                <w:szCs w:val="20"/>
                <w:color w:val="auto"/>
              </w:rPr>
            </w:pP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March 30, 2025</w:t>
            </w:r>
          </w:p>
        </w:tc>
      </w:tr>
      <w:tr>
        <w:trPr>
          <w:trHeight w:val="23"/>
        </w:trPr>
        <w:tc>
          <w:tcPr>
            <w:tcW w:w="6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diluted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center"/>
              <w:ind w:left="1070"/>
              <w:spacing w:after="0"/>
              <w:rPr>
                <w:sz w:val="20"/>
                <w:szCs w:val="20"/>
                <w:color w:val="auto"/>
              </w:rPr>
            </w:pPr>
            <w:r>
              <w:rPr>
                <w:rFonts w:ascii="Arial" w:cs="Arial" w:eastAsia="Arial" w:hAnsi="Arial"/>
                <w:sz w:val="18"/>
                <w:szCs w:val="18"/>
                <w:color w:val="auto"/>
                <w:w w:val="96"/>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47"/>
        </w:trPr>
        <w:tc>
          <w:tcPr>
            <w:tcW w:w="6720" w:type="dxa"/>
            <w:vAlign w:val="bottom"/>
          </w:tcPr>
          <w:p>
            <w:pPr>
              <w:ind w:left="20"/>
              <w:spacing w:after="0"/>
              <w:rPr>
                <w:sz w:val="20"/>
                <w:szCs w:val="20"/>
                <w:color w:val="auto"/>
              </w:rPr>
            </w:pPr>
            <w:r>
              <w:rPr>
                <w:rFonts w:ascii="Arial" w:cs="Arial" w:eastAsia="Arial" w:hAnsi="Arial"/>
                <w:sz w:val="18"/>
                <w:szCs w:val="18"/>
                <w:color w:val="auto"/>
              </w:rPr>
              <w:t>Special items:</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
        </w:trPr>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 for: Change in fair value of warrant liability</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center"/>
              <w:ind w:left="105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720" w:type="dxa"/>
            <w:vAlign w:val="bottom"/>
          </w:tcPr>
          <w:p>
            <w:pPr>
              <w:ind w:left="20"/>
              <w:spacing w:after="0"/>
              <w:rPr>
                <w:sz w:val="20"/>
                <w:szCs w:val="20"/>
                <w:color w:val="auto"/>
              </w:rPr>
            </w:pPr>
            <w:r>
              <w:rPr>
                <w:rFonts w:ascii="Arial" w:cs="Arial" w:eastAsia="Arial" w:hAnsi="Arial"/>
                <w:sz w:val="18"/>
                <w:szCs w:val="18"/>
                <w:color w:val="auto"/>
              </w:rPr>
              <w:t>Adjusted Diluted EPS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center"/>
              <w:ind w:left="1070"/>
              <w:spacing w:after="0"/>
              <w:rPr>
                <w:sz w:val="20"/>
                <w:szCs w:val="20"/>
                <w:color w:val="auto"/>
              </w:rPr>
            </w:pPr>
            <w:r>
              <w:rPr>
                <w:rFonts w:ascii="Arial" w:cs="Arial" w:eastAsia="Arial" w:hAnsi="Arial"/>
                <w:sz w:val="18"/>
                <w:szCs w:val="18"/>
                <w:color w:val="auto"/>
                <w:w w:val="96"/>
              </w:rPr>
              <w:t>0.05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1"/>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Free Cash Flow as net cash provided by operating activities minus cash payments for capital expenditures, net of dispositions. Management believes providing Free Cash Flow is useful for investors to understand our performance and results of cash generation after making capital investments required to support ongoing business operations.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unaudited table presents the reconciliation of net cash provided by operating activities, the most directly comparable GAAP measure, to Free Cash Flow for the 13-week periods ended March 29, 2026 and March 30, 2025 (dollars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6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color w:val="auto"/>
              </w:rPr>
              <w:t>For the thirteen weeks ended</w:t>
            </w:r>
          </w:p>
        </w:tc>
        <w:tc>
          <w:tcPr>
            <w:tcW w:w="740" w:type="dxa"/>
            <w:vAlign w:val="bottom"/>
          </w:tcPr>
          <w:p>
            <w:pPr>
              <w:spacing w:after="0"/>
              <w:rPr>
                <w:sz w:val="20"/>
                <w:szCs w:val="20"/>
                <w:color w:val="auto"/>
              </w:rPr>
            </w:pPr>
          </w:p>
        </w:tc>
      </w:tr>
      <w:tr>
        <w:trPr>
          <w:trHeight w:val="23"/>
        </w:trPr>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1"/>
        </w:trPr>
        <w:tc>
          <w:tcPr>
            <w:tcW w:w="6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March 29, 2026</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March 30,</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w w:val="99"/>
              </w:rPr>
              <w:t>2025</w:t>
            </w:r>
          </w:p>
        </w:tc>
      </w:tr>
      <w:tr>
        <w:trPr>
          <w:trHeight w:val="23"/>
        </w:trPr>
        <w:tc>
          <w:tcPr>
            <w:tcW w:w="6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(7,850)</w:t>
            </w:r>
          </w:p>
        </w:tc>
      </w:tr>
      <w:tr>
        <w:trPr>
          <w:trHeight w:val="247"/>
        </w:trPr>
        <w:tc>
          <w:tcPr>
            <w:tcW w:w="67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(2,980)</w:t>
            </w:r>
          </w:p>
        </w:tc>
      </w:tr>
      <w:tr>
        <w:trPr>
          <w:trHeight w:val="23"/>
        </w:trPr>
        <w:tc>
          <w:tcPr>
            <w:tcW w:w="6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9"/>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cash needs are to support working capital, capital expenditures, acquisitions, and debt repayments. We have generally financed our historical needs with operating cash flows, capital contributions and borrowings under our credit facilities. These sources of liquidity may be impacted by various factors, including demand for our products, investments made in acquired businesses, plant and equipment and other capital expenditures, and expenditures on general infrastructure and information technology.</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March 29, 2026, the Company had cash of $33.1 million and availability of $87.5 million under its $100.0 million senior secured revolving credit facility. As of March 29, 2026, the Company had $2.5 million in letters of credit and $10.0 million in borrowings outstanding under the revolving credit facility.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18, 2026, the Company acquired HRX S.r.l., an Italian motorsports racewear brand, for a purchase price funded through a combination of borrowings under the Company's revolving credit facility and cash on hand. The acquisition impacted the Company's liquidity position as reflected in the March 29, 2026 cash and revolver balances noted above. The Company believes its existing cash balances, together with availability under its revolving credit facility, will be sufficient to fund its operating requirements, capital expenditures, and debt service obligations for the foreseeable future. See Note 2, "</w:t>
      </w:r>
      <w:r>
        <w:rPr>
          <w:rFonts w:ascii="Arial" w:cs="Arial" w:eastAsia="Arial" w:hAnsi="Arial"/>
          <w:sz w:val="18"/>
          <w:szCs w:val="18"/>
          <w:i w:val="1"/>
          <w:iCs w:val="1"/>
          <w:color w:val="auto"/>
        </w:rPr>
        <w:t>Acquisition</w:t>
      </w:r>
      <w:r>
        <w:rPr>
          <w:rFonts w:ascii="Arial" w:cs="Arial" w:eastAsia="Arial" w:hAnsi="Arial"/>
          <w:sz w:val="18"/>
          <w:szCs w:val="18"/>
          <w:color w:val="auto"/>
        </w:rPr>
        <w:t>" in the Notes to the condensed consolidated financial statements included elsewhere in this Quarterly Report on Form 10-Q for additional information related to the Company’s acquisition of HRX.</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is obligated under various operating leases for facilities, equipment and automobiles with estimated lease payments of approximately $6.8 million, including short term leases, due during the remainder of fiscal year 2026. See Note 15, "</w:t>
      </w:r>
      <w:r>
        <w:rPr>
          <w:rFonts w:ascii="Arial" w:cs="Arial" w:eastAsia="Arial" w:hAnsi="Arial"/>
          <w:sz w:val="18"/>
          <w:szCs w:val="18"/>
          <w:i w:val="1"/>
          <w:iCs w:val="1"/>
          <w:color w:val="auto"/>
        </w:rPr>
        <w:t>Lease Commitments</w:t>
      </w:r>
      <w:r>
        <w:rPr>
          <w:rFonts w:ascii="Arial" w:cs="Arial" w:eastAsia="Arial" w:hAnsi="Arial"/>
          <w:sz w:val="18"/>
          <w:szCs w:val="18"/>
          <w:color w:val="auto"/>
        </w:rPr>
        <w:t>" in the Notes to the condensed consolidated financial statements included elsewhere in this Quarterly Report on Form 10-Q for additional information related to the Company’s lease obligations.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Note 7,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condensed consolidated financial statements included in this Quarterly Report on Form 10-Q for further detail of our credit facility and the timing of principal maturities. As of March 29,</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2026, based on the then current weighted average interest rate of 7.5%, expected interest payments associated with outstanding debt totaled approximately $30.7 million for the remainder of fiscal year 2026.</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discussed under “Business Environment” above, although the future impact of supply chain disruptions and inflationary pressures are highly uncertain, we believe that cash generated through our current operating performance, and our operating plans, cash position, and borrowings available under our revolving credit facility, will be sufficient to satisfy our liquidity needs and capital expenditure requirements for the next 12 months and thereafter for the foreseeable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provides a summary of cash flows from operating, investing, and financing activities for the periods presented (dollars in thousands):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13-week period ended March 29, 2026 Compared With 13-week period ended March 30, 2025</w:t>
      </w:r>
    </w:p>
    <w:p>
      <w:pPr>
        <w:spacing w:after="0" w:line="277"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6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4"/>
          </w:tcPr>
          <w:p>
            <w:pPr>
              <w:jc w:val="right"/>
              <w:ind w:right="730"/>
              <w:spacing w:after="0"/>
              <w:rPr>
                <w:sz w:val="20"/>
                <w:szCs w:val="20"/>
                <w:color w:val="auto"/>
              </w:rPr>
            </w:pPr>
            <w:r>
              <w:rPr>
                <w:rFonts w:ascii="Arial" w:cs="Arial" w:eastAsia="Arial" w:hAnsi="Arial"/>
                <w:sz w:val="18"/>
                <w:szCs w:val="18"/>
                <w:color w:val="auto"/>
              </w:rPr>
              <w:t>For the thirteen weeks ended</w:t>
            </w:r>
          </w:p>
        </w:tc>
      </w:tr>
      <w:tr>
        <w:trPr>
          <w:trHeight w:val="23"/>
        </w:trPr>
        <w:tc>
          <w:tcPr>
            <w:tcW w:w="6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1"/>
        </w:trPr>
        <w:tc>
          <w:tcPr>
            <w:tcW w:w="6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March 29, 2026</w:t>
            </w:r>
          </w:p>
        </w:tc>
        <w:tc>
          <w:tcPr>
            <w:tcW w:w="220" w:type="dxa"/>
            <w:vAlign w:val="bottom"/>
          </w:tcPr>
          <w:p>
            <w:pPr>
              <w:spacing w:after="0"/>
              <w:rPr>
                <w:sz w:val="20"/>
                <w:szCs w:val="20"/>
                <w:color w:val="auto"/>
              </w:rPr>
            </w:pP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March 30, 2025</w:t>
            </w:r>
          </w:p>
        </w:tc>
      </w:tr>
      <w:tr>
        <w:trPr>
          <w:trHeight w:val="23"/>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used in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(7,850)</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(9,817)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(7,740)</w:t>
            </w:r>
          </w:p>
        </w:tc>
      </w:tr>
      <w:tr>
        <w:trPr>
          <w:trHeight w:val="23"/>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Effect of foreign currency rate fluctuations on cash</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3"/>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used in operating activities for the 13-week period ended March 29, 2026 was $2.9 million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cash used in operating activities of $7.9 million for the 13-week period ended March 30, 2025. Cash used in operating activities included, but not limited to, negative fluctuations in prepaids and other assets, accounts payable, and inventories of $13.4 million, $4.1 million, and $4.0 million, respectively. Partially offsetting the decrease were positive fluctuations from accounts receivable, accrued and other liabilities, and accrued interest of $14.8 million, $9.2 million, and $3.8 million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respectively.</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used in investing activities for the 13-week periods ended March 29, 2026 and March 30, 2025 was $9.8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$7.7 million, respectively, due to the cash payments related to the HRX acquisition in March 2026 and the acquisition of the perpetual license agreement with Cataclean in January 2025.</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provided by financing activities for the 13-week periods ended March 29, 2026 was $9.0 million,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reflects borrowings under revolving credit agreement and deferred financing fees. The borrowings under revolving credit agreement during the 13-week periods ended March 29, 2026 totaled $10.0 million. Cash used in financing activities for the 13-week period ended March 30, 2025 was $2.4 million, which primarily reflects prepayments of principal of $1.8 million on the first lien term loan.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judgments and assumptions that affect the reported amounts of assets, liabilities, sales, expenses and related disclosures. We evaluate our estimates, judgments and assumptions on an ongoing basis. Our estimates are based on historical experience and various other assumptions that we believe to be reasonable under the circumstances. Our actual results could differ from these estimates. For a discussion of our critical accounting estimates, refer to the section entitled “Critical Accounting Estimates” in our Annual Report on Form 10-K for the year ended December 31, 2025, as filed with the SEC on March 16, 2026. For further information see also Note 1, “</w:t>
      </w:r>
      <w:r>
        <w:rPr>
          <w:rFonts w:ascii="Arial" w:cs="Arial" w:eastAsia="Arial" w:hAnsi="Arial"/>
          <w:sz w:val="18"/>
          <w:szCs w:val="18"/>
          <w:i w:val="1"/>
          <w:iCs w:val="1"/>
          <w:color w:val="auto"/>
        </w:rPr>
        <w:t>Description of the Business, Basis of Presentation, and Summary of Significant Accounting Policies</w:t>
      </w:r>
      <w:r>
        <w:rPr>
          <w:rFonts w:ascii="Arial" w:cs="Arial" w:eastAsia="Arial" w:hAnsi="Arial"/>
          <w:sz w:val="18"/>
          <w:szCs w:val="18"/>
          <w:color w:val="auto"/>
        </w:rPr>
        <w:t>” in the Notes to the condensed consolidated financial statements included in this Quarterly Report on Form 10-Q. There have been no material changes to the Company’s critical accounting estimates included in our Annual Report on Form 10-K for the year ended December 31, 2025.</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discussion of Holley’s new or recently adopted accounting pronouncements, see Note 1, “</w:t>
      </w:r>
      <w:r>
        <w:rPr>
          <w:rFonts w:ascii="Arial" w:cs="Arial" w:eastAsia="Arial" w:hAnsi="Arial"/>
          <w:sz w:val="18"/>
          <w:szCs w:val="18"/>
          <w:i w:val="1"/>
          <w:iCs w:val="1"/>
          <w:color w:val="auto"/>
        </w:rPr>
        <w:t>Description of the Business,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 in the Notes to the condensed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Holley is exposed to market risk in the normal course of business due to the Company’s ongoing investing and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When appropriate, the Company uses derivative financial instruments to mitigate the risk from its interest rate exposure. The Company's interest rate collars are intended to mitigate some of the effects of increases in interest rates. As of March 29, 2026, a total of $529.4 million of term loan were subject to variable interest rates, with a weighted average borrowing rate of 7.5%. A hypothetical 100 basis point increase in interest rates would result in an approximately $0.4 million increase in annual interest expense, while a hypothetical 100 basis point decrease in interest rates would result in an approximately $5.4 million decrease to Holley’s annual interest expense.</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Credit and other Risks</w:t>
      </w:r>
      <w:r>
        <w:rPr>
          <w:rFonts w:ascii="Arial" w:cs="Arial" w:eastAsia="Arial" w:hAnsi="Arial"/>
          <w:sz w:val="18"/>
          <w:szCs w:val="18"/>
          <w:color w:val="auto"/>
        </w:rPr>
        <w:t>. Holley is exposed to credit risk associated with cash and cash equivalents and trade receivables. As of March 29,</w:t>
      </w:r>
      <w:r>
        <w:rPr>
          <w:rFonts w:ascii="Arial" w:cs="Arial" w:eastAsia="Arial" w:hAnsi="Arial"/>
          <w:sz w:val="18"/>
          <w:szCs w:val="18"/>
          <w:i w:val="1"/>
          <w:iCs w:val="1"/>
          <w:color w:val="auto"/>
        </w:rPr>
        <w:t xml:space="preserve"> </w:t>
      </w:r>
      <w:r>
        <w:rPr>
          <w:rFonts w:ascii="Arial" w:cs="Arial" w:eastAsia="Arial" w:hAnsi="Arial"/>
          <w:sz w:val="18"/>
          <w:szCs w:val="18"/>
          <w:color w:val="auto"/>
        </w:rPr>
        <w:t>2026, the majority of the Company’s cash and cash equivalents consisted of cash balances in an overnight sweep account where funds are transferred to an interest-bearing deposit account that is insured by the Federal Deposit Insurance Corporation ("FDIC"). The FDIC insures financial institution deposits up to $250 thousand. Holley maintains deposits in certain accounts which exceed the insurance coverage provided on such deposits. The Company does not believe that its cash equivalents present significant credit risks because the counterparties to the instruments consist of major financial institutions.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Exchange Rate Sensitivity</w:t>
      </w:r>
      <w:r>
        <w:rPr>
          <w:rFonts w:ascii="Arial" w:cs="Arial" w:eastAsia="Arial" w:hAnsi="Arial"/>
          <w:sz w:val="18"/>
          <w:szCs w:val="18"/>
          <w:color w:val="auto"/>
        </w:rPr>
        <w:t>. As of March 29, 2026, the Company is exposed to changes in foreign currency exchange rates. While historically</w:t>
      </w:r>
      <w:r>
        <w:rPr>
          <w:rFonts w:ascii="Arial" w:cs="Arial" w:eastAsia="Arial" w:hAnsi="Arial"/>
          <w:sz w:val="18"/>
          <w:szCs w:val="18"/>
          <w:i w:val="1"/>
          <w:iCs w:val="1"/>
          <w:color w:val="auto"/>
        </w:rPr>
        <w:t xml:space="preserve"> </w:t>
      </w:r>
      <w:r>
        <w:rPr>
          <w:rFonts w:ascii="Arial" w:cs="Arial" w:eastAsia="Arial" w:hAnsi="Arial"/>
          <w:sz w:val="18"/>
          <w:szCs w:val="18"/>
          <w:color w:val="auto"/>
        </w:rPr>
        <w:t>this exposure to changes in foreign currency exchange rates has not had a material effect on the Company’s financial condition or results of operations, foreign currency fluctuations could have a material adverse effect on business and results of operations in the future. Historically, Holley’s primary exposure has been related to transactions denominated in the Euro and Canadian dollars. The majority of the Company’s sales, both domestically and internationally, are denominated in U.S. Dollars. Historically, the majority of the Company’s expenses have also been in U.S. Dollars, and we have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which includes our President, Chief Executive Officer and Chief Financial Officer, has evaluated the effectiveness of our disclosure controls and procedures (as defined in Rules 13a-15(e) and 15d-15(e) of the Securities Exchange Act of 1934, as amended (the “Exchange Act”)) as of the end of the period covered by this Quarterly Report.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management has evaluated the effectiveness of the design and operation of our disclosure controls and procedures as of March 29, 2026, the end of the period covered by this Quarterly Report on Form 10-Q. Based on such evaluation, our Chief Executive Officer and Chief Financial Officer have concluded that the disclosure controls and procedures were effective as of March 29, 2026.</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promulgated under the Exchange Act as a process designed by, or under the supervision of, our executive management and effected by our board of directors, to provide reasonable assurance regarding the reliability of financial reporting and the preparation of financial statements for external purposes in accordance with U.S. GAAP. Based on this assessment, our management has determined that our internal control over financial reporting was effective as of March 29, 2026.</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Litigation in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which is incorporated by reference in this Item 1. Legal Proceedings.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a changing environment that involves numerous known and unknown risks and uncertainties that could materially affect our operations. Factors that could materially affect our actual results, levels of activity, performance or achievements include, but are not limited to, those under the caption “Risk Factors” included in our Annual Report on Form 10-K for the year ended December 31, 2025, as filed with the SEC on March 16, 2026. Such risks, uncertainties and other factors may cause our actual results, performance, and achievements to be materially different from those expressed or implied by our forward-looking statements. If any of these risks or events occur, our business, financial condition or results of operations may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Plans</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fiscal quarter ended March 29, 2026, no director or Section 16 officer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94"/>
        </w:trPr>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9820" w:type="dxa"/>
            <w:vAlign w:val="bottom"/>
            <w:gridSpan w:val="11"/>
          </w:tcPr>
          <w:p>
            <w:pPr>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130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820" w:type="dxa"/>
            <w:vAlign w:val="bottom"/>
            <w:tcBorders>
              <w:top w:val="single" w:sz="8" w:color="auto"/>
            </w:tcBorders>
            <w:gridSpan w:val="11"/>
          </w:tcPr>
          <w:p>
            <w:pPr>
              <w:spacing w:after="0" w:line="202" w:lineRule="exact"/>
              <w:rPr>
                <w:rFonts w:ascii="Arial" w:cs="Arial" w:eastAsia="Arial" w:hAnsi="Arial"/>
                <w:sz w:val="18"/>
                <w:szCs w:val="18"/>
                <w:color w:val="0000FF"/>
              </w:rPr>
            </w:pPr>
            <w:hyperlink r:id="rId67">
              <w:r>
                <w:rPr>
                  <w:rFonts w:ascii="Arial" w:cs="Arial" w:eastAsia="Arial" w:hAnsi="Arial"/>
                  <w:sz w:val="18"/>
                  <w:szCs w:val="18"/>
                  <w:color w:val="0000FF"/>
                </w:rPr>
                <w:t>Agreement and Plan of Merger, dated as of March 11, 2021, by and among Empower Ltd., Empower Merger Sub I Inc.,</w:t>
              </w:r>
            </w:hyperlink>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Empower Merger Sub II LLC and Holley Intermediate Holdings, Inc. (incorporated by reference to Exhibit 2.1 to the</w:t>
              </w:r>
            </w:hyperlink>
          </w:p>
        </w:tc>
        <w:tc>
          <w:tcPr>
            <w:tcW w:w="340" w:type="dxa"/>
            <w:vAlign w:val="bottom"/>
            <w:tcBorders>
              <w:top w:val="single" w:sz="8" w:color="0000FF"/>
            </w:tcBorders>
            <w:gridSpan w:val="2"/>
          </w:tcPr>
          <w:p>
            <w:pPr>
              <w:spacing w:after="0"/>
              <w:rPr>
                <w:sz w:val="17"/>
                <w:szCs w:val="17"/>
                <w:color w:val="auto"/>
              </w:rPr>
            </w:pPr>
          </w:p>
        </w:tc>
        <w:tc>
          <w:tcPr>
            <w:tcW w:w="360" w:type="dxa"/>
            <w:vAlign w:val="bottom"/>
            <w:gridSpan w:val="3"/>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11"/>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Company’s Current Report on Form 8-K, filed with the SEC on March 12, 2021).</w:t>
              </w:r>
            </w:hyperlink>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11"/>
          </w:tcPr>
          <w:p>
            <w:pPr>
              <w:spacing w:after="0"/>
              <w:rPr>
                <w:rFonts w:ascii="Arial" w:cs="Arial" w:eastAsia="Arial" w:hAnsi="Arial"/>
                <w:sz w:val="18"/>
                <w:szCs w:val="18"/>
                <w:color w:val="0000FF"/>
                <w:w w:val="99"/>
              </w:rPr>
            </w:pPr>
            <w:hyperlink r:id="rId68">
              <w:r>
                <w:rPr>
                  <w:rFonts w:ascii="Arial" w:cs="Arial" w:eastAsia="Arial" w:hAnsi="Arial"/>
                  <w:sz w:val="18"/>
                  <w:szCs w:val="18"/>
                  <w:color w:val="0000FF"/>
                  <w:w w:val="99"/>
                </w:rPr>
                <w:t>Certificate of Incorporation of the Company, dated July 16, 2021 (incorporated by reference to Exhibit 3.1 of the Company’s</w:t>
              </w:r>
            </w:hyperlink>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9"/>
              </w:rPr>
            </w:pPr>
            <w:hyperlink r:id="rId68">
              <w:r>
                <w:rPr>
                  <w:rFonts w:ascii="Arial" w:cs="Arial" w:eastAsia="Arial" w:hAnsi="Arial"/>
                  <w:sz w:val="18"/>
                  <w:szCs w:val="18"/>
                  <w:color w:val="0000FF"/>
                  <w:w w:val="99"/>
                </w:rPr>
                <w:t>Current Report on Form 8-K, filed with the SEC on July 21, 2021).</w:t>
              </w:r>
            </w:hyperlink>
          </w:p>
        </w:tc>
        <w:tc>
          <w:tcPr>
            <w:tcW w:w="4540" w:type="dxa"/>
            <w:vAlign w:val="bottom"/>
            <w:tcBorders>
              <w:top w:val="single" w:sz="8" w:color="0000FF"/>
            </w:tcBorders>
            <w:gridSpan w:val="8"/>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00" w:type="dxa"/>
            <w:vAlign w:val="bottom"/>
            <w:tcBorders>
              <w:bottom w:val="single" w:sz="8" w:color="0000FF"/>
            </w:tcBorders>
            <w:gridSpan w:val="9"/>
          </w:tcPr>
          <w:p>
            <w:pPr>
              <w:spacing w:after="0"/>
              <w:rPr>
                <w:rFonts w:ascii="Arial" w:cs="Arial" w:eastAsia="Arial" w:hAnsi="Arial"/>
                <w:sz w:val="18"/>
                <w:szCs w:val="18"/>
                <w:color w:val="0000FF"/>
                <w:w w:val="99"/>
              </w:rPr>
            </w:pPr>
            <w:hyperlink r:id="rId69">
              <w:r>
                <w:rPr>
                  <w:rFonts w:ascii="Arial" w:cs="Arial" w:eastAsia="Arial" w:hAnsi="Arial"/>
                  <w:sz w:val="18"/>
                  <w:szCs w:val="18"/>
                  <w:color w:val="0000FF"/>
                  <w:w w:val="99"/>
                </w:rPr>
                <w:t>Amended and Restated By-Laws of the Company, dated August 8, 2023 (incorporated by reference to Exhibit 3.1 of the</w:t>
              </w:r>
            </w:hyperlink>
          </w:p>
        </w:tc>
        <w:tc>
          <w:tcPr>
            <w:tcW w:w="320" w:type="dxa"/>
            <w:vAlign w:val="bottom"/>
            <w:gridSpan w:val="2"/>
          </w:tcPr>
          <w:p>
            <w:pPr>
              <w:spacing w:after="0"/>
              <w:rPr>
                <w:sz w:val="21"/>
                <w:szCs w:val="21"/>
                <w:color w:val="auto"/>
              </w:rPr>
            </w:pPr>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11"/>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Company’s Current Report on Form 8-K, filed with the SEC on August 9, 2023).</w:t>
              </w:r>
            </w:hyperlink>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Certification of Chief Executive Officer pursuant to Rules 13a-14(a) and 15d-14(a) of the Exchange Act</w:t>
            </w:r>
          </w:p>
        </w:tc>
        <w:tc>
          <w:tcPr>
            <w:tcW w:w="1660" w:type="dxa"/>
            <w:vAlign w:val="bottom"/>
            <w:gridSpan w:val="6"/>
          </w:tcPr>
          <w:p>
            <w:pPr>
              <w:spacing w:after="0"/>
              <w:rPr>
                <w:sz w:val="21"/>
                <w:szCs w:val="2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Certification of Chief Financial Officer Pursuant to Rules 13a-14(a) and 15d-14(a) of the Exchange Act</w:t>
            </w:r>
          </w:p>
        </w:tc>
        <w:tc>
          <w:tcPr>
            <w:tcW w:w="1700" w:type="dxa"/>
            <w:vAlign w:val="bottom"/>
            <w:gridSpan w:val="7"/>
          </w:tcPr>
          <w:p>
            <w:pPr>
              <w:spacing w:after="0"/>
              <w:rPr>
                <w:sz w:val="21"/>
                <w:szCs w:val="2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0000FF"/>
              </w:rPr>
              <w:t>Certification of Chief Executive Officer pursuant to Rule 13a-14(b) of the Exchange Act and 18 U.S.C. 1350, as adopted</w:t>
            </w:r>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9"/>
              </w:rPr>
              <w:t>pursuant to Section 906 of the Sarbanes-Oxley Act of 2002</w:t>
            </w:r>
          </w:p>
        </w:tc>
        <w:tc>
          <w:tcPr>
            <w:tcW w:w="4800" w:type="dxa"/>
            <w:vAlign w:val="bottom"/>
            <w:tcBorders>
              <w:top w:val="single" w:sz="8" w:color="0000FF"/>
            </w:tcBorders>
            <w:gridSpan w:val="8"/>
          </w:tcPr>
          <w:p>
            <w:pPr>
              <w:spacing w:after="0"/>
              <w:rPr>
                <w:sz w:val="17"/>
                <w:szCs w:val="17"/>
                <w:color w:val="auto"/>
              </w:rPr>
            </w:pPr>
          </w:p>
        </w:tc>
        <w:tc>
          <w:tcPr>
            <w:tcW w:w="320" w:type="dxa"/>
            <w:vAlign w:val="bottom"/>
            <w:gridSpan w:val="2"/>
          </w:tcPr>
          <w:p>
            <w:pPr>
              <w:spacing w:after="0"/>
              <w:rPr>
                <w:sz w:val="17"/>
                <w:szCs w:val="17"/>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0000FF"/>
              </w:rPr>
              <w:t>Certification of Chief Financial Officer pursuant to Rule 13a-14(b) of the Exchange Act and 18 U.S.C. 1350, as adopted</w:t>
            </w:r>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9"/>
              </w:rPr>
              <w:t>pursuant to Section 906 of the Sarbanes-Oxley Act of 2002</w:t>
            </w:r>
          </w:p>
        </w:tc>
        <w:tc>
          <w:tcPr>
            <w:tcW w:w="4740" w:type="dxa"/>
            <w:vAlign w:val="bottom"/>
            <w:tcBorders>
              <w:top w:val="single" w:sz="8" w:color="0000FF"/>
            </w:tcBorders>
            <w:gridSpan w:val="6"/>
          </w:tcPr>
          <w:p>
            <w:pPr>
              <w:spacing w:after="0"/>
              <w:rPr>
                <w:sz w:val="17"/>
                <w:szCs w:val="17"/>
                <w:color w:val="auto"/>
              </w:rPr>
            </w:pPr>
          </w:p>
        </w:tc>
        <w:tc>
          <w:tcPr>
            <w:tcW w:w="380" w:type="dxa"/>
            <w:vAlign w:val="bottom"/>
            <w:gridSpan w:val="4"/>
          </w:tcPr>
          <w:p>
            <w:pPr>
              <w:spacing w:after="0"/>
              <w:rPr>
                <w:sz w:val="17"/>
                <w:szCs w:val="17"/>
                <w:color w:val="auto"/>
              </w:rPr>
            </w:pPr>
          </w:p>
        </w:tc>
      </w:tr>
      <w:tr>
        <w:trPr>
          <w:trHeight w:val="272"/>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9"/>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70"/>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0"/>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31" w:lineRule="exact"/>
        <w:rPr>
          <w:sz w:val="20"/>
          <w:szCs w:val="20"/>
          <w:color w:val="auto"/>
        </w:rPr>
      </w:pPr>
    </w:p>
    <w:p>
      <w:pPr>
        <w:ind w:left="1420" w:hanging="1394"/>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Holley Inc.</w:t>
      </w:r>
    </w:p>
    <w:p>
      <w:pPr>
        <w:spacing w:after="0" w:line="2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34925</wp:posOffset>
            </wp:positionV>
            <wp:extent cx="29317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Jesse Weaver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 (Duly Authorized Officer)</w:t>
      </w:r>
    </w:p>
    <w:p>
      <w:pPr>
        <w:spacing w:after="0" w:line="2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May 6, 2026</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22"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Matthew Stevenson, certify that:</w:t>
      </w:r>
    </w:p>
    <w:p>
      <w:pPr>
        <w:spacing w:after="0" w:line="212"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211" w:lineRule="exact"/>
        <w:rPr>
          <w:rFonts w:ascii="Arial" w:cs="Arial" w:eastAsia="Arial" w:hAnsi="Arial"/>
          <w:sz w:val="18"/>
          <w:szCs w:val="18"/>
          <w:color w:val="auto"/>
        </w:rPr>
      </w:pPr>
    </w:p>
    <w:p>
      <w:pPr>
        <w:jc w:val="both"/>
        <w:ind w:left="200" w:right="20" w:hanging="192"/>
        <w:spacing w:after="0" w:line="268" w:lineRule="auto"/>
        <w:tabs>
          <w:tab w:leader="none" w:pos="1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200" w:right="20" w:hanging="192"/>
        <w:spacing w:after="0" w:line="287" w:lineRule="auto"/>
        <w:tabs>
          <w:tab w:leader="none" w:pos="1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8"/>
          <w:szCs w:val="18"/>
          <w:color w:val="auto"/>
        </w:rPr>
      </w:pPr>
    </w:p>
    <w:p>
      <w:pPr>
        <w:jc w:val="both"/>
        <w:ind w:left="200" w:hanging="192"/>
        <w:spacing w:after="0" w:line="260" w:lineRule="auto"/>
        <w:tabs>
          <w:tab w:leader="none" w:pos="1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94" w:lineRule="exact"/>
        <w:rPr>
          <w:sz w:val="20"/>
          <w:szCs w:val="20"/>
          <w:color w:val="auto"/>
        </w:rPr>
      </w:pPr>
    </w:p>
    <w:p>
      <w:pPr>
        <w:jc w:val="both"/>
        <w:ind w:left="200" w:hanging="192"/>
        <w:spacing w:after="0" w:line="268" w:lineRule="auto"/>
        <w:tabs>
          <w:tab w:leader="none" w:pos="1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200" w:hanging="192"/>
        <w:spacing w:after="0" w:line="268" w:lineRule="auto"/>
        <w:tabs>
          <w:tab w:leader="none" w:pos="1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8"/>
          <w:szCs w:val="18"/>
          <w:color w:val="auto"/>
        </w:rPr>
      </w:pPr>
    </w:p>
    <w:p>
      <w:pPr>
        <w:ind w:left="200" w:hanging="192"/>
        <w:spacing w:after="0" w:line="287" w:lineRule="auto"/>
        <w:tabs>
          <w:tab w:leader="none" w:pos="1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8"/>
          <w:szCs w:val="18"/>
          <w:color w:val="auto"/>
        </w:rPr>
      </w:pPr>
    </w:p>
    <w:p>
      <w:pPr>
        <w:jc w:val="both"/>
        <w:ind w:left="200" w:hanging="192"/>
        <w:spacing w:after="0" w:line="268" w:lineRule="auto"/>
        <w:tabs>
          <w:tab w:leader="none" w:pos="1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sz w:val="20"/>
          <w:szCs w:val="20"/>
          <w:color w:val="auto"/>
        </w:rPr>
      </w:pPr>
    </w:p>
    <w:p>
      <w:pPr>
        <w:jc w:val="both"/>
        <w:ind w:left="200" w:hanging="192"/>
        <w:spacing w:after="0" w:line="268" w:lineRule="auto"/>
        <w:tabs>
          <w:tab w:leader="none" w:pos="1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200" w:hanging="192"/>
        <w:spacing w:after="0" w:line="287" w:lineRule="auto"/>
        <w:tabs>
          <w:tab w:leader="none" w:pos="1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8"/>
          <w:szCs w:val="18"/>
          <w:color w:val="auto"/>
        </w:rPr>
      </w:pPr>
    </w:p>
    <w:p>
      <w:pPr>
        <w:ind w:left="200" w:hanging="192"/>
        <w:spacing w:after="0" w:line="287" w:lineRule="auto"/>
        <w:tabs>
          <w:tab w:leader="none" w:pos="1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34925</wp:posOffset>
            </wp:positionV>
            <wp:extent cx="31032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5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Matthew Stevenson</w:t>
      </w:r>
    </w:p>
    <w:p>
      <w:pPr>
        <w:spacing w:after="0" w:line="6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May 6, 2026</w:t>
      </w:r>
    </w:p>
    <w:p>
      <w:pPr>
        <w:sectPr>
          <w:pgSz w:w="11900" w:h="16838" w:orient="portrait"/>
          <w:cols w:equalWidth="0" w:num="1">
            <w:col w:w="11240"/>
          </w:cols>
          <w:pgMar w:left="320" w:top="114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Jesse Weaver, certify that:</w:t>
      </w:r>
    </w:p>
    <w:p>
      <w:pPr>
        <w:spacing w:after="0" w:line="212"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211" w:lineRule="exact"/>
        <w:rPr>
          <w:rFonts w:ascii="Arial" w:cs="Arial" w:eastAsia="Arial" w:hAnsi="Arial"/>
          <w:sz w:val="18"/>
          <w:szCs w:val="18"/>
          <w:color w:val="auto"/>
        </w:rPr>
      </w:pPr>
    </w:p>
    <w:p>
      <w:pPr>
        <w:jc w:val="both"/>
        <w:ind w:left="200" w:right="20" w:hanging="192"/>
        <w:spacing w:after="0" w:line="268" w:lineRule="auto"/>
        <w:tabs>
          <w:tab w:leader="none" w:pos="1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200" w:right="20" w:hanging="192"/>
        <w:spacing w:after="0" w:line="287" w:lineRule="auto"/>
        <w:tabs>
          <w:tab w:leader="none" w:pos="1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8"/>
          <w:szCs w:val="18"/>
          <w:color w:val="auto"/>
        </w:rPr>
      </w:pPr>
    </w:p>
    <w:p>
      <w:pPr>
        <w:jc w:val="both"/>
        <w:ind w:left="200" w:hanging="192"/>
        <w:spacing w:after="0" w:line="260" w:lineRule="auto"/>
        <w:tabs>
          <w:tab w:leader="none" w:pos="1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94" w:lineRule="exact"/>
        <w:rPr>
          <w:sz w:val="20"/>
          <w:szCs w:val="20"/>
          <w:color w:val="auto"/>
        </w:rPr>
      </w:pPr>
    </w:p>
    <w:p>
      <w:pPr>
        <w:jc w:val="both"/>
        <w:ind w:left="200" w:hanging="192"/>
        <w:spacing w:after="0" w:line="268" w:lineRule="auto"/>
        <w:tabs>
          <w:tab w:leader="none" w:pos="1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200" w:hanging="192"/>
        <w:spacing w:after="0" w:line="268" w:lineRule="auto"/>
        <w:tabs>
          <w:tab w:leader="none" w:pos="1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8"/>
          <w:szCs w:val="18"/>
          <w:color w:val="auto"/>
        </w:rPr>
      </w:pPr>
    </w:p>
    <w:p>
      <w:pPr>
        <w:ind w:left="200" w:hanging="192"/>
        <w:spacing w:after="0" w:line="287" w:lineRule="auto"/>
        <w:tabs>
          <w:tab w:leader="none" w:pos="1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8"/>
          <w:szCs w:val="18"/>
          <w:color w:val="auto"/>
        </w:rPr>
      </w:pPr>
    </w:p>
    <w:p>
      <w:pPr>
        <w:jc w:val="both"/>
        <w:ind w:left="200" w:hanging="192"/>
        <w:spacing w:after="0" w:line="268" w:lineRule="auto"/>
        <w:tabs>
          <w:tab w:leader="none" w:pos="1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sz w:val="20"/>
          <w:szCs w:val="20"/>
          <w:color w:val="auto"/>
        </w:rPr>
      </w:pPr>
    </w:p>
    <w:p>
      <w:pPr>
        <w:jc w:val="both"/>
        <w:ind w:left="200" w:hanging="192"/>
        <w:spacing w:after="0" w:line="268" w:lineRule="auto"/>
        <w:tabs>
          <w:tab w:leader="none" w:pos="1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200" w:hanging="192"/>
        <w:spacing w:after="0" w:line="287" w:lineRule="auto"/>
        <w:tabs>
          <w:tab w:leader="none" w:pos="1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8"/>
          <w:szCs w:val="18"/>
          <w:color w:val="auto"/>
        </w:rPr>
      </w:pPr>
    </w:p>
    <w:p>
      <w:pPr>
        <w:ind w:left="200" w:hanging="192"/>
        <w:spacing w:after="0" w:line="287" w:lineRule="auto"/>
        <w:tabs>
          <w:tab w:leader="none" w:pos="1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34925</wp:posOffset>
            </wp:positionV>
            <wp:extent cx="32486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Jesse Weaver</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spacing w:after="0" w:line="22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May 6, 2026</w:t>
      </w:r>
    </w:p>
    <w:p>
      <w:pPr>
        <w:sectPr>
          <w:pgSz w:w="11900" w:h="16838" w:orient="portrait"/>
          <w:cols w:equalWidth="0" w:num="1">
            <w:col w:w="11240"/>
          </w:cols>
          <w:pgMar w:left="320" w:top="114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Quarterly Report of Holley Inc. (the "Company") on Form 10-Q for the period ended March 29, 2026, as filed with the Securities and Exchange Commission (the "Report"), I, Matthew Stevenson, President and Chief Executive Officer of the Company, certifies, pursuant to 18 U.S.C. Section 1350, as adopted pursuant to Section 906 of the Sarbanes-Oxley Act of 2002, that:</w:t>
      </w:r>
    </w:p>
    <w:p>
      <w:pPr>
        <w:spacing w:after="0" w:line="144"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280" w:right="400" w:hanging="272"/>
        <w:spacing w:after="0" w:line="287" w:lineRule="auto"/>
        <w:tabs>
          <w:tab w:leader="none" w:pos="2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34925</wp:posOffset>
            </wp:positionV>
            <wp:extent cx="30600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Matthew Stevenson</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May 6, 2026</w:t>
      </w:r>
    </w:p>
    <w:p>
      <w:pPr>
        <w:spacing w:after="0" w:line="200" w:lineRule="exact"/>
        <w:rPr>
          <w:sz w:val="20"/>
          <w:szCs w:val="20"/>
          <w:color w:val="auto"/>
        </w:rPr>
      </w:pPr>
    </w:p>
    <w:p>
      <w:pPr>
        <w:spacing w:after="0" w:line="3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p>
      <w:pPr>
        <w:sectPr>
          <w:pgSz w:w="11900" w:h="16838" w:orient="portrait"/>
          <w:cols w:equalWidth="0" w:num="1">
            <w:col w:w="11240"/>
          </w:cols>
          <w:pgMar w:left="320" w:top="114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Quarterly Report of Holley Inc. (the "Company") on Form 10-Q for the period ended March 29, 2026, as filed with the Securities and Exchange Commission (the "Report"), I, Jesse Weaver, Chief Financial Officer of the Company, certifies, pursuant to 18 U.S.C. Section 1350, as adopted pursuant to Section 906 of the Sarbanes-Oxley Act of 2002, that:</w:t>
      </w:r>
    </w:p>
    <w:p>
      <w:pPr>
        <w:spacing w:after="0" w:line="144"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80" w:right="400" w:hanging="272"/>
        <w:spacing w:after="0" w:line="287" w:lineRule="auto"/>
        <w:tabs>
          <w:tab w:leader="none" w:pos="2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34925</wp:posOffset>
            </wp:positionV>
            <wp:extent cx="30600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Jesse Weaver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pacing w:after="0" w:line="22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May 6, 2026</w:t>
      </w:r>
    </w:p>
    <w:p>
      <w:pPr>
        <w:spacing w:after="0" w:line="200" w:lineRule="exact"/>
        <w:rPr>
          <w:sz w:val="20"/>
          <w:szCs w:val="20"/>
          <w:color w:val="auto"/>
        </w:rPr>
      </w:pPr>
    </w:p>
    <w:p>
      <w:pPr>
        <w:spacing w:after="0" w:line="2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decimal"/>
      <w:start w:val="3"/>
    </w:lvl>
  </w:abstractNum>
  <w:abstractNum w:abstractNumId="7">
    <w:nsid w:val="62BBD95A"/>
    <w:multiLevelType w:val="hybridMultilevel"/>
    <w:lvl w:ilvl="0">
      <w:lvlJc w:val="left"/>
      <w:lvlText w:val="%1."/>
      <w:numFmt w:val="decimal"/>
      <w:start w:val="4"/>
    </w:lvl>
  </w:abstractNum>
  <w:abstractNum w:abstractNumId="8">
    <w:nsid w:val="436C6125"/>
    <w:multiLevelType w:val="hybridMultilevel"/>
    <w:lvl w:ilvl="0">
      <w:lvlJc w:val="left"/>
      <w:lvlText w:val="%1."/>
      <w:numFmt w:val="decimal"/>
      <w:start w:val="6"/>
    </w:lvl>
  </w:abstractNum>
  <w:abstractNum w:abstractNumId="9">
    <w:nsid w:val="628C895D"/>
    <w:multiLevelType w:val="hybridMultilevel"/>
    <w:lvl w:ilvl="0">
      <w:lvlJc w:val="left"/>
      <w:lvlText w:val="%1."/>
      <w:numFmt w:val="decimal"/>
      <w:start w:val="7"/>
    </w:lvl>
  </w:abstractNum>
  <w:abstractNum w:abstractNumId="10">
    <w:nsid w:val="333AB105"/>
    <w:multiLevelType w:val="hybridMultilevel"/>
    <w:lvl w:ilvl="0">
      <w:lvlJc w:val="left"/>
      <w:lvlText w:val="%1."/>
      <w:numFmt w:val="decimal"/>
      <w:start w:val="8"/>
    </w:lvl>
  </w:abstractNum>
  <w:abstractNum w:abstractNumId="11">
    <w:nsid w:val="721DA317"/>
    <w:multiLevelType w:val="hybridMultilevel"/>
    <w:lvl w:ilvl="0">
      <w:lvlJc w:val="left"/>
      <w:lvlText w:val="%1."/>
      <w:numFmt w:val="decimal"/>
      <w:start w:val="9"/>
    </w:lvl>
  </w:abstractNum>
  <w:abstractNum w:abstractNumId="12">
    <w:nsid w:val="2443A858"/>
    <w:multiLevelType w:val="hybridMultilevel"/>
    <w:lvl w:ilvl="0">
      <w:lvlJc w:val="left"/>
      <w:lvlText w:val="%1."/>
      <w:numFmt w:val="decimal"/>
      <w:start w:val="10"/>
    </w:lvl>
  </w:abstractNum>
  <w:abstractNum w:abstractNumId="13">
    <w:nsid w:val="2D1D5AE9"/>
    <w:multiLevelType w:val="hybridMultilevel"/>
    <w:lvl w:ilvl="0">
      <w:lvlJc w:val="left"/>
      <w:lvlText w:val="%1."/>
      <w:numFmt w:val="decimal"/>
      <w:start w:val="11"/>
    </w:lvl>
  </w:abstractNum>
  <w:abstractNum w:abstractNumId="14">
    <w:nsid w:val="6763845E"/>
    <w:multiLevelType w:val="hybridMultilevel"/>
    <w:lvl w:ilvl="0">
      <w:lvlJc w:val="left"/>
      <w:lvlText w:val="%1."/>
      <w:numFmt w:val="decimal"/>
      <w:start w:val="12"/>
    </w:lvl>
  </w:abstractNum>
  <w:abstractNum w:abstractNumId="15">
    <w:nsid w:val="75A2A8D4"/>
    <w:multiLevelType w:val="hybridMultilevel"/>
    <w:lvl w:ilvl="0">
      <w:lvlJc w:val="left"/>
      <w:lvlText w:val="%1."/>
      <w:numFmt w:val="decimal"/>
      <w:start w:val="13"/>
    </w:lvl>
  </w:abstractNum>
  <w:abstractNum w:abstractNumId="16">
    <w:nsid w:val="8EDBDAB"/>
    <w:multiLevelType w:val="hybridMultilevel"/>
    <w:lvl w:ilvl="0">
      <w:lvlJc w:val="left"/>
      <w:lvlText w:val="%1."/>
      <w:numFmt w:val="decimal"/>
      <w:start w:val="14"/>
    </w:lvl>
  </w:abstractNum>
  <w:abstractNum w:abstractNumId="17">
    <w:nsid w:val="79838CB2"/>
    <w:multiLevelType w:val="hybridMultilevel"/>
    <w:lvl w:ilvl="0">
      <w:lvlJc w:val="left"/>
      <w:lvlText w:val="%1."/>
      <w:numFmt w:val="decimal"/>
      <w:start w:val="15"/>
    </w:lvl>
  </w:abstractNum>
  <w:abstractNum w:abstractNumId="18">
    <w:nsid w:val="4353D0CD"/>
    <w:multiLevelType w:val="hybridMultilevel"/>
    <w:lvl w:ilvl="0">
      <w:lvlJc w:val="left"/>
      <w:lvlText w:val="%1."/>
      <w:numFmt w:val="decimal"/>
      <w:start w:val="16"/>
    </w:lvl>
  </w:abstractNum>
  <w:abstractNum w:abstractNumId="19">
    <w:nsid w:val="B03E0C6"/>
    <w:multiLevelType w:val="hybridMultilevel"/>
    <w:lvl w:ilvl="0">
      <w:lvlJc w:val="left"/>
      <w:lvlText w:val="%1."/>
      <w:numFmt w:val="decimal"/>
      <w:start w:val="17"/>
    </w:lvl>
  </w:abstractNum>
  <w:abstractNum w:abstractNumId="20">
    <w:nsid w:val="189A769B"/>
    <w:multiLevelType w:val="hybridMultilevel"/>
    <w:lvl w:ilvl="0">
      <w:lvlJc w:val="left"/>
      <w:lvlText w:val="%1."/>
      <w:numFmt w:val="decimal"/>
      <w:start w:val="18"/>
    </w:lvl>
  </w:abstractNum>
  <w:abstractNum w:abstractNumId="21">
    <w:nsid w:val="54E49EB4"/>
    <w:multiLevelType w:val="hybridMultilevel"/>
    <w:lvl w:ilvl="0">
      <w:lvlJc w:val="left"/>
      <w:lvlText w:val="%1"/>
      <w:numFmt w:val="decimal"/>
      <w:start w:val="104"/>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67" Type="http://schemas.openxmlformats.org/officeDocument/2006/relationships/hyperlink" Target="https://www.sec.gov/Archives/edgar/data/1822928/000121390021015000/ea137482ex2_1empower.htm" TargetMode="External"/><Relationship Id="rId68" Type="http://schemas.openxmlformats.org/officeDocument/2006/relationships/hyperlink" Target="https://www.sec.gov/Archives/edgar/data/1822928/000119312521220722/d185405dex31.htm" TargetMode="External"/><Relationship Id="rId69" Type="http://schemas.openxmlformats.org/officeDocument/2006/relationships/hyperlink" Target="https://www.sec.gov/Archives/edgar/data/1822928/000143774923022802/ex_5577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2026-05-06T06:37:08Z</dcterms:created>
  <dcterms:modified xsi:type="dcterms:W3CDTF">2026-05-06T06:37:08Z</dcterms:modified>
</cp:coreProperties>
</file>