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xml:space="preserve">  </w:t>
      </w:r>
    </w:p>
    <w:p>
      <w:pPr>
        <w:pStyle w:val="TextBody"/>
        <w:bidi w:val="0"/>
        <w:spacing w:before="0" w:after="0"/>
        <w:jc w:val="center"/>
        <w:rPr/>
      </w:pPr>
      <w:r>
        <w:rPr/>
        <w:drawing>
          <wp:inline distT="0" distB="0" distL="0" distR="0">
            <wp:extent cx="594360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4605"/>
                    </a:xfrm>
                    <a:prstGeom prst="rect">
                      <a:avLst/>
                    </a:prstGeom>
                  </pic:spPr>
                </pic:pic>
              </a:graphicData>
            </a:graphic>
          </wp:inline>
        </w:drawing>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SD</w:t>
        <w:br/>
        <w:t>Specialized Disclosure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tbl>
      <w:tblPr>
        <w:tblW w:w="9558" w:type="dxa"/>
        <w:jc w:val="left"/>
        <w:tblInd w:w="0" w:type="dxa"/>
        <w:tblLayout w:type="fixed"/>
        <w:tblCellMar>
          <w:top w:w="28" w:type="dxa"/>
          <w:left w:w="28" w:type="dxa"/>
          <w:bottom w:w="28" w:type="dxa"/>
          <w:right w:w="28" w:type="dxa"/>
        </w:tblCellMar>
      </w:tblPr>
      <w:tblGrid>
        <w:gridCol w:w="1523"/>
        <w:gridCol w:w="1340"/>
        <w:gridCol w:w="1352"/>
        <w:gridCol w:w="320"/>
        <w:gridCol w:w="320"/>
        <w:gridCol w:w="320"/>
        <w:gridCol w:w="619"/>
        <w:gridCol w:w="535"/>
        <w:gridCol w:w="380"/>
        <w:gridCol w:w="320"/>
        <w:gridCol w:w="320"/>
        <w:gridCol w:w="320"/>
        <w:gridCol w:w="590"/>
        <w:gridCol w:w="590"/>
        <w:gridCol w:w="709"/>
      </w:tblGrid>
      <w:tr>
        <w:trPr/>
        <w:tc>
          <w:tcPr>
            <w:tcW w:w="15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Holley Inc.</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Delaware</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001-39599</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87-1727560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 of incorporation)</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(Commission</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File Number)</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(IRS Employer</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Identification No.)</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1A Burton Hills Blvd, Suite 240, Nashville, TN</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offices)</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37215</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(Zip code)</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Sarah Apple (270) 782-2900</w:t>
            </w:r>
          </w:p>
        </w:tc>
      </w:tr>
      <w:tr>
        <w:trPr/>
        <w:tc>
          <w:tcPr>
            <w:tcW w:w="955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(Name and telephone number, including area code, of the person to contact in connection with </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this report.) </w:t>
            </w:r>
          </w:p>
        </w:tc>
      </w:tr>
      <w:tr>
        <w:trPr/>
        <w:tc>
          <w:tcPr>
            <w:tcW w:w="955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Check the appropriate box to indicate the rule pursuant to which this form is being filed, and provide the period to which the information in this form applies: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
        <w:gridCol w:w="115"/>
        <w:gridCol w:w="116"/>
        <w:gridCol w:w="2876"/>
        <w:gridCol w:w="2876"/>
        <w:gridCol w:w="409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9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2"/>
              </w:rPr>
            </w:pPr>
            <w:r>
              <w:rPr>
                <w:rFonts w:ascii="Wingdings;sans-serif" w:hAnsi="Wingdings;sans-serif"/>
                <w:b w:val="false"/>
                <w:color w:val="000000"/>
                <w:sz w:val="22"/>
              </w:rPr>
              <w:t>x</w:t>
            </w:r>
          </w:p>
        </w:tc>
        <w:tc>
          <w:tcPr>
            <w:tcW w:w="9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Rule 13p-1 under the Securities Exchange Act (17 CFR 240.13p-1) for the reporting period from January 1 to December 31, 2025.</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2"/>
              </w:rPr>
            </w:pPr>
            <w:r>
              <w:rPr>
                <w:rFonts w:ascii="Wingdings;sans-serif" w:hAnsi="Wingdings;sans-serif"/>
                <w:b w:val="false"/>
                <w:color w:val="000000"/>
                <w:sz w:val="22"/>
              </w:rPr>
              <w:t>o</w:t>
            </w:r>
          </w:p>
        </w:tc>
        <w:tc>
          <w:tcPr>
            <w:tcW w:w="9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Rule 13q-1 under the Securities Exchange Act (17 CFR 240.13q-1) for the fiscal year ended.</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Section 1 – Conflict Minerals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Items 1.01 and 1.02 Conflict Minerals Disclosure and Report, Exhibit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Conflict Minerals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 copy of Holley Inc.’s Conflict Minerals Report for the year ended December 31, 2025 is provided as Exhibit 1.01 hereto and is publicly available at the Holley Investor website: https://investor.holley.com/financials/sec-filings/. The website and information accessible through it are not incorporated into this document.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Section 2 – Resource Extraction Issuer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Not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Section 3 –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 3.01 Exhibits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 xml:space="preserve">Exhibit 1.01 – </w:t>
      </w:r>
      <w:hyperlink w:anchor="exhibit101-holleyincxcmrfi.htm">
        <w:r>
          <w:rPr>
            <w:rStyle w:val="InternetLink"/>
          </w:rPr>
          <w:t>Conflict Minerals Report for the year ended December 31, 202</w:t>
        </w:r>
      </w:hyperlink>
      <w:hyperlink w:anchor="exhibit101-holleyincxcmrfi.htm">
        <w:r>
          <w:rPr>
            <w:rStyle w:val="InternetLink"/>
          </w:rPr>
          <w:t>5</w:t>
        </w:r>
      </w:hyperlink>
      <w:hyperlink w:anchor="exhibit101-holleyincxcmrfi.htm">
        <w:r>
          <w:rPr>
            <w:rStyle w:val="InternetLink"/>
          </w:rPr>
          <w:t xml:space="preserve"> as required by Items 1.01 and 1.02 of this For</w:t>
        </w:r>
      </w:hyperlink>
      <w:hyperlink w:anchor="exhibit101-holleyincxcmrfi.htm">
        <w:r>
          <w:rPr>
            <w:rStyle w:val="InternetLink"/>
          </w:rPr>
          <w:t>m</w:t>
        </w:r>
      </w:hyperlink>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40" w:type="dxa"/>
        <w:jc w:val="left"/>
        <w:tblInd w:w="0" w:type="dxa"/>
        <w:tblLayout w:type="fixed"/>
        <w:tblCellMar>
          <w:top w:w="28" w:type="dxa"/>
          <w:left w:w="28" w:type="dxa"/>
          <w:bottom w:w="28" w:type="dxa"/>
          <w:right w:w="28" w:type="dxa"/>
        </w:tblCellMar>
      </w:tblPr>
      <w:tblGrid>
        <w:gridCol w:w="688"/>
        <w:gridCol w:w="607"/>
        <w:gridCol w:w="610"/>
        <w:gridCol w:w="260"/>
        <w:gridCol w:w="260"/>
        <w:gridCol w:w="260"/>
        <w:gridCol w:w="769"/>
        <w:gridCol w:w="769"/>
        <w:gridCol w:w="1117"/>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HOLLEY INC.</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June 1, 2026</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/s/ Sarah Apple</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Sarah Apple</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SVP and General Counsel</w:t>
            </w:r>
          </w:p>
        </w:tc>
      </w:tr>
    </w:tbl>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74" w:type="dxa"/>
        <w:jc w:val="left"/>
        <w:tblInd w:w="0" w:type="dxa"/>
        <w:tblLayout w:type="fixed"/>
        <w:tblCellMar>
          <w:top w:w="28" w:type="dxa"/>
          <w:left w:w="28" w:type="dxa"/>
          <w:bottom w:w="28" w:type="dxa"/>
          <w:right w:w="28" w:type="dxa"/>
        </w:tblCellMar>
      </w:tblPr>
      <w:tblGrid>
        <w:gridCol w:w="311"/>
        <w:gridCol w:w="274"/>
        <w:gridCol w:w="389"/>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color w:val="000000"/>
                <w:sz w:val="15"/>
              </w:rPr>
            </w:pPr>
            <w:r>
              <w:rPr>
                <w:rFonts w:ascii="Times New Roman;serif" w:hAnsi="Times New Roman;serif"/>
                <w:b/>
                <w:color w:val="000000"/>
                <w:sz w:val="15"/>
              </w:rPr>
              <w:t>Exhibit 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6" w:after="283"/>
        <w:jc w:val="left"/>
        <w:rPr/>
      </w:pPr>
      <w:r>
        <w:rPr/>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Holley Inc.</w:t>
      </w:r>
    </w:p>
    <w:p>
      <w:pPr>
        <w:pStyle w:val="TextBody"/>
        <w:bidi w:val="0"/>
        <w:spacing w:lineRule="auto" w:line="288" w:before="18" w:after="283"/>
        <w:jc w:val="center"/>
        <w:rPr>
          <w:rFonts w:ascii="Times New Roman;serif" w:hAnsi="Times New Roman;serif"/>
          <w:b/>
          <w:color w:val="000000"/>
          <w:sz w:val="15"/>
        </w:rPr>
      </w:pPr>
      <w:r>
        <w:rPr>
          <w:rFonts w:ascii="Times New Roman;serif" w:hAnsi="Times New Roman;serif"/>
          <w:b/>
          <w:color w:val="000000"/>
          <w:sz w:val="15"/>
        </w:rPr>
        <w:t>Conflict Minerals Report</w:t>
      </w:r>
    </w:p>
    <w:p>
      <w:pPr>
        <w:pStyle w:val="TextBody"/>
        <w:bidi w:val="0"/>
        <w:spacing w:lineRule="auto" w:line="288" w:before="18" w:after="283"/>
        <w:jc w:val="center"/>
        <w:rPr>
          <w:rFonts w:ascii="Times New Roman;serif" w:hAnsi="Times New Roman;serif"/>
          <w:b/>
          <w:color w:val="000000"/>
          <w:sz w:val="15"/>
        </w:rPr>
      </w:pPr>
      <w:r>
        <w:rPr>
          <w:rFonts w:ascii="Times New Roman;serif" w:hAnsi="Times New Roman;serif"/>
          <w:b/>
          <w:color w:val="000000"/>
          <w:sz w:val="15"/>
        </w:rPr>
        <w:t>For The Year Ended December 31, 2025</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color w:val="000000"/>
          <w:sz w:val="15"/>
        </w:rPr>
      </w:pPr>
      <w:r>
        <w:rPr>
          <w:rFonts w:ascii="Times New Roman;serif" w:hAnsi="Times New Roman;serif"/>
          <w:b/>
          <w:color w:val="000000"/>
          <w:sz w:val="15"/>
        </w:rPr>
        <w:t>Section 1: Introduction and Company Overview</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This Conflict Minerals Report (“CMR”) pertains to Holley Inc., (herein referred to as “Holley,” “we,” or “our”) filed in accordance with Rule 13p-1 under the Securities Exchange Act of 1934 (“Rule 13p-1”) for calendar year 2025. Unless explicitly defined herein, terms used in this CMR adhere to definitions provided in Rule 13p-1 and Form SD. References to internet websites herein are provided solely as mandated by Rule 13p-1, and information accessible through these websites is not incorporated by reference into this Form SD. Statements presented in this CMR are grounded in our due diligence activities performed in good faith. Factors that may affect the accuracy of these statements include, but are not limited to, incomplete supplier data, unavailability of smelter and refiner data, and potential errors or omissions by suppliers or smelters.</w:t>
      </w:r>
    </w:p>
    <w:p>
      <w:pPr>
        <w:pStyle w:val="TextBody"/>
        <w:bidi w:val="0"/>
        <w:spacing w:before="22"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As a company who contracts to manufacture products containing tin, tantalum, tungsten and gold (“3TG”) that are necessary to the functionality and/or production of such products (the “3TG Products”), we maintain relationships with a global network of suppliers. Our 3TG Products are listed on Schedule A attached hereto. We depend on these suppliers to furnish information regarding the origin of the 3TG utilized in the 3TG Products. As a downstream purchaser, Holley, in most instances, is many steps removed from the smelters and refiners in our supply chain. Holley does not directly purchase 3TG from the Democratic Republic of the Congo or any adjoining countries (collectively the “Covered Countries”). Given Holley’s scale, the intricate nature of our products, and the extensive and dynamic nature of our supply chain, identifying suppliers upstream from our direct suppliers poses significant challenges.</w:t>
      </w:r>
    </w:p>
    <w:p>
      <w:pPr>
        <w:pStyle w:val="TextBody"/>
        <w:bidi w:val="0"/>
        <w:spacing w:before="22" w:after="283"/>
        <w:jc w:val="left"/>
        <w:rPr/>
      </w:pPr>
      <w:r>
        <w:rPr/>
      </w:r>
    </w:p>
    <w:p>
      <w:pPr>
        <w:pStyle w:val="TextBody"/>
        <w:bidi w:val="0"/>
        <w:spacing w:lineRule="auto" w:line="288" w:before="0" w:after="0"/>
        <w:jc w:val="left"/>
        <w:rPr>
          <w:rFonts w:ascii="Times New Roman;serif" w:hAnsi="Times New Roman;serif"/>
          <w:b/>
          <w:color w:val="000000"/>
          <w:sz w:val="15"/>
        </w:rPr>
      </w:pPr>
      <w:r>
        <w:rPr>
          <w:rFonts w:ascii="Times New Roman;serif" w:hAnsi="Times New Roman;serif"/>
          <w:b/>
          <w:color w:val="000000"/>
          <w:sz w:val="15"/>
        </w:rPr>
        <w:t>Section 2: Reasonable Country of Origin Inquiry</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Holley’s method for determining the country of origin of 3TG contained in our 3TG Products is to conduct a supply-chain survey with direct suppliers using the template developed by the Responsible Minerals Initiative (“RMI”) known as the Conflict Minerals Reporting Template (the “CMRT”). The CMRT includes questions regarding a direct supplier’s conflict-free policy, its due diligence process and information about its supply chain, including the names and locations of smelters and refiners as well as the country of origin of 3TG used by those facilities.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We surveyed our suppliers known or suspected to provide components and materials for our 3TG Products (“Impacted Suppliers”), which resulted in 185 inquiries. Some Impacted Suppliers received multiple inquiries, to increase the probability all Impacted Suppliers received our inquiry. While we requested that all Impacted Suppliers respond to the survey, we have an internal escalation process for following up with unresponsive Impacted Suppliers to increase the response rate. For 2025, we received 75 total responses. Based on these results, we have reason to believe that some of the 3TG in our supply chain may have originated from the Covered Countries and also have reason to believe that such 3TG may not be from recycled or scrap sources.</w:t>
      </w:r>
    </w:p>
    <w:p>
      <w:pPr>
        <w:pStyle w:val="TextBody"/>
        <w:bidi w:val="0"/>
        <w:spacing w:before="22" w:after="283"/>
        <w:jc w:val="left"/>
        <w:rPr/>
      </w:pPr>
      <w:r>
        <w:rPr/>
      </w:r>
    </w:p>
    <w:p>
      <w:pPr>
        <w:pStyle w:val="TextBody"/>
        <w:bidi w:val="0"/>
        <w:spacing w:lineRule="auto" w:line="288" w:before="0" w:after="0"/>
        <w:jc w:val="left"/>
        <w:rPr>
          <w:rFonts w:ascii="Times New Roman;serif" w:hAnsi="Times New Roman;serif"/>
          <w:b/>
          <w:color w:val="000000"/>
          <w:sz w:val="15"/>
        </w:rPr>
      </w:pPr>
      <w:r>
        <w:rPr>
          <w:rFonts w:ascii="Times New Roman;serif" w:hAnsi="Times New Roman;serif"/>
          <w:b/>
          <w:color w:val="000000"/>
          <w:sz w:val="15"/>
        </w:rPr>
        <w:t>Section 3: Design of Due Diligence Framework</w:t>
      </w:r>
    </w:p>
    <w:p>
      <w:pPr>
        <w:pStyle w:val="TextBody"/>
        <w:bidi w:val="0"/>
        <w:spacing w:before="35" w:after="283"/>
        <w:jc w:val="left"/>
        <w:rPr/>
      </w:pPr>
      <w:r>
        <w:rPr/>
      </w:r>
    </w:p>
    <w:p>
      <w:pPr>
        <w:pStyle w:val="TextBody"/>
        <w:bidi w:val="0"/>
        <w:spacing w:lineRule="auto" w:line="288" w:before="1" w:after="283"/>
        <w:jc w:val="both"/>
        <w:rPr>
          <w:rFonts w:ascii="Times New Roman;serif" w:hAnsi="Times New Roman;serif"/>
          <w:b w:val="false"/>
          <w:color w:val="000000"/>
          <w:sz w:val="15"/>
        </w:rPr>
      </w:pPr>
      <w:r>
        <w:rPr>
          <w:rFonts w:ascii="Times New Roman;serif" w:hAnsi="Times New Roman;serif"/>
          <w:b w:val="false"/>
          <w:color w:val="000000"/>
          <w:sz w:val="15"/>
        </w:rPr>
        <w:t>In accordance with Rule 13p-1, we undertook due diligence efforts on the source and chain of custody of 3TG in our supply chain. Rule 13p-1 requires that a registrant’s due diligence follow a nationally or internationally recognized due diligence framework. Holley relied upon the Organization for Economic Co-operation and Development Due Diligence Guidance for Responsible Supply Chains of Minerals from Conflict-Affected and High-Risk Areas and related Supplements for each of the conflict minerals (the “OECD Guidance”). The OECD Guidance is described in the five-steps noted in Section 4 below. Holley is designing its due diligence measures to be in conformity, in all material respects, with the OECD Guidance.</w:t>
      </w:r>
    </w:p>
    <w:p>
      <w:pPr>
        <w:pStyle w:val="TextBody"/>
        <w:bidi w:val="0"/>
        <w:spacing w:before="21" w:after="283"/>
        <w:jc w:val="left"/>
        <w:rPr/>
      </w:pPr>
      <w:r>
        <w:rPr/>
      </w:r>
    </w:p>
    <w:p>
      <w:pPr>
        <w:pStyle w:val="TextBody"/>
        <w:bidi w:val="0"/>
        <w:spacing w:lineRule="auto" w:line="288" w:before="0" w:after="0"/>
        <w:jc w:val="left"/>
        <w:rPr>
          <w:rFonts w:ascii="Times New Roman;serif" w:hAnsi="Times New Roman;serif"/>
          <w:b/>
          <w:color w:val="000000"/>
          <w:sz w:val="15"/>
        </w:rPr>
      </w:pPr>
      <w:r>
        <w:rPr>
          <w:rFonts w:ascii="Times New Roman;serif" w:hAnsi="Times New Roman;serif"/>
          <w:b/>
          <w:color w:val="000000"/>
          <w:sz w:val="15"/>
        </w:rPr>
        <w:t>Section 4: Due Diligence Measures Performed</w:t>
      </w:r>
    </w:p>
    <w:p>
      <w:pPr>
        <w:pStyle w:val="TextBody"/>
        <w:bidi w:val="0"/>
        <w:spacing w:before="36" w:after="283"/>
        <w:jc w:val="left"/>
        <w:rPr/>
      </w:pPr>
      <w:r>
        <w:rPr/>
      </w:r>
    </w:p>
    <w:p>
      <w:pPr>
        <w:pStyle w:val="TextBody"/>
        <w:bidi w:val="0"/>
        <w:spacing w:lineRule="auto" w:line="288"/>
        <w:jc w:val="left"/>
        <w:rPr>
          <w:rFonts w:ascii="Times New Roman;serif" w:hAnsi="Times New Roman;serif"/>
          <w:b w:val="false"/>
          <w:color w:val="000000"/>
          <w:sz w:val="15"/>
        </w:rPr>
      </w:pPr>
      <w:r>
        <w:rPr>
          <w:rFonts w:ascii="Times New Roman;serif" w:hAnsi="Times New Roman;serif"/>
          <w:b w:val="false"/>
          <w:color w:val="000000"/>
          <w:sz w:val="15"/>
        </w:rPr>
        <w:t>This Section 4 describes measures performed by us to exercise due diligence on the source and chain of custody of 3TG contained in our 3TG Products.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74" w:type="dxa"/>
        <w:jc w:val="left"/>
        <w:tblInd w:w="0" w:type="dxa"/>
        <w:tblLayout w:type="fixed"/>
        <w:tblCellMar>
          <w:top w:w="28" w:type="dxa"/>
          <w:left w:w="28" w:type="dxa"/>
          <w:bottom w:w="28" w:type="dxa"/>
          <w:right w:w="28" w:type="dxa"/>
        </w:tblCellMar>
      </w:tblPr>
      <w:tblGrid>
        <w:gridCol w:w="311"/>
        <w:gridCol w:w="274"/>
        <w:gridCol w:w="389"/>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color w:val="000000"/>
                <w:sz w:val="15"/>
              </w:rPr>
            </w:pPr>
            <w:r>
              <w:rPr>
                <w:rFonts w:ascii="Times New Roman;serif" w:hAnsi="Times New Roman;serif"/>
                <w:b/>
                <w:color w:val="000000"/>
                <w:sz w:val="15"/>
              </w:rPr>
              <w:t>Exhibit 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1" w:after="283"/>
        <w:jc w:val="left"/>
        <w:rPr/>
      </w:pPr>
      <w:r>
        <w:rPr/>
      </w:r>
    </w:p>
    <w:p>
      <w:pPr>
        <w:pStyle w:val="TextBody"/>
        <w:bidi w:val="0"/>
        <w:spacing w:lineRule="auto" w:line="288" w:before="0" w:after="0"/>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Step 1 – Establish Strong Company Management Systems</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i/>
          <w:color w:val="000000"/>
          <w:sz w:val="15"/>
        </w:rPr>
      </w:pPr>
      <w:r>
        <w:rPr>
          <w:rFonts w:ascii="Times New Roman;serif" w:hAnsi="Times New Roman;serif"/>
          <w:b w:val="false"/>
          <w:i/>
          <w:color w:val="000000"/>
          <w:sz w:val="15"/>
        </w:rPr>
        <w:t>Systems of Controls and Transparency</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We depend on our Impacted Suppliers to furnish information regarding the origin of the 3TG utilized in the 3TG Products. We distributed the CMRT to our suppliers, which is a standardized reporting template that facilitates the transfer of information through the supply chain regarding the country of origin of 3TG and smelters and refiners being utilized. As we continue to build out this program, we aim to refine our ability to send out and obtain information from our suppliers more efficiently.</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i/>
          <w:color w:val="000000"/>
          <w:sz w:val="15"/>
        </w:rPr>
      </w:pPr>
      <w:r>
        <w:rPr>
          <w:rFonts w:ascii="Times New Roman;serif" w:hAnsi="Times New Roman;serif"/>
          <w:b w:val="false"/>
          <w:i/>
          <w:color w:val="000000"/>
          <w:sz w:val="15"/>
        </w:rPr>
        <w:t>Internal Management Systems</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Holley established a management team to oversee our conflict minerals compliance program, which includes our Vice President of Internal Audit and our General Counsel. The team will report to Holley’s board of directors at least once annually with any program updates, as well as Holley’s disclosure committee before filing the Form SD.</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i/>
          <w:color w:val="000000"/>
          <w:sz w:val="15"/>
        </w:rPr>
      </w:pPr>
      <w:r>
        <w:rPr>
          <w:rFonts w:ascii="Times New Roman;serif" w:hAnsi="Times New Roman;serif"/>
          <w:b w:val="false"/>
          <w:i/>
          <w:color w:val="000000"/>
          <w:sz w:val="15"/>
        </w:rPr>
        <w:t>Supplier Engagement</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As part of the CMRT sent to Impacted Suppliers, we ask them to provide information on whether they established a responsible conflict minerals sourcing policy. Additionally, we ask if they require direct suppliers to source 3TG from smelters whose due diligence practices have been validated by an independent third-party audit. Lastly, we ask our Impacted Suppliers whether they have implemented due diligence measures for responsible sourcing. By asking these questions, we aim to have our Impacted Suppliers remain engaged in collaborating with Holley to attempt to responsibly source 3TG.</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i/>
          <w:color w:val="000000"/>
          <w:sz w:val="15"/>
        </w:rPr>
      </w:pPr>
      <w:r>
        <w:rPr>
          <w:rFonts w:ascii="Times New Roman;serif" w:hAnsi="Times New Roman;serif"/>
          <w:b w:val="false"/>
          <w:i/>
          <w:color w:val="000000"/>
          <w:sz w:val="15"/>
        </w:rPr>
        <w:t>Company Level Grievance Mechanism</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For any issues or concerns relating to environmental issues or human rights violations pertaining to our suppliers, Holley takes these maters very seriously and offers that any complaint be sent directly to Holley Code of Ethics Hotline at 833-202-5096 or by visiting https://www.lighthouse-services.com/holley.</w:t>
      </w:r>
    </w:p>
    <w:p>
      <w:pPr>
        <w:pStyle w:val="TextBody"/>
        <w:bidi w:val="0"/>
        <w:spacing w:before="19" w:after="283"/>
        <w:jc w:val="left"/>
        <w:rPr/>
      </w:pPr>
      <w:r>
        <w:rPr/>
      </w:r>
    </w:p>
    <w:p>
      <w:pPr>
        <w:pStyle w:val="TextBody"/>
        <w:bidi w:val="0"/>
        <w:spacing w:lineRule="auto" w:line="288" w:before="1" w:after="283"/>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Step 2 – Identify and Assess Risks in the Supply Chain</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 xml:space="preserve">To identify the country of origin of 3TG contained in our 3TG Products, we conducted a supply-chain survey with Impacted Suppliers using the CMRT.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We reviewed Impacted Supplier responses to determine whether further engagement is necessary. Holley confirms for each submitted CMRT:</w:t>
      </w:r>
    </w:p>
    <w:p>
      <w:pPr>
        <w:pStyle w:val="TextBody"/>
        <w:bidi w:val="0"/>
        <w:spacing w:before="0" w:after="0"/>
        <w:jc w:val="left"/>
        <w:rPr/>
      </w:pPr>
      <w:r>
        <w:rPr/>
      </w:r>
    </w:p>
    <w:p>
      <w:pPr>
        <w:pStyle w:val="TextBody"/>
        <w:bidi w:val="0"/>
        <w:spacing w:lineRule="auto" w:line="288" w:before="19" w:after="283"/>
        <w:ind w:left="0" w:right="0" w:hanging="284"/>
        <w:jc w:val="left"/>
        <w:rPr/>
      </w:pPr>
      <w:r>
        <w:rPr>
          <w:color w:val="000000"/>
        </w:rPr>
        <w:t>●</w:t>
      </w:r>
      <w:r>
        <w:rPr>
          <w:rFonts w:ascii="Times New Roman;serif" w:hAnsi="Times New Roman;serif"/>
          <w:b w:val="false"/>
          <w:color w:val="000000"/>
          <w:sz w:val="15"/>
        </w:rPr>
        <w:t>All required sections are filled out. If they are not filled out, we ask the Impacted Supplier to revise their CMRT and resubmit.</w:t>
      </w:r>
    </w:p>
    <w:p>
      <w:pPr>
        <w:pStyle w:val="TextBody"/>
        <w:bidi w:val="0"/>
        <w:spacing w:lineRule="auto" w:line="288" w:before="18" w:after="283"/>
        <w:ind w:left="0" w:right="0" w:hanging="284"/>
        <w:jc w:val="left"/>
        <w:rPr/>
      </w:pPr>
      <w:r>
        <w:rPr>
          <w:color w:val="000000"/>
        </w:rPr>
        <w:t>●</w:t>
      </w:r>
      <w:r>
        <w:rPr>
          <w:rFonts w:ascii="Times New Roman;serif" w:hAnsi="Times New Roman;serif"/>
          <w:b w:val="false"/>
          <w:color w:val="000000"/>
          <w:sz w:val="15"/>
        </w:rPr>
        <w:t>If a smelter in the supply chain sources 3TG from the Covered Countries, the below paragraph is required.</w:t>
      </w:r>
    </w:p>
    <w:p>
      <w:pPr>
        <w:pStyle w:val="TextBody"/>
        <w:bidi w:val="0"/>
        <w:spacing w:lineRule="auto" w:line="288" w:before="18" w:after="283"/>
        <w:ind w:left="0" w:right="0" w:hanging="284"/>
        <w:jc w:val="left"/>
        <w:rPr/>
      </w:pPr>
      <w:r>
        <w:rPr>
          <w:color w:val="000000"/>
        </w:rPr>
        <w:t>●</w:t>
      </w:r>
      <w:r>
        <w:rPr>
          <w:rFonts w:ascii="Times New Roman;serif" w:hAnsi="Times New Roman;serif"/>
          <w:b w:val="false"/>
          <w:color w:val="000000"/>
          <w:sz w:val="15"/>
        </w:rPr>
        <w:t>If a smelter in the supply chain sources 3TG from conflict-affected and high-risk areas (“CAHRA”), the below paragraph is required.</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As part of our efforts to track and investigate facilities in our supply chain that may be sourcing 3TG from the Covered Countries or in CAHRA, we require those Impacted Suppliers to then provide CMRTs on their suppliers who source 3TG from the Covered Countries or in CAHRA. We believe this will allow Holley to further understand and assess the level of risk of our Impacted Suppliers. We also ask Impacted Suppliers to confirm whether their smelters are RMAP conformant. Responsible Minerals Assurance Process (“RMAP”) identifies smelters and refiners that process materials from conflict-free sources.</w:t>
      </w:r>
    </w:p>
    <w:p>
      <w:pPr>
        <w:pStyle w:val="TextBody"/>
        <w:bidi w:val="0"/>
        <w:spacing w:before="20" w:after="283"/>
        <w:jc w:val="left"/>
        <w:rPr/>
      </w:pPr>
      <w:r>
        <w:rPr/>
      </w:r>
    </w:p>
    <w:p>
      <w:pPr>
        <w:pStyle w:val="TextBody"/>
        <w:bidi w:val="0"/>
        <w:spacing w:lineRule="auto" w:line="288" w:before="1" w:after="283"/>
        <w:jc w:val="both"/>
        <w:rPr>
          <w:rFonts w:ascii="Times New Roman;serif" w:hAnsi="Times New Roman;serif"/>
          <w:b w:val="false"/>
          <w:color w:val="000000"/>
          <w:sz w:val="15"/>
          <w:u w:val="single"/>
        </w:rPr>
      </w:pPr>
      <w:r>
        <w:rPr>
          <w:rFonts w:ascii="Times New Roman;serif" w:hAnsi="Times New Roman;serif"/>
          <w:b w:val="false"/>
          <w:color w:val="000000"/>
          <w:sz w:val="15"/>
          <w:u w:val="single"/>
        </w:rPr>
        <w:t>Step 3 – Design and Implement a Strategy to Respond to Identified Risks</w:t>
      </w:r>
    </w:p>
    <w:p>
      <w:pPr>
        <w:pStyle w:val="TextBody"/>
        <w:bidi w:val="0"/>
        <w:spacing w:before="35" w:after="283"/>
        <w:jc w:val="left"/>
        <w:rPr/>
      </w:pPr>
      <w:r>
        <w:rPr/>
      </w:r>
    </w:p>
    <w:p>
      <w:pPr>
        <w:pStyle w:val="TextBody"/>
        <w:bidi w:val="0"/>
        <w:spacing w:lineRule="auto" w:line="288" w:before="1" w:after="283"/>
        <w:jc w:val="left"/>
        <w:rPr>
          <w:rFonts w:ascii="Times New Roman;serif" w:hAnsi="Times New Roman;serif"/>
          <w:b w:val="false"/>
          <w:color w:val="000000"/>
          <w:sz w:val="15"/>
        </w:rPr>
      </w:pPr>
      <w:r>
        <w:rPr>
          <w:rFonts w:ascii="Times New Roman;serif" w:hAnsi="Times New Roman;serif"/>
          <w:b w:val="false"/>
          <w:color w:val="000000"/>
          <w:sz w:val="15"/>
        </w:rPr>
        <w:t>For any issues or concerns relating to environmental issues or human rights violations pertaining to our suppliers, Holley takes these matters very seriously and offers that any complaint be sent directly to Holley Code of Ethics Hotline at 833-202-5096 or by visiting https://www.lighthouse-services.com/holley.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41" w:after="283"/>
        <w:jc w:val="left"/>
        <w:rPr/>
      </w:pPr>
      <w:r>
        <w:rPr/>
      </w:r>
    </w:p>
    <w:p>
      <w:pPr>
        <w:pStyle w:val="TextBody"/>
        <w:bidi w:val="0"/>
        <w:spacing w:lineRule="auto" w:line="288" w:before="0" w:after="0"/>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Step 4 – Carry Out Independent Third-Party Audit of Smelter/Refiner’s Due Diligence Practices</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 xml:space="preserve">Holley does not perform direct audits of the 3TG smelters and refiners within our supply network.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Step 5 – Report Annually on Supply Chain Due Diligence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We are filing this CMR with the Securities and Exchange Commission and also making the CMR publicly available on our Holley Investor Website.</w:t>
      </w:r>
    </w:p>
    <w:p>
      <w:pPr>
        <w:pStyle w:val="TextBody"/>
        <w:bidi w:val="0"/>
        <w:spacing w:before="35" w:after="283"/>
        <w:jc w:val="left"/>
        <w:rPr/>
      </w:pPr>
      <w:r>
        <w:rPr/>
      </w:r>
    </w:p>
    <w:p>
      <w:pPr>
        <w:pStyle w:val="TextBody"/>
        <w:bidi w:val="0"/>
        <w:spacing w:lineRule="auto" w:line="288" w:before="0" w:after="0"/>
        <w:jc w:val="left"/>
        <w:rPr>
          <w:rFonts w:ascii="Times New Roman;serif" w:hAnsi="Times New Roman;serif"/>
          <w:b/>
          <w:color w:val="000000"/>
          <w:sz w:val="15"/>
        </w:rPr>
      </w:pPr>
      <w:r>
        <w:rPr>
          <w:rFonts w:ascii="Times New Roman;serif" w:hAnsi="Times New Roman;serif"/>
          <w:b/>
          <w:color w:val="000000"/>
          <w:sz w:val="15"/>
        </w:rPr>
        <w:t>Section 5: Due Diligence Results</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We depend on our Impacted Suppliers to furnish information regarding the origin of the 3TG utilized in the 3TG Products. Impacted Suppliers are similarly reliant upon information provided by their suppliers. Based on the information provided by Impacted Suppliers in the CMRT survey and the due diligence measures described above, we have reason to believe that 3TG were sourced from a total of 40 suppliers, for use in parts and components supplied to Holley, from the smelters listed on Schedule B attached hereto. Furthermore, based on the information obtained as a result of the due diligence measures described above, we reasonably determined that the minerals processed by these smelters may be from the countries of origin listed on Schedule C attached hereto.</w:t>
      </w:r>
    </w:p>
    <w:p>
      <w:pPr>
        <w:pStyle w:val="TextBody"/>
        <w:bidi w:val="0"/>
        <w:spacing w:before="21" w:after="283"/>
        <w:jc w:val="left"/>
        <w:rPr/>
      </w:pPr>
      <w:r>
        <w:rPr/>
      </w:r>
    </w:p>
    <w:p>
      <w:pPr>
        <w:pStyle w:val="TextBody"/>
        <w:bidi w:val="0"/>
        <w:spacing w:lineRule="auto" w:line="288" w:before="1" w:after="283"/>
        <w:jc w:val="left"/>
        <w:rPr>
          <w:rFonts w:ascii="Times New Roman;serif" w:hAnsi="Times New Roman;serif"/>
          <w:b/>
          <w:color w:val="000000"/>
          <w:sz w:val="15"/>
        </w:rPr>
      </w:pPr>
      <w:r>
        <w:rPr>
          <w:rFonts w:ascii="Times New Roman;serif" w:hAnsi="Times New Roman;serif"/>
          <w:b/>
          <w:color w:val="000000"/>
          <w:sz w:val="15"/>
        </w:rPr>
        <w:t>Section 6: Efforts to Determine the Mine or Location of Origin</w:t>
      </w:r>
    </w:p>
    <w:p>
      <w:pPr>
        <w:pStyle w:val="TextBody"/>
        <w:bidi w:val="0"/>
        <w:spacing w:before="35" w:after="283"/>
        <w:jc w:val="left"/>
        <w:rPr/>
      </w:pPr>
      <w:r>
        <w:rPr/>
      </w:r>
    </w:p>
    <w:p>
      <w:pPr>
        <w:pStyle w:val="TextBody"/>
        <w:bidi w:val="0"/>
        <w:spacing w:lineRule="auto" w:line="288" w:before="0" w:after="0"/>
        <w:jc w:val="both"/>
        <w:rPr>
          <w:rFonts w:ascii="Times New Roman;serif" w:hAnsi="Times New Roman;serif"/>
          <w:b w:val="false"/>
          <w:color w:val="000000"/>
          <w:sz w:val="15"/>
        </w:rPr>
      </w:pPr>
      <w:r>
        <w:rPr>
          <w:rFonts w:ascii="Times New Roman;serif" w:hAnsi="Times New Roman;serif"/>
          <w:b w:val="false"/>
          <w:color w:val="000000"/>
          <w:sz w:val="15"/>
        </w:rPr>
        <w:t>Holley’s efforts to determine the mines or locations of origin of the 3TG in our supply chain include continued implementation of the due diligence measures described above, including conducting surveys of our Impacted Suppliers utilizing the CMRT.</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color w:val="000000"/>
          <w:sz w:val="15"/>
        </w:rPr>
      </w:pPr>
      <w:r>
        <w:rPr>
          <w:rFonts w:ascii="Times New Roman;serif" w:hAnsi="Times New Roman;serif"/>
          <w:b/>
          <w:color w:val="000000"/>
          <w:sz w:val="15"/>
        </w:rPr>
        <w:t>Section 7: Steps to be Taken to Mitigate Risk</w:t>
      </w:r>
    </w:p>
    <w:p>
      <w:pPr>
        <w:pStyle w:val="TextBody"/>
        <w:bidi w:val="0"/>
        <w:spacing w:before="35" w:after="283"/>
        <w:jc w:val="left"/>
        <w:rPr/>
      </w:pPr>
      <w:r>
        <w:rPr/>
      </w:r>
    </w:p>
    <w:p>
      <w:pPr>
        <w:pStyle w:val="TextBody"/>
        <w:bidi w:val="0"/>
        <w:spacing w:lineRule="auto" w:line="288" w:before="1" w:after="283"/>
        <w:jc w:val="left"/>
        <w:rPr>
          <w:rFonts w:ascii="Times New Roman;serif" w:hAnsi="Times New Roman;serif"/>
          <w:b w:val="false"/>
          <w:color w:val="000000"/>
          <w:sz w:val="15"/>
        </w:rPr>
      </w:pPr>
      <w:r>
        <w:rPr>
          <w:rFonts w:ascii="Times New Roman;serif" w:hAnsi="Times New Roman;serif"/>
          <w:b w:val="false"/>
          <w:color w:val="000000"/>
          <w:sz w:val="15"/>
        </w:rPr>
        <w:t>Holley intends to take the following steps to improve our due diligence process, including:</w:t>
      </w:r>
    </w:p>
    <w:p>
      <w:pPr>
        <w:pStyle w:val="TextBody"/>
        <w:bidi w:val="0"/>
        <w:spacing w:lineRule="auto" w:line="288" w:before="18" w:after="283"/>
        <w:ind w:left="0" w:right="0" w:hanging="360"/>
        <w:jc w:val="left"/>
        <w:rPr/>
      </w:pPr>
      <w:r>
        <w:rPr>
          <w:color w:val="000000"/>
        </w:rPr>
        <w:t>●</w:t>
      </w:r>
      <w:r>
        <w:rPr>
          <w:rFonts w:ascii="Times New Roman;serif" w:hAnsi="Times New Roman;serif"/>
          <w:b w:val="false"/>
          <w:color w:val="000000"/>
          <w:sz w:val="15"/>
        </w:rPr>
        <w:t>Engage with our suppliers more regularly and earlier in the year in an attempt to increase overall supplier response rates and improve the content of supplier responses;</w:t>
      </w:r>
    </w:p>
    <w:p>
      <w:pPr>
        <w:pStyle w:val="TextBody"/>
        <w:bidi w:val="0"/>
        <w:spacing w:lineRule="auto" w:line="288" w:before="1" w:after="283"/>
        <w:ind w:left="0" w:right="0" w:hanging="360"/>
        <w:jc w:val="left"/>
        <w:rPr/>
      </w:pPr>
      <w:r>
        <w:rPr>
          <w:color w:val="000000"/>
        </w:rPr>
        <w:t>●</w:t>
      </w:r>
      <w:r>
        <w:rPr>
          <w:rFonts w:ascii="Times New Roman;serif" w:hAnsi="Times New Roman;serif"/>
          <w:b w:val="false"/>
          <w:color w:val="000000"/>
          <w:sz w:val="15"/>
        </w:rPr>
        <w:t>Encourage suppliers that manufacture components or materials containing 3TG to source them from validated smelters when sufficient options exist for procuring conflict-free materials; and</w:t>
      </w:r>
    </w:p>
    <w:p>
      <w:pPr>
        <w:pStyle w:val="TextBody"/>
        <w:bidi w:val="0"/>
        <w:spacing w:lineRule="auto" w:line="288" w:before="1" w:after="283"/>
        <w:ind w:left="0" w:right="0" w:hanging="360"/>
        <w:jc w:val="left"/>
        <w:rPr/>
      </w:pPr>
      <w:r>
        <w:rPr>
          <w:color w:val="000000"/>
        </w:rPr>
        <w:t>●</w:t>
      </w:r>
      <w:r>
        <w:rPr>
          <w:rFonts w:ascii="Times New Roman;serif" w:hAnsi="Times New Roman;serif"/>
          <w:b w:val="false"/>
          <w:color w:val="000000"/>
          <w:sz w:val="15"/>
        </w:rPr>
        <w:t>For those Impacted Suppliers who are unsure whether they source 3TG from the Covered Countries or in CAHRA, we aim to work with/encourage them to improve their reporting capabilities so as to increase transparency.</w:t>
      </w:r>
    </w:p>
    <w:p>
      <w:pPr>
        <w:pStyle w:val="TextBody"/>
        <w:bidi w:val="0"/>
        <w:spacing w:before="19" w:after="283"/>
        <w:jc w:val="left"/>
        <w:rPr/>
      </w:pPr>
      <w:r>
        <w:rPr/>
      </w:r>
    </w:p>
    <w:p>
      <w:pPr>
        <w:pStyle w:val="TextBody"/>
        <w:bidi w:val="0"/>
        <w:spacing w:lineRule="auto" w:line="288" w:before="1" w:after="283"/>
        <w:jc w:val="left"/>
        <w:rPr>
          <w:rFonts w:ascii="Times New Roman;serif" w:hAnsi="Times New Roman;serif"/>
          <w:b/>
          <w:color w:val="000000"/>
          <w:sz w:val="15"/>
          <w:u w:val="single"/>
        </w:rPr>
      </w:pPr>
      <w:r>
        <w:rPr>
          <w:rFonts w:ascii="Times New Roman;serif" w:hAnsi="Times New Roman;serif"/>
          <w:b/>
          <w:color w:val="000000"/>
          <w:sz w:val="15"/>
          <w:u w:val="single"/>
        </w:rPr>
        <w:t>Forward-Looking Statements</w:t>
      </w:r>
    </w:p>
    <w:p>
      <w:pPr>
        <w:pStyle w:val="TextBody"/>
        <w:bidi w:val="0"/>
        <w:spacing w:before="35" w:after="283"/>
        <w:jc w:val="left"/>
        <w:rPr/>
      </w:pPr>
      <w:r>
        <w:rPr/>
      </w:r>
    </w:p>
    <w:p>
      <w:pPr>
        <w:pStyle w:val="TextBody"/>
        <w:bidi w:val="0"/>
        <w:spacing w:lineRule="auto" w:line="288"/>
        <w:jc w:val="both"/>
        <w:rPr>
          <w:rFonts w:ascii="Times New Roman;serif" w:hAnsi="Times New Roman;serif"/>
          <w:b w:val="false"/>
          <w:color w:val="000000"/>
          <w:sz w:val="15"/>
        </w:rPr>
      </w:pPr>
      <w:r>
        <w:rPr>
          <w:rFonts w:ascii="Times New Roman;serif" w:hAnsi="Times New Roman;serif"/>
          <w:b w:val="false"/>
          <w:color w:val="000000"/>
          <w:sz w:val="15"/>
        </w:rPr>
        <w:t>Certain statements in this report relate to future events and expectations and are forward-looking statements within the meaning of the Private Securities Litigation Reform Act of 1995. Words such as “believe,” “estimate,” “will be,” “will,” “would,” “expect,” “anticipate,” “aim,” “plan,” “project,” “intend,” “could,” “should” or other similar words or expressions often identify forward-looking statements. Examples of forward-looking statements include statements relating to the results of our due diligence and our future plans, and any other statement that does not directly relate to any historical or current fact. Forward-looking statements are based on our current expectations and assumptions, which may not prove to be accurate. These statements are not guarantees and are subject to risks, uncertainties and changes in circumstances that are difficult to predict. Actual outcomes and results may differ materially from these forward-looking statements. As a result, these statements speak only as of the date they are made and we undertake no obligation to update or revise any forward-looking statement, except as required by federal securities laws.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1" w:after="283"/>
        <w:jc w:val="left"/>
        <w:rPr/>
      </w:pPr>
      <w:r>
        <w:rPr/>
      </w:r>
    </w:p>
    <w:p>
      <w:pPr>
        <w:pStyle w:val="TextBody"/>
        <w:bidi w:val="0"/>
        <w:spacing w:lineRule="auto" w:line="288" w:before="0" w:after="0"/>
        <w:ind w:left="0" w:right="0" w:firstLine="380"/>
        <w:jc w:val="left"/>
        <w:rPr>
          <w:rFonts w:ascii="Times New Roman;serif" w:hAnsi="Times New Roman;serif"/>
          <w:b/>
          <w:color w:val="000000"/>
          <w:sz w:val="15"/>
        </w:rPr>
      </w:pPr>
      <w:r>
        <w:rPr>
          <w:rFonts w:ascii="Times New Roman;serif" w:hAnsi="Times New Roman;serif"/>
          <w:b/>
          <w:color w:val="000000"/>
          <w:sz w:val="15"/>
        </w:rPr>
        <w:t>Schedule A to Conflict Minerals Report</w:t>
      </w:r>
    </w:p>
    <w:p>
      <w:pPr>
        <w:pStyle w:val="TextBody"/>
        <w:bidi w:val="0"/>
        <w:spacing w:before="19" w:after="283"/>
        <w:jc w:val="left"/>
        <w:rPr/>
      </w:pPr>
      <w:r>
        <w:rPr/>
      </w:r>
    </w:p>
    <w:p>
      <w:pPr>
        <w:pStyle w:val="TextBody"/>
        <w:bidi w:val="0"/>
        <w:spacing w:lineRule="auto" w:line="288" w:before="1" w:after="283"/>
        <w:jc w:val="center"/>
        <w:rPr>
          <w:rFonts w:ascii="Times New Roman;serif" w:hAnsi="Times New Roman;serif"/>
          <w:b w:val="false"/>
          <w:color w:val="000000"/>
          <w:sz w:val="15"/>
          <w:u w:val="single"/>
        </w:rPr>
      </w:pPr>
      <w:r>
        <w:rPr>
          <w:rFonts w:ascii="Times New Roman;serif" w:hAnsi="Times New Roman;serif"/>
          <w:b w:val="false"/>
          <w:color w:val="000000"/>
          <w:sz w:val="15"/>
          <w:u w:val="single"/>
        </w:rPr>
        <w:t>Description of Holley Products</w:t>
      </w:r>
    </w:p>
    <w:p>
      <w:pPr>
        <w:pStyle w:val="TextBody"/>
        <w:bidi w:val="0"/>
        <w:spacing w:before="0" w:after="0"/>
        <w:jc w:val="left"/>
        <w:rPr/>
      </w:pPr>
      <w:r>
        <w:rPr/>
      </w:r>
    </w:p>
    <w:p>
      <w:pPr>
        <w:pStyle w:val="TextBody"/>
        <w:bidi w:val="0"/>
        <w:spacing w:before="53" w:after="283"/>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Ignition Coils Ignition Coil Blaster Piston Brakes Connectors</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Pins Clamps Wiring Cables Harnesses Terminals Insulation Headers Brackets</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Instrument Panels Switches Keyboards</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Lock Stopper Lock Retainers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41" w:after="283"/>
        <w:jc w:val="left"/>
        <w:rPr/>
      </w:pPr>
      <w:r>
        <w:rPr/>
      </w:r>
    </w:p>
    <w:p>
      <w:pPr>
        <w:pStyle w:val="TextBody"/>
        <w:bidi w:val="0"/>
        <w:spacing w:lineRule="auto" w:line="307" w:before="0" w:after="0"/>
        <w:ind w:left="0" w:right="0" w:firstLine="368"/>
        <w:jc w:val="left"/>
        <w:rPr>
          <w:rFonts w:ascii="Times New Roman;serif" w:hAnsi="Times New Roman;serif"/>
          <w:b/>
          <w:color w:val="000000"/>
          <w:sz w:val="15"/>
        </w:rPr>
      </w:pPr>
      <w:r>
        <w:rPr>
          <w:rFonts w:ascii="Times New Roman;serif" w:hAnsi="Times New Roman;serif"/>
          <w:b/>
          <w:color w:val="000000"/>
          <w:sz w:val="15"/>
        </w:rPr>
        <w:t>Schedule B to Conflict Minerals Report</w:t>
      </w:r>
    </w:p>
    <w:p>
      <w:pPr>
        <w:pStyle w:val="TextBody"/>
        <w:bidi w:val="0"/>
        <w:spacing w:before="5" w:after="283"/>
        <w:jc w:val="left"/>
        <w:rPr/>
      </w:pPr>
      <w:r>
        <w:rPr/>
      </w:r>
    </w:p>
    <w:tbl>
      <w:tblPr>
        <w:tblW w:w="6885" w:type="dxa"/>
        <w:jc w:val="left"/>
        <w:tblInd w:w="0" w:type="dxa"/>
        <w:tblLayout w:type="fixed"/>
        <w:tblCellMar>
          <w:top w:w="28" w:type="dxa"/>
          <w:left w:w="28" w:type="dxa"/>
          <w:bottom w:w="28" w:type="dxa"/>
          <w:right w:w="28" w:type="dxa"/>
        </w:tblCellMar>
      </w:tblPr>
      <w:tblGrid>
        <w:gridCol w:w="363"/>
        <w:gridCol w:w="319"/>
        <w:gridCol w:w="324"/>
        <w:gridCol w:w="1723"/>
        <w:gridCol w:w="1723"/>
        <w:gridCol w:w="2433"/>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343A40"/>
                <w:sz w:val="22"/>
              </w:rPr>
            </w:pPr>
            <w:r>
              <w:rPr>
                <w:rFonts w:ascii="Times New Roman;serif" w:hAnsi="Times New Roman;serif"/>
                <w:b/>
                <w:color w:val="343A40"/>
                <w:sz w:val="22"/>
              </w:rPr>
              <w:t>Metal</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343A40"/>
                <w:sz w:val="22"/>
              </w:rPr>
            </w:pPr>
            <w:r>
              <w:rPr>
                <w:rFonts w:ascii="Times New Roman;serif" w:hAnsi="Times New Roman;serif"/>
                <w:b/>
                <w:color w:val="343A40"/>
                <w:sz w:val="22"/>
              </w:rPr>
              <w:t>Smelter Name</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A.L.M.T. Corp.</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Advanced Chemical Company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Aida Chemical Industries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Agosi AG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Almalyk Mining and Metallurgical Complex (AMMC)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AngloGold Ashanti Corrego do Sitio Mineracao</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Argor-Heraeus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Asahi Pretec Corp.</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Asaka Riken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Kennametal Huntsville</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Aurubis AG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Bangko Sentral ng Pilipinas (Central Bank of the Philippines)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Boliden Ronnskar</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 Hafner GmbH + Co. KG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Caridad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CCR Refinery - Glencore Canada Corporation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Cendres + Metaux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Yunnan Copper Industry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Guangdong Xianglu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Chenzhou Yunxiang Mining and Metallurgy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Chimet S.p.A.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Chongyi Zhangyuan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Chugai Mining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Guangdong Rising Rare Metals-EO Materials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Alpha Assembly Solutions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Aries Kencana Sejahtera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Premium Tin Indonesia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Daye Non-Ferrous Metals Mining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DSC (Do Sung Corporation)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Dongguan Best Alloys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Dowa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Dowa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Eco-System Recycling Co., Ltd. East Plant</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87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EM Vinto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51" w:type="dxa"/>
        <w:jc w:val="left"/>
        <w:tblInd w:w="0" w:type="dxa"/>
        <w:tblLayout w:type="fixed"/>
        <w:tblCellMar>
          <w:top w:w="28" w:type="dxa"/>
          <w:left w:w="28" w:type="dxa"/>
          <w:bottom w:w="28" w:type="dxa"/>
          <w:right w:w="28" w:type="dxa"/>
        </w:tblCellMar>
      </w:tblPr>
      <w:tblGrid>
        <w:gridCol w:w="364"/>
        <w:gridCol w:w="318"/>
        <w:gridCol w:w="324"/>
        <w:gridCol w:w="1857"/>
        <w:gridCol w:w="1857"/>
        <w:gridCol w:w="2631"/>
      </w:tblGrid>
      <w:tr>
        <w:trPr/>
        <w:tc>
          <w:tcPr>
            <w:tcW w:w="3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Estanho de Rondonia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F&amp;X Electro-Materials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Fenix Metals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JSC Novosibirsk Refinery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Gejiu Non-Ferrous Metal Processing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Gejiu Zili Mining And Metallurgy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Global Tungsten &amp; Powders LLC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XIMEI RESOURCES (GUANGDONG) LIMITED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Hangzhou Fuchunjiang Smelting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LT Metal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Heimerle + Meule GmbH</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Heraeus Metals Hong Kong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Heraeus Germany GmbH Co. KG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Hunan Chenzhou Mining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Hunan Jintai New Material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Hunan Guiyang yinxing Nonferrous Smelting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HwaSeong CJ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Inner Mongolia Qiankun Gold and Silver Refinery Share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Ishifuku Metal Industry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Istanbul Gold Refinery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Japan Mint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Japan New Metals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Copper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JiuJiang JinXin Nonferrous Metals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Jiujiang Tanbre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Asahi Refining USA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Asahi Refining Canada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JSC Ekaterinburg Non-Ferrous Metal Processing Plant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JSC Uralelectromed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JX Nippon Mining &amp; Metals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Gejiu Kai Meng Industry and Trade LLC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Kazakhmys Smelting LLC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Kazzinc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Kennametal Fallon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Kennecott Utah Copper LLC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Kojima Chemicals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Kyrgyzaltyn JSC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Lingbao Gold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34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China Tin Group Co., Ltd.</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634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AMG Brasil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06" w:type="dxa"/>
        <w:jc w:val="left"/>
        <w:tblInd w:w="0" w:type="dxa"/>
        <w:tblLayout w:type="fixed"/>
        <w:tblCellMar>
          <w:top w:w="28" w:type="dxa"/>
          <w:left w:w="28" w:type="dxa"/>
          <w:bottom w:w="28" w:type="dxa"/>
          <w:right w:w="28" w:type="dxa"/>
        </w:tblCellMar>
      </w:tblPr>
      <w:tblGrid>
        <w:gridCol w:w="363"/>
        <w:gridCol w:w="319"/>
        <w:gridCol w:w="324"/>
        <w:gridCol w:w="2277"/>
        <w:gridCol w:w="2277"/>
        <w:gridCol w:w="3246"/>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LS MnM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Luoyang Zijin Yinhui Gold Refinery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Materion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Matsuda Sangyo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Metallic Resources,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Metalor Technologies (Suzhou)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Metalor Technologies (Hong Kong)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Metalor Technologies (Singapore) Pte.,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Metalor Technologies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Metalor USA Refining Corporation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Metalurgica Met-Mex Penoles S.A. De C.V.</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Metallurgical Products India Pvt.,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Mineracao Taboca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Mineracao Taboca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Minsur</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Mitsubishi Materials Corporation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Mitsubishi Materials Corporation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Mitsui Mining and Smelting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Mitsui Mining and Smelting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NPM Silmet AS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Moscow Special Alloys Processing Plant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Nadir Metal Rafineri San. Ve Tic. A.S.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New Nanshan Technology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Navoi Mining and Metallurgical Combinat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Nihon Material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Ningxia Orient Tantalum Industry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Novosibirsk Tin Combine</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O.M. Manufacturing (Thailand)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Ohura Precious Metal Industry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OJSC "The Gulidov Krasnoyarsk Non-Ferrous Metals Plant" (OJSC Krastsvetmet)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Operaciones Metalurgicas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MKS PAMP SA</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80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Penglai Penggang Gold Industry Co., Ltd.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26" w:type="dxa"/>
        <w:jc w:val="left"/>
        <w:tblInd w:w="0" w:type="dxa"/>
        <w:tblLayout w:type="fixed"/>
        <w:tblCellMar>
          <w:top w:w="28" w:type="dxa"/>
          <w:left w:w="28" w:type="dxa"/>
          <w:bottom w:w="28" w:type="dxa"/>
          <w:right w:w="28" w:type="dxa"/>
        </w:tblCellMar>
      </w:tblPr>
      <w:tblGrid>
        <w:gridCol w:w="363"/>
        <w:gridCol w:w="319"/>
        <w:gridCol w:w="324"/>
        <w:gridCol w:w="1615"/>
        <w:gridCol w:w="1615"/>
        <w:gridCol w:w="2290"/>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Prioksky Plant of Non-Ferrous Metals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Aneka Tambang (Persero) Tbk</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Mitra Stania Prima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Prima Timah Utama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Timah Tbk Kundur</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Timah Tbk Mentok</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PX Precinox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Rand Refinery (Pty)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Yanling Jincheng Tantalum &amp; Niobium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Royal Canadian Mint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Rui Da Hung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Sabin Metal Corp.</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Samduck Precious Metals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Samwon Metals Corp.</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SEMPSA Joyeria Plateria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Shandong Tiancheng Biological Gold Industrial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Shandong Zhaojin Gold &amp; Silver Refinery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Sichuan Tianze Precious Metals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SOE Shyolkovsky Factory of Secondary Precious Metals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Solar Applied Materials Technology Corp.</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Solikamsk Magnesium Works OAO</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Sumitomo Metal Mining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Super Dragon Technology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Taki Chemical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Tanaka Kikinzoku Kogyo K.K.</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Telex Metals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Thaisarco</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Gejiu Yunxin Nonferrous Electrolysis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Great Wall Precious Metals Co., Ltd. of CBPM</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Shandong Gold Smelting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Tokuriki Honten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Tongling Nonferrous Metals Group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Torecom</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Ulba Metallurgical Plant JSC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Umicore S.A. Business Unit Precious Metals Refining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United Precious Metal Refining,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5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Valcambi S.A.</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5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VQB Mineral and Trading Group JSC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06" w:type="dxa"/>
        <w:jc w:val="left"/>
        <w:tblInd w:w="0" w:type="dxa"/>
        <w:tblLayout w:type="fixed"/>
        <w:tblCellMar>
          <w:top w:w="28" w:type="dxa"/>
          <w:left w:w="28" w:type="dxa"/>
          <w:bottom w:w="28" w:type="dxa"/>
          <w:right w:w="28" w:type="dxa"/>
        </w:tblCellMar>
      </w:tblPr>
      <w:tblGrid>
        <w:gridCol w:w="363"/>
        <w:gridCol w:w="318"/>
        <w:gridCol w:w="325"/>
        <w:gridCol w:w="1579"/>
        <w:gridCol w:w="1579"/>
        <w:gridCol w:w="2242"/>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Western Australian Mint (T/a The Perth Mint)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White Solder Metalurgia e Mineracao Ltda.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Wolfram Bergbau und Hutten AG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Xiamen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Yamakin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Yokohama Metal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Yunnan Chengfeng Non-ferrous Metals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 Smelting Branch of Yunnan Tin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Zhongyuan Gold Smelter of Zhongjin Gold Corporation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 Refinery of Zijin Mining Group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Morris and Watson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SAFINA A.S.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Minmetals Gao'an Non-ferrous Metals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Umicore Precious Metals Thailand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Ganzhou Jiangwu Ferrotungsten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Yaosheng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Xinsheng Tungsten Industry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Malipo Haiyu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Xiamen Tungsten (H.C.)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Gan Bei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Magnu's Minerais Metais e Ligas Ltda.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Hengyang King Xing Lifeng New Materials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Ganzhou Seadragon W &amp; Mo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Melt Metais e Ligas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Asia Tungsten Products Vietnam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ATD Makmur Mandiri Jaya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 Block Metals, LLC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FIR Metals &amp; Resource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Jiujiang Zhongao Tantalum &amp; Niobium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XinXing HaoRong Electronic Material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MMTC-PAMP India Pvt., Ltd.</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540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KGHM Polska Miedz Spolka Akcyjna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71" w:type="dxa"/>
        <w:jc w:val="left"/>
        <w:tblInd w:w="0" w:type="dxa"/>
        <w:tblLayout w:type="fixed"/>
        <w:tblCellMar>
          <w:top w:w="28" w:type="dxa"/>
          <w:left w:w="28" w:type="dxa"/>
          <w:bottom w:w="28" w:type="dxa"/>
          <w:right w:w="28" w:type="dxa"/>
        </w:tblCellMar>
      </w:tblPr>
      <w:tblGrid>
        <w:gridCol w:w="364"/>
        <w:gridCol w:w="320"/>
        <w:gridCol w:w="322"/>
        <w:gridCol w:w="2508"/>
        <w:gridCol w:w="2508"/>
        <w:gridCol w:w="354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Dinghai Tantalum &amp; Niobium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Hunan Shizhuyuan Nonferrous Metals Co., Ltd. Chenzhou Tungsten Products Branch</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Fidelity Printers and Refiners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Singway Technology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O.M. Manufacturing Philippines,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Shandong Humon Smelting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Shenzhen Zhonghenglong Real Industry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KEMET de Mexico</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H.C. Starck Tungsten GmbH</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TANIOBIS Smelting GmbH &amp; Co. KG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Masan High-Tech Materials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TANIOBIS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TANIOBIS GmbH</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Materion Newton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TANIOBIS Japan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TANIOBIS Smelting GmbH &amp; Co. KG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Jiangwu H.C. Starck Tungsten Products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Global Advanced Metals Boyertown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Global Advanced Metals Aizu</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Al Etihad Gold Refinery DMCC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Emirates Gold DMCC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International Precious Metal Refiners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CV Ayi Jaya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Electro-Mechanical Facility of the Cao Bang Minerals &amp; Metallurgy Joint Stock Company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Nghe Tinh Non-Ferrous Metals Joint Stock Company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T.C.A S.p.A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REMONDIS PMR B.V.</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Fujairah Gold FZC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Shirpur Gold Refinery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Niagara Refining LLC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Rajehan Ariq</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Korea Zinc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Marsam Metals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TOO Tau-Ken-Altyn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China Molybdenum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Hydrometallurg, JSC</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56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Uzbek Refractory and Heat-Resistant Metals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36" w:type="dxa"/>
        <w:jc w:val="left"/>
        <w:tblInd w:w="0" w:type="dxa"/>
        <w:tblLayout w:type="fixed"/>
        <w:tblCellMar>
          <w:top w:w="28" w:type="dxa"/>
          <w:left w:w="28" w:type="dxa"/>
          <w:bottom w:w="28" w:type="dxa"/>
          <w:right w:w="28" w:type="dxa"/>
        </w:tblCellMar>
      </w:tblPr>
      <w:tblGrid>
        <w:gridCol w:w="364"/>
        <w:gridCol w:w="318"/>
        <w:gridCol w:w="324"/>
        <w:gridCol w:w="1941"/>
        <w:gridCol w:w="1941"/>
        <w:gridCol w:w="2748"/>
      </w:tblGrid>
      <w:tr>
        <w:trPr/>
        <w:tc>
          <w:tcPr>
            <w:tcW w:w="3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Cipta Persada Mulia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An Vinh Joint Stock Mineral Processing Company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Resind Industria e Comercio Ltda.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Resind Industria e Comercio Ltda.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Abington Reldan Metals, LLC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Unecha Refractory metals plant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Shenzhen CuiLu Gold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Super Ligas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Albino Mountinho Lda.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SAAMP</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L'Orfebre S.A.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8853 S.p.A.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Italpreziosi</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Aurubis Beerse</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Aurubis Berango</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Bangka Prima Tin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WIELAND Edelmetalle GmbH</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Ogussa Osterreichische Gold- und Silber-Scheideanstalt GmbH</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Tuohong New Raw Material</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Moliren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AU Traders and Refiners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GGC Gujrat Gold Centre Pvt.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Modeltech Sdn Bhd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Modeltech Sdn Bhd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Bangalore Refinery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Kyshtym Copper-Electrolytic Plant ZAO</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Degussa Sonne / Mond Goldhandel GmbH</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Pease &amp; Curren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JALAN &amp; Company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SungEel HiMetal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Planta Recuperadora de Metales SpA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ABC Refinery Pty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Safimet S.p.A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Guangdong Hanhe Non-Ferrous Metal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State Research Institute Center for Physical Sciences and Technology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African Gold Refinery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 Coast Refinery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NH Recytech Company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Chifeng Dajingzi Tin Industry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66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QG Refining, LLC</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663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 Technology &amp; Refining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001" w:type="dxa"/>
        <w:jc w:val="left"/>
        <w:tblInd w:w="0" w:type="dxa"/>
        <w:tblLayout w:type="fixed"/>
        <w:tblCellMar>
          <w:top w:w="28" w:type="dxa"/>
          <w:left w:w="28" w:type="dxa"/>
          <w:bottom w:w="28" w:type="dxa"/>
          <w:right w:w="28" w:type="dxa"/>
        </w:tblCellMar>
      </w:tblPr>
      <w:tblGrid>
        <w:gridCol w:w="358"/>
        <w:gridCol w:w="314"/>
        <w:gridCol w:w="319"/>
        <w:gridCol w:w="2342"/>
        <w:gridCol w:w="2342"/>
        <w:gridCol w:w="3326"/>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Dijllah Gold Refinery FZC</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Dongguan CiEXPO Environmental Engineering Co.,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Ma'anshan Weitai Tin Co.,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Masbro Alam Stania</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CGR Metalloys Pvt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Sovereign Metals</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Luna Smelter,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Yunnan Yunfan Non-ferrous Metals Co.,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Lianyou Metals Co.,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JSC "Kirovgrad Hard Alloys Plant"</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Precious Minerals and Smelting Limited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Gejiu City Fuxiang Industry and Trade Co.,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NPP Tyazhmetprom LLC</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Hubei Green Tungsten Co.,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Eco-System Recycling Co., Ltd. North Plant</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Eco-System Recycling Co., Ltd. West Plant</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Albasteel Industria e Comercio de Ligas Para Fundicao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Mitra Sukses Globalindo</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Augmont Enterprises Private Limited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Kundan Care Products Ltd.</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Cronimet Brasil Ltda</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CRM Fundicao De Metais E Comercio De Equipamentos Eletronicos Do Brasil Ltda</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Emerald Jewel Industry India Limited (Unit 1)</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Emerald Jewel Industry India Limited (Unit 2)</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Emerald Jewel Industry India Limited (Unit 3)</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Emerald Jewel Industry India Limited (Unit 4)</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K.A. Rasmussen</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Alexy Metals</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Conecsus LLC</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CRM Synergies</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MD Overseas</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Metallix Refining Inc.</w:t>
            </w:r>
          </w:p>
        </w:tc>
      </w:tr>
      <w:tr>
        <w:trPr/>
        <w:tc>
          <w:tcPr>
            <w:tcW w:w="9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801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Metal Concentrators SA (Pty) Ltd.</w:t>
            </w:r>
          </w:p>
        </w:tc>
      </w:tr>
      <w:tr>
        <w:trPr/>
        <w:tc>
          <w:tcPr>
            <w:tcW w:w="9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801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Fabrica Auricchio Industria e Comercio Ltda.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4"/>
        <w:gridCol w:w="319"/>
        <w:gridCol w:w="323"/>
        <w:gridCol w:w="2736"/>
        <w:gridCol w:w="2684"/>
        <w:gridCol w:w="3779"/>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Fujian Xinlu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OOO “Technolom” 2</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OOO “Technolom” 1</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WEEEREFINING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 by Gold Colombia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YUDU ANSHENG TUNGSTEN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Dongwu Gold Group</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Sam Precious Metals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NOBLE METAL SERVICES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Putera Sarana Shakti (PT PSS)</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5D Production OU</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 Vietnam Joint Stock Company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Coimpa Industrial LTDA</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Nam Viet Cromit Joint Stock Company</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PowerX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Mining Minerals Resources SARL</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Lianyou Resources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Takehara PVD Materials Plant / PVD Materials Division of MITSUI MINING &amp; SMELTING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Shinwon Tungsten (Fujian Shanghang)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Malaysia Smelting Corporation Berhad (Port Klang)</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SHENZHEN JINJUNWEI RESOURCE COMPREHENSIVE DEVELOPMENT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Philippine Carreytech Metal Corp.</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TITAN COMPANY LIMITED, JEWELLERY DIVISION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GG Refinery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KENEE MINING VIETNAM COMPANY LIMITED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RIKAYAA GREENTECH PRIVATE LIMITED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Attero Recycling Pvt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SOLEIL METALS (Chala One Plant)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SOLEIL METALS (YAKARI Plant)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Impala Platinum - Platinum Metals Refinery (PMR)</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Woodcross Smelting Company Limited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91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Global Advanced Metals Greenbushes Pty Ltd.</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919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Elite Industech Co., Ltd.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911" w:type="dxa"/>
        <w:jc w:val="left"/>
        <w:tblInd w:w="0" w:type="dxa"/>
        <w:tblLayout w:type="fixed"/>
        <w:tblCellMar>
          <w:top w:w="28" w:type="dxa"/>
          <w:left w:w="28" w:type="dxa"/>
          <w:bottom w:w="28" w:type="dxa"/>
          <w:right w:w="28" w:type="dxa"/>
        </w:tblCellMar>
      </w:tblPr>
      <w:tblGrid>
        <w:gridCol w:w="364"/>
        <w:gridCol w:w="317"/>
        <w:gridCol w:w="325"/>
        <w:gridCol w:w="2313"/>
        <w:gridCol w:w="2313"/>
        <w:gridCol w:w="3279"/>
      </w:tblGrid>
      <w:tr>
        <w:trPr/>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Longnan Chuangyue Environmental Protection Technology Development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Philippine Bonway Manufacturing Industrial Corporation</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Tantalum</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Jiangxi Sanshi Nonferrous Metals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Gasabo Gold Refinery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Jing Yuan Tungsten Technology Co., Ltd.</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Gold</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Minera Titán del Perú SRL (MTP) - Belen Plant</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S.P.T. spol.s r.o.</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 Kay Metal,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Tungsten</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Tungamoy Metals Inc.</w:t>
            </w:r>
          </w:p>
        </w:tc>
      </w:tr>
      <w:tr>
        <w:trPr/>
        <w:tc>
          <w:tcPr>
            <w:tcW w:w="10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9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Artha Cipta Langgeng</w:t>
            </w:r>
          </w:p>
        </w:tc>
      </w:tr>
      <w:tr>
        <w:trPr/>
        <w:tc>
          <w:tcPr>
            <w:tcW w:w="10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Tin</w:t>
            </w:r>
          </w:p>
        </w:tc>
        <w:tc>
          <w:tcPr>
            <w:tcW w:w="790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343A40"/>
                <w:sz w:val="22"/>
              </w:rPr>
            </w:pPr>
            <w:r>
              <w:rPr>
                <w:rFonts w:ascii="Times New Roman;serif" w:hAnsi="Times New Roman;serif"/>
                <w:b w:val="false"/>
                <w:color w:val="343A40"/>
                <w:sz w:val="22"/>
              </w:rPr>
              <w:t>PT Mitra Graha Raya</w:t>
            </w:r>
          </w:p>
        </w:tc>
      </w:tr>
    </w:tbl>
    <w:p>
      <w:pPr>
        <w:pStyle w:val="TextBody"/>
        <w:bidi w:val="0"/>
        <w:spacing w:lineRule="atLeast" w:line="166" w:before="1" w:after="283"/>
        <w:jc w:val="left"/>
        <w:rPr>
          <w:rFonts w:ascii="Times New Roman;serif" w:hAnsi="Times New Roman;serif"/>
          <w:b w:val="false"/>
          <w:color w:val="000000"/>
          <w:sz w:val="15"/>
        </w:rPr>
      </w:pPr>
      <w:r>
        <w:rPr>
          <w:rFonts w:ascii="Times New Roman;serif" w:hAnsi="Times New Roman;serif"/>
          <w:b w:val="false"/>
          <w:color w:val="000000"/>
          <w:sz w:val="15"/>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8" w:after="283"/>
        <w:jc w:val="left"/>
        <w:rPr>
          <w:color w:val="000000"/>
        </w:rPr>
      </w:pPr>
      <w:r>
        <w:rPr>
          <w:color w:val="000000"/>
        </w:rPr>
        <w:t>    </w:t>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1" w:after="283"/>
        <w:jc w:val="left"/>
        <w:rPr/>
      </w:pPr>
      <w:r>
        <w:rPr/>
      </w:r>
    </w:p>
    <w:p>
      <w:pPr>
        <w:pStyle w:val="TextBody"/>
        <w:bidi w:val="0"/>
        <w:spacing w:lineRule="auto" w:line="307" w:before="0" w:after="0"/>
        <w:ind w:left="0" w:right="0" w:firstLine="368"/>
        <w:jc w:val="left"/>
        <w:rPr>
          <w:rFonts w:ascii="Times New Roman;serif" w:hAnsi="Times New Roman;serif"/>
          <w:b/>
          <w:color w:val="000000"/>
          <w:sz w:val="15"/>
        </w:rPr>
      </w:pPr>
      <w:r>
        <w:rPr>
          <w:rFonts w:ascii="Times New Roman;serif" w:hAnsi="Times New Roman;serif"/>
          <w:b/>
          <w:color w:val="000000"/>
          <w:sz w:val="15"/>
        </w:rPr>
        <w:t>Schedule C to Conflict Minerals Report</w:t>
      </w:r>
    </w:p>
    <w:p>
      <w:pPr>
        <w:pStyle w:val="TextBody"/>
        <w:bidi w:val="0"/>
        <w:spacing w:before="19" w:after="283"/>
        <w:jc w:val="left"/>
        <w:rPr/>
      </w:pPr>
      <w:r>
        <w:rPr/>
      </w:r>
    </w:p>
    <w:p>
      <w:pPr>
        <w:pStyle w:val="TextBody"/>
        <w:bidi w:val="0"/>
        <w:spacing w:lineRule="auto" w:line="288" w:before="1" w:after="283"/>
        <w:jc w:val="center"/>
        <w:rPr>
          <w:rFonts w:ascii="Times New Roman;serif" w:hAnsi="Times New Roman;serif"/>
          <w:b w:val="false"/>
          <w:color w:val="000000"/>
          <w:sz w:val="15"/>
          <w:u w:val="single"/>
        </w:rPr>
      </w:pPr>
      <w:r>
        <w:rPr>
          <w:rFonts w:ascii="Times New Roman;serif" w:hAnsi="Times New Roman;serif"/>
          <w:b w:val="false"/>
          <w:color w:val="000000"/>
          <w:sz w:val="15"/>
          <w:u w:val="single"/>
        </w:rPr>
        <w:t>Countries of Origin</w:t>
      </w:r>
    </w:p>
    <w:p>
      <w:pPr>
        <w:pStyle w:val="TextBody"/>
        <w:bidi w:val="0"/>
        <w:spacing w:before="35" w:after="283"/>
        <w:jc w:val="left"/>
        <w:rPr/>
      </w:pPr>
      <w:r>
        <w:rPr/>
      </w:r>
    </w:p>
    <w:p>
      <w:pPr>
        <w:pStyle w:val="TextBody"/>
        <w:bidi w:val="0"/>
        <w:spacing w:lineRule="auto" w:line="288" w:before="23" w:after="283"/>
        <w:jc w:val="left"/>
        <w:rPr/>
      </w:pPr>
      <w:r>
        <w:rPr>
          <w:rFonts w:ascii="Times New Roman;serif" w:hAnsi="Times New Roman;serif"/>
          <w:b/>
          <w:color w:val="000000"/>
          <w:sz w:val="15"/>
        </w:rPr>
        <w:t>Gold</w:t>
      </w:r>
      <w:r>
        <w:rPr>
          <w:rFonts w:ascii="Times New Roman;serif" w:hAnsi="Times New Roman;serif"/>
          <w:b w:val="false"/>
          <w:color w:val="000000"/>
          <w:sz w:val="15"/>
        </w:rPr>
        <w:t>: United States, Japan, Germany, Uzbekistan, Brazil, Switzerland, Philippines, Sweden, Mexico, Canada, China, Italy, Republic of Korea, Russian Federation, Turkey, Kazakhstan, Kyrgyzstan, Singapore, Indonesia, South Africa, Spain, Taiwan, Province of China, Belgium, Australia, New Zealand, Czechia, Thailand, India, Poland, Zimbabwe, United Arab Emirates, Netherlands, Portugal, France, Andorra, Austria, Malaysia, Chile, Lithuania, Uganda, Ghana, Norway, Colombia, Tanzania, Peru, Rwanda</w:t>
      </w:r>
    </w:p>
    <w:p>
      <w:pPr>
        <w:pStyle w:val="TextBody"/>
        <w:bidi w:val="0"/>
        <w:spacing w:lineRule="auto" w:line="307" w:before="0" w:after="0"/>
        <w:ind w:left="0" w:right="0" w:hanging="2"/>
        <w:jc w:val="center"/>
        <w:rPr/>
      </w:pPr>
      <w:r>
        <w:rPr>
          <w:rFonts w:ascii="Times New Roman;serif" w:hAnsi="Times New Roman;serif"/>
          <w:b/>
          <w:color w:val="000000"/>
          <w:sz w:val="15"/>
        </w:rPr>
        <w:t>Tantalum</w:t>
      </w:r>
      <w:r>
        <w:rPr>
          <w:rFonts w:ascii="Times New Roman;serif" w:hAnsi="Times New Roman;serif"/>
          <w:b w:val="false"/>
          <w:color w:val="000000"/>
          <w:sz w:val="15"/>
        </w:rPr>
        <w:t>: China, Brazil, India, Japan, Estonia, Russian Federation, United States, Kazakhstan, Mexico, Thailand, Germany, Rwanda</w:t>
      </w:r>
    </w:p>
    <w:p>
      <w:pPr>
        <w:pStyle w:val="TextBody"/>
        <w:bidi w:val="0"/>
        <w:spacing w:before="20" w:after="283"/>
        <w:jc w:val="left"/>
        <w:rPr/>
      </w:pPr>
      <w:r>
        <w:rPr/>
      </w:r>
    </w:p>
    <w:p>
      <w:pPr>
        <w:pStyle w:val="TextBody"/>
        <w:bidi w:val="0"/>
        <w:spacing w:lineRule="auto" w:line="307" w:before="0" w:after="0"/>
        <w:jc w:val="center"/>
        <w:rPr/>
      </w:pPr>
      <w:r>
        <w:rPr>
          <w:rFonts w:ascii="Times New Roman;serif" w:hAnsi="Times New Roman;serif"/>
          <w:b/>
          <w:color w:val="000000"/>
          <w:sz w:val="15"/>
        </w:rPr>
        <w:t>Tin</w:t>
      </w:r>
      <w:r>
        <w:rPr>
          <w:rFonts w:ascii="Times New Roman;serif" w:hAnsi="Times New Roman;serif"/>
          <w:b w:val="false"/>
          <w:color w:val="000000"/>
          <w:sz w:val="15"/>
        </w:rPr>
        <w:t>: China, United States, Indonesia, Japan, Bolivia (Plurinational State of), Brazil, Poland, Peru, Russian Federation, Thailand, Taiwan, Province of China, Vietnam, Philippines, Belgium, Spain, Malaysia, Rwanda, India, Congo, Democratic Republic of the, Uganda, Australia</w:t>
      </w:r>
    </w:p>
    <w:p>
      <w:pPr>
        <w:pStyle w:val="TextBody"/>
        <w:bidi w:val="0"/>
        <w:spacing w:before="20" w:after="283"/>
        <w:jc w:val="left"/>
        <w:rPr/>
      </w:pPr>
      <w:r>
        <w:rPr/>
      </w:r>
    </w:p>
    <w:p>
      <w:pPr>
        <w:pStyle w:val="TextBody"/>
        <w:bidi w:val="0"/>
        <w:spacing w:lineRule="auto" w:line="307" w:before="1" w:after="283"/>
        <w:jc w:val="center"/>
        <w:rPr/>
      </w:pPr>
      <w:r>
        <w:rPr>
          <w:rFonts w:ascii="Times New Roman;serif" w:hAnsi="Times New Roman;serif"/>
          <w:b/>
          <w:color w:val="000000"/>
          <w:sz w:val="15"/>
        </w:rPr>
        <w:t>Tungsten</w:t>
      </w:r>
      <w:r>
        <w:rPr>
          <w:rFonts w:ascii="Times New Roman;serif" w:hAnsi="Times New Roman;serif"/>
          <w:b w:val="false"/>
          <w:color w:val="000000"/>
          <w:sz w:val="15"/>
        </w:rPr>
        <w:t>: Japan, United States, China, Austria, Vietnam, Germany, Russian Federation, Uzbekistan, Taiwan, Province of China, Brazil, Philippines, Czechia, Republic of Korea</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4000</Words>
  <Characters>22693</Characters>
  <CharactersWithSpaces>25970</CharactersWithSpaces>
  <Paragraphs>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