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7" w:lineRule="exact"/>
        <w:rPr>
          <w:sz w:val="24"/>
          <w:szCs w:val="24"/>
          <w:color w:val="auto"/>
        </w:rPr>
      </w:pPr>
    </w:p>
    <w:p>
      <w:pPr>
        <w:ind w:left="3980" w:right="2440" w:hanging="3972"/>
        <w:spacing w:after="0" w:line="473" w:lineRule="auto"/>
        <w:tabs>
          <w:tab w:leader="none" w:pos="50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July 3, 2022</w:t>
      </w:r>
    </w:p>
    <w:p>
      <w:pPr>
        <w:spacing w:after="0" w:line="247" w:lineRule="exact"/>
        <w:rPr>
          <w:sz w:val="24"/>
          <w:szCs w:val="24"/>
          <w:color w:val="auto"/>
        </w:rPr>
      </w:pPr>
    </w:p>
    <w:p>
      <w:pPr>
        <w:ind w:left="3480" w:right="2440" w:hanging="3472"/>
        <w:spacing w:after="0" w:line="422" w:lineRule="auto"/>
        <w:tabs>
          <w:tab w:leader="none" w:pos="48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__________to__________</w:t>
      </w:r>
    </w:p>
    <w:p>
      <w:pPr>
        <w:ind w:left="42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001-39599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715" w:right="339" w:bottom="1440" w:gutter="0" w:footer="0" w:header="0"/>
        </w:sectPr>
      </w:pPr>
    </w:p>
    <w:p>
      <w:pPr>
        <w:spacing w:after="0" w:line="178"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5" w:lineRule="exact"/>
        <w:rPr>
          <w:sz w:val="24"/>
          <w:szCs w:val="24"/>
          <w:color w:val="auto"/>
        </w:rPr>
      </w:pPr>
    </w:p>
    <w:p>
      <w:pPr>
        <w:sectPr>
          <w:pgSz w:w="11900" w:h="16838" w:orient="portrait"/>
          <w:cols w:equalWidth="0" w:num="2">
            <w:col w:w="7280" w:space="720"/>
            <w:col w:w="3240"/>
          </w:cols>
          <w:pgMar w:left="320" w:top="715" w:right="3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56" w:lineRule="exact"/>
        <w:rPr>
          <w:sz w:val="24"/>
          <w:szCs w:val="24"/>
          <w:color w:val="auto"/>
        </w:rPr>
      </w:pPr>
    </w:p>
    <w:p>
      <w:pPr>
        <w:sectPr>
          <w:pgSz w:w="11900" w:h="16838" w:orient="portrait"/>
          <w:cols w:equalWidth="0" w:num="2">
            <w:col w:w="6680" w:space="720"/>
            <w:col w:w="3840"/>
          </w:cols>
          <w:pgMar w:left="320" w:top="715"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3"/>
          <w:szCs w:val="13"/>
          <w:color w:val="auto"/>
        </w:rPr>
        <w:t>’</w:t>
      </w:r>
      <w:r>
        <w:rPr>
          <w:rFonts w:ascii="Arial" w:cs="Arial" w:eastAsia="Arial" w:hAnsi="Arial"/>
          <w:sz w:val="13"/>
          <w:szCs w:val="13"/>
          <w:b w:val="1"/>
          <w:bCs w:val="1"/>
          <w:color w:val="auto"/>
        </w:rPr>
        <w: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68"/>
        </w:trPr>
        <w:tc>
          <w:tcPr>
            <w:tcW w:w="3720" w:type="dxa"/>
            <w:vAlign w:val="bottom"/>
          </w:tcPr>
          <w:p>
            <w:pPr>
              <w:jc w:val="center"/>
              <w:spacing w:after="0" w:line="168"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4"/>
                <w:szCs w:val="14"/>
                <w:color w:val="auto"/>
              </w:rPr>
            </w:pPr>
          </w:p>
        </w:tc>
        <w:tc>
          <w:tcPr>
            <w:tcW w:w="3600" w:type="dxa"/>
            <w:vAlign w:val="bottom"/>
          </w:tcPr>
          <w:p>
            <w:pPr>
              <w:jc w:val="center"/>
              <w:spacing w:after="0" w:line="168"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00" w:type="dxa"/>
            <w:vAlign w:val="bottom"/>
          </w:tcPr>
          <w:p>
            <w:pPr>
              <w:jc w:val="center"/>
              <w:spacing w:after="0" w:line="168" w:lineRule="exact"/>
              <w:rPr>
                <w:sz w:val="20"/>
                <w:szCs w:val="20"/>
                <w:color w:val="auto"/>
              </w:rPr>
            </w:pPr>
            <w:r>
              <w:rPr>
                <w:rFonts w:ascii="Arial" w:cs="Arial" w:eastAsia="Arial" w:hAnsi="Arial"/>
                <w:sz w:val="16"/>
                <w:szCs w:val="16"/>
                <w:color w:val="auto"/>
              </w:rPr>
              <w:t>New York Stock Exchange</w:t>
            </w:r>
          </w:p>
        </w:tc>
      </w:tr>
      <w:tr>
        <w:trPr>
          <w:trHeight w:val="215"/>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9" w:lineRule="exact"/>
        <w:rPr>
          <w:sz w:val="24"/>
          <w:szCs w:val="24"/>
          <w:color w:val="auto"/>
        </w:rPr>
      </w:pPr>
    </w:p>
    <w:p>
      <w:pPr>
        <w:jc w:val="both"/>
        <w:ind w:right="460"/>
        <w:spacing w:after="0" w:line="25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ind w:right="28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400" w:type="dxa"/>
        <w:tblCellMar>
          <w:top w:w="0" w:type="dxa"/>
          <w:left w:w="0" w:type="dxa"/>
          <w:bottom w:w="0" w:type="dxa"/>
          <w:right w:w="0" w:type="dxa"/>
        </w:tblCellMar>
      </w:tblP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6"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 xml:space="preserve">There were </w:t>
      </w:r>
      <w:r>
        <w:rPr>
          <w:rFonts w:ascii="Arial" w:cs="Arial" w:eastAsia="Arial" w:hAnsi="Arial"/>
          <w:sz w:val="16"/>
          <w:szCs w:val="16"/>
          <w:color w:val="444444"/>
        </w:rPr>
        <w:t>118,026,472 shares of Common Stock, including 1,093,750</w:t>
      </w:r>
      <w:r>
        <w:rPr>
          <w:rFonts w:ascii="Arial" w:cs="Arial" w:eastAsia="Arial" w:hAnsi="Arial"/>
          <w:sz w:val="16"/>
          <w:szCs w:val="16"/>
          <w:color w:val="auto"/>
        </w:rPr>
        <w:t xml:space="preserve"> restricted earn-out shares, par value $0.0001 per share, issued and outstanding as of August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4"/>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gridSpan w:val="4"/>
          </w:tcPr>
          <w:p>
            <w:pPr>
              <w:ind w:left="15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20" w:type="dxa"/>
            <w:vAlign w:val="bottom"/>
            <w:gridSpan w:val="16"/>
          </w:tcPr>
          <w:p>
            <w:pPr>
              <w:spacing w:after="0"/>
              <w:rPr>
                <w:sz w:val="20"/>
                <w:szCs w:val="20"/>
                <w:color w:val="auto"/>
              </w:rPr>
            </w:pPr>
            <w:r>
              <w:rPr>
                <w:rFonts w:ascii="Arial" w:cs="Arial" w:eastAsia="Arial" w:hAnsi="Arial"/>
                <w:sz w:val="18"/>
                <w:szCs w:val="18"/>
                <w:color w:val="0000EE"/>
              </w:rPr>
              <w:t>PART I – FINANCIAL INFORMATION</w:t>
            </w:r>
          </w:p>
        </w:tc>
        <w:tc>
          <w:tcPr>
            <w:tcW w:w="100" w:type="dxa"/>
            <w:vAlign w:val="bottom"/>
            <w:vMerge w:val="restart"/>
          </w:tcPr>
          <w:p>
            <w:pPr>
              <w:spacing w:after="0"/>
              <w:rPr>
                <w:sz w:val="20"/>
                <w:szCs w:val="20"/>
                <w:color w:val="auto"/>
              </w:rPr>
            </w:pPr>
            <w:r>
              <w:rPr>
                <w:rFonts w:ascii="Arial" w:cs="Arial" w:eastAsia="Arial" w:hAnsi="Arial"/>
                <w:sz w:val="18"/>
                <w:szCs w:val="18"/>
                <w:color w:val="0000EE"/>
                <w:w w:val="79"/>
              </w:rPr>
              <w:t>5</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4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Item 1. Financial Statements.</w:t>
            </w:r>
          </w:p>
        </w:tc>
        <w:tc>
          <w:tcPr>
            <w:tcW w:w="660" w:type="dxa"/>
            <w:vAlign w:val="bottom"/>
            <w:tcBorders>
              <w:top w:val="single" w:sz="8" w:color="0000EE"/>
            </w:tcBorders>
            <w:gridSpan w:val="4"/>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Borders>
              <w:bottom w:val="single" w:sz="8" w:color="0000EE"/>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7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318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920" w:type="dxa"/>
            <w:vAlign w:val="bottom"/>
            <w:gridSpan w:val="16"/>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320" w:type="dxa"/>
            <w:vAlign w:val="bottom"/>
            <w:gridSpan w:val="3"/>
          </w:tcPr>
          <w:p>
            <w:pPr>
              <w:spacing w:after="0"/>
              <w:rPr>
                <w:sz w:val="20"/>
                <w:szCs w:val="20"/>
                <w:color w:val="auto"/>
              </w:rPr>
            </w:pPr>
            <w:r>
              <w:rPr>
                <w:rFonts w:ascii="Arial" w:cs="Arial" w:eastAsia="Arial" w:hAnsi="Arial"/>
                <w:sz w:val="18"/>
                <w:szCs w:val="18"/>
                <w:color w:val="0000EE"/>
              </w:rPr>
              <w:t>39</w:t>
            </w:r>
          </w:p>
        </w:tc>
        <w:tc>
          <w:tcPr>
            <w:tcW w:w="0" w:type="dxa"/>
            <w:vAlign w:val="bottom"/>
          </w:tcPr>
          <w:p>
            <w:pPr>
              <w:spacing w:after="0"/>
              <w:rPr>
                <w:sz w:val="1"/>
                <w:szCs w:val="1"/>
                <w:color w:val="auto"/>
              </w:rPr>
            </w:pPr>
          </w:p>
        </w:tc>
      </w:tr>
      <w:tr>
        <w:trPr>
          <w:trHeight w:val="385"/>
        </w:trPr>
        <w:tc>
          <w:tcPr>
            <w:tcW w:w="26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Item 4. Controls and Procedures</w:t>
            </w:r>
          </w:p>
        </w:tc>
        <w:tc>
          <w:tcPr>
            <w:tcW w:w="2760" w:type="dxa"/>
            <w:vAlign w:val="bottom"/>
            <w:tcBorders>
              <w:top w:val="single" w:sz="8" w:color="0000EE"/>
            </w:tcBorders>
            <w:gridSpan w:val="4"/>
          </w:tcPr>
          <w:p>
            <w:pPr>
              <w:spacing w:after="0"/>
              <w:rPr>
                <w:sz w:val="24"/>
                <w:szCs w:val="24"/>
                <w:color w:val="auto"/>
              </w:rPr>
            </w:pPr>
          </w:p>
        </w:tc>
        <w:tc>
          <w:tcPr>
            <w:tcW w:w="5560" w:type="dxa"/>
            <w:vAlign w:val="bottom"/>
            <w:gridSpan w:val="3"/>
          </w:tcPr>
          <w:p>
            <w:pPr>
              <w:spacing w:after="0"/>
              <w:rPr>
                <w:sz w:val="24"/>
                <w:szCs w:val="24"/>
                <w:color w:val="auto"/>
              </w:rPr>
            </w:pPr>
          </w:p>
        </w:tc>
        <w:tc>
          <w:tcPr>
            <w:tcW w:w="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920" w:type="dxa"/>
            <w:vAlign w:val="bottom"/>
            <w:gridSpan w:val="16"/>
          </w:tcPr>
          <w:p>
            <w:pPr>
              <w:spacing w:after="0"/>
              <w:rPr>
                <w:sz w:val="20"/>
                <w:szCs w:val="20"/>
                <w:color w:val="auto"/>
              </w:rPr>
            </w:pPr>
            <w:r>
              <w:rPr>
                <w:rFonts w:ascii="Arial" w:cs="Arial" w:eastAsia="Arial" w:hAnsi="Arial"/>
                <w:sz w:val="18"/>
                <w:szCs w:val="18"/>
                <w:color w:val="0000EE"/>
              </w:rPr>
              <w:t>PART II – OTHER INFORMATION</w:t>
            </w:r>
          </w:p>
        </w:tc>
        <w:tc>
          <w:tcPr>
            <w:tcW w:w="320" w:type="dxa"/>
            <w:vAlign w:val="bottom"/>
            <w:gridSpan w:val="3"/>
            <w:vMerge w:val="restart"/>
          </w:tcPr>
          <w:p>
            <w:pPr>
              <w:spacing w:after="0"/>
              <w:rPr>
                <w:sz w:val="20"/>
                <w:szCs w:val="20"/>
                <w:color w:val="auto"/>
              </w:rPr>
            </w:pPr>
            <w:r>
              <w:rPr>
                <w:rFonts w:ascii="Arial" w:cs="Arial" w:eastAsia="Arial" w:hAnsi="Arial"/>
                <w:sz w:val="18"/>
                <w:szCs w:val="18"/>
                <w:color w:val="0000EE"/>
              </w:rPr>
              <w:t>40</w:t>
            </w:r>
          </w:p>
        </w:tc>
        <w:tc>
          <w:tcPr>
            <w:tcW w:w="0" w:type="dxa"/>
            <w:vAlign w:val="bottom"/>
          </w:tcPr>
          <w:p>
            <w:pPr>
              <w:spacing w:after="0"/>
              <w:rPr>
                <w:sz w:val="1"/>
                <w:szCs w:val="1"/>
                <w:color w:val="auto"/>
              </w:rPr>
            </w:pPr>
          </w:p>
        </w:tc>
      </w:tr>
      <w:tr>
        <w:trPr>
          <w:trHeight w:val="183"/>
        </w:trPr>
        <w:tc>
          <w:tcPr>
            <w:tcW w:w="27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1. Legal Proceedings.</w:t>
            </w:r>
          </w:p>
        </w:tc>
        <w:tc>
          <w:tcPr>
            <w:tcW w:w="460" w:type="dxa"/>
            <w:vAlign w:val="bottom"/>
            <w:gridSpan w:val="2"/>
          </w:tcPr>
          <w:p>
            <w:pPr>
              <w:spacing w:after="0"/>
              <w:rPr>
                <w:sz w:val="15"/>
                <w:szCs w:val="15"/>
                <w:color w:val="auto"/>
              </w:rPr>
            </w:pPr>
          </w:p>
        </w:tc>
        <w:tc>
          <w:tcPr>
            <w:tcW w:w="2300" w:type="dxa"/>
            <w:vAlign w:val="bottom"/>
            <w:gridSpan w:val="2"/>
          </w:tcPr>
          <w:p>
            <w:pPr>
              <w:spacing w:after="0"/>
              <w:rPr>
                <w:sz w:val="15"/>
                <w:szCs w:val="15"/>
                <w:color w:val="auto"/>
              </w:rPr>
            </w:pPr>
          </w:p>
        </w:tc>
        <w:tc>
          <w:tcPr>
            <w:tcW w:w="5420" w:type="dxa"/>
            <w:vAlign w:val="bottom"/>
            <w:gridSpan w:val="2"/>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7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9"/>
              </w:rPr>
              <w:t>Item 1A. Risk Factors.</w:t>
            </w:r>
          </w:p>
        </w:tc>
        <w:tc>
          <w:tcPr>
            <w:tcW w:w="360" w:type="dxa"/>
            <w:vAlign w:val="bottom"/>
            <w:tcBorders>
              <w:top w:val="single" w:sz="8" w:color="0000EE"/>
            </w:tcBorders>
            <w:gridSpan w:val="2"/>
          </w:tcPr>
          <w:p>
            <w:pPr>
              <w:spacing w:after="0"/>
              <w:rPr>
                <w:sz w:val="24"/>
                <w:szCs w:val="24"/>
                <w:color w:val="auto"/>
              </w:rPr>
            </w:pPr>
          </w:p>
        </w:tc>
        <w:tc>
          <w:tcPr>
            <w:tcW w:w="8780" w:type="dxa"/>
            <w:vAlign w:val="bottom"/>
            <w:gridSpan w:val="10"/>
          </w:tcPr>
          <w:p>
            <w:pPr>
              <w:spacing w:after="0"/>
              <w:rPr>
                <w:sz w:val="24"/>
                <w:szCs w:val="24"/>
                <w:color w:val="auto"/>
              </w:rPr>
            </w:pPr>
          </w:p>
        </w:tc>
        <w:tc>
          <w:tcPr>
            <w:tcW w:w="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920" w:type="dxa"/>
            <w:vAlign w:val="bottom"/>
            <w:gridSpan w:val="16"/>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320" w:type="dxa"/>
            <w:vAlign w:val="bottom"/>
            <w:gridSpan w:val="3"/>
          </w:tcPr>
          <w:p>
            <w:pPr>
              <w:spacing w:after="0"/>
              <w:rPr>
                <w:sz w:val="20"/>
                <w:szCs w:val="20"/>
                <w:color w:val="auto"/>
              </w:rPr>
            </w:pPr>
            <w:r>
              <w:rPr>
                <w:rFonts w:ascii="Arial" w:cs="Arial" w:eastAsia="Arial" w:hAnsi="Arial"/>
                <w:sz w:val="18"/>
                <w:szCs w:val="18"/>
                <w:color w:val="0000EE"/>
              </w:rPr>
              <w:t>40</w:t>
            </w:r>
          </w:p>
        </w:tc>
        <w:tc>
          <w:tcPr>
            <w:tcW w:w="0" w:type="dxa"/>
            <w:vAlign w:val="bottom"/>
          </w:tcPr>
          <w:p>
            <w:pPr>
              <w:spacing w:after="0"/>
              <w:rPr>
                <w:sz w:val="1"/>
                <w:szCs w:val="1"/>
                <w:color w:val="auto"/>
              </w:rPr>
            </w:pP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0000EE"/>
              </w:rPr>
              <w:t>Item 3.</w:t>
            </w:r>
          </w:p>
        </w:tc>
        <w:tc>
          <w:tcPr>
            <w:tcW w:w="4920" w:type="dxa"/>
            <w:vAlign w:val="bottom"/>
            <w:tcBorders>
              <w:top w:val="single" w:sz="8" w:color="0000EE"/>
            </w:tcBorders>
            <w:gridSpan w:val="13"/>
          </w:tcPr>
          <w:p>
            <w:pPr>
              <w:ind w:left="20"/>
              <w:spacing w:after="0"/>
              <w:rPr>
                <w:sz w:val="20"/>
                <w:szCs w:val="20"/>
                <w:color w:val="auto"/>
              </w:rPr>
            </w:pPr>
            <w:r>
              <w:rPr>
                <w:rFonts w:ascii="Arial" w:cs="Arial" w:eastAsia="Arial" w:hAnsi="Arial"/>
                <w:sz w:val="18"/>
                <w:szCs w:val="18"/>
                <w:color w:val="0000EE"/>
              </w:rPr>
              <w:t>Defaults Upon Senior Securities.</w:t>
            </w:r>
          </w:p>
        </w:tc>
        <w:tc>
          <w:tcPr>
            <w:tcW w:w="5420" w:type="dxa"/>
            <w:vAlign w:val="bottom"/>
            <w:gridSpan w:val="2"/>
          </w:tcPr>
          <w:p>
            <w:pPr>
              <w:spacing w:after="0"/>
              <w:rPr>
                <w:sz w:val="24"/>
                <w:szCs w:val="24"/>
                <w:color w:val="auto"/>
              </w:rPr>
            </w:pPr>
          </w:p>
        </w:tc>
        <w:tc>
          <w:tcPr>
            <w:tcW w:w="2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89"/>
              </w:rPr>
              <w:t>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rPr>
              <w:t>Item 4.</w:t>
            </w:r>
          </w:p>
        </w:tc>
        <w:tc>
          <w:tcPr>
            <w:tcW w:w="1960" w:type="dxa"/>
            <w:vAlign w:val="bottom"/>
            <w:tcBorders>
              <w:top w:val="single" w:sz="8" w:color="0000EE"/>
              <w:bottom w:val="single" w:sz="8" w:color="0000EE"/>
            </w:tcBorders>
            <w:gridSpan w:val="7"/>
          </w:tcPr>
          <w:p>
            <w:pPr>
              <w:ind w:left="20"/>
              <w:spacing w:after="0"/>
              <w:rPr>
                <w:sz w:val="20"/>
                <w:szCs w:val="20"/>
                <w:color w:val="auto"/>
              </w:rPr>
            </w:pPr>
            <w:r>
              <w:rPr>
                <w:rFonts w:ascii="Arial" w:cs="Arial" w:eastAsia="Arial" w:hAnsi="Arial"/>
                <w:sz w:val="18"/>
                <w:szCs w:val="18"/>
                <w:color w:val="0000EE"/>
                <w:w w:val="99"/>
              </w:rPr>
              <w:t>Mine Safety Disclosures</w:t>
            </w:r>
          </w:p>
        </w:tc>
        <w:tc>
          <w:tcPr>
            <w:tcW w:w="660" w:type="dxa"/>
            <w:vAlign w:val="bottom"/>
            <w:tcBorders>
              <w:top w:val="single" w:sz="8" w:color="0000EE"/>
            </w:tcBorders>
            <w:gridSpan w:val="4"/>
          </w:tcPr>
          <w:p>
            <w:pPr>
              <w:spacing w:after="0"/>
              <w:rPr>
                <w:sz w:val="24"/>
                <w:szCs w:val="24"/>
                <w:color w:val="auto"/>
              </w:rPr>
            </w:pPr>
          </w:p>
        </w:tc>
        <w:tc>
          <w:tcPr>
            <w:tcW w:w="7720" w:type="dxa"/>
            <w:vAlign w:val="bottom"/>
            <w:gridSpan w:val="4"/>
          </w:tcPr>
          <w:p>
            <w:pPr>
              <w:spacing w:after="0"/>
              <w:rPr>
                <w:sz w:val="24"/>
                <w:szCs w:val="24"/>
                <w:color w:val="auto"/>
              </w:rPr>
            </w:pPr>
          </w:p>
        </w:tc>
        <w:tc>
          <w:tcPr>
            <w:tcW w:w="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rPr>
              <w:t>Item 5.</w:t>
            </w:r>
          </w:p>
        </w:tc>
        <w:tc>
          <w:tcPr>
            <w:tcW w:w="1480" w:type="dxa"/>
            <w:vAlign w:val="bottom"/>
            <w:tcBorders>
              <w:bottom w:val="single" w:sz="8" w:color="0000EE"/>
            </w:tcBorders>
            <w:gridSpan w:val="4"/>
          </w:tcPr>
          <w:p>
            <w:pPr>
              <w:ind w:left="20"/>
              <w:spacing w:after="0"/>
              <w:rPr>
                <w:sz w:val="20"/>
                <w:szCs w:val="20"/>
                <w:color w:val="auto"/>
              </w:rPr>
            </w:pPr>
            <w:r>
              <w:rPr>
                <w:rFonts w:ascii="Arial" w:cs="Arial" w:eastAsia="Arial" w:hAnsi="Arial"/>
                <w:sz w:val="18"/>
                <w:szCs w:val="18"/>
                <w:color w:val="0000EE"/>
                <w:w w:val="99"/>
              </w:rPr>
              <w:t>Other Information.</w:t>
            </w:r>
          </w:p>
        </w:tc>
        <w:tc>
          <w:tcPr>
            <w:tcW w:w="8860" w:type="dxa"/>
            <w:vAlign w:val="bottom"/>
            <w:gridSpan w:val="11"/>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6.</w:t>
            </w:r>
          </w:p>
        </w:tc>
        <w:tc>
          <w:tcPr>
            <w:tcW w:w="10340" w:type="dxa"/>
            <w:vAlign w:val="bottom"/>
            <w:gridSpan w:val="15"/>
          </w:tcPr>
          <w:p>
            <w:pPr>
              <w:ind w:left="20"/>
              <w:spacing w:after="0"/>
              <w:rPr>
                <w:sz w:val="20"/>
                <w:szCs w:val="20"/>
                <w:color w:val="auto"/>
              </w:rPr>
            </w:pPr>
            <w:r>
              <w:rPr>
                <w:rFonts w:ascii="Arial" w:cs="Arial" w:eastAsia="Arial" w:hAnsi="Arial"/>
                <w:sz w:val="18"/>
                <w:szCs w:val="18"/>
                <w:color w:val="0000EE"/>
              </w:rPr>
              <w:t>Exhibits.</w:t>
            </w:r>
          </w:p>
        </w:tc>
        <w:tc>
          <w:tcPr>
            <w:tcW w:w="320" w:type="dxa"/>
            <w:vAlign w:val="bottom"/>
            <w:gridSpan w:val="3"/>
          </w:tcPr>
          <w:p>
            <w:pPr>
              <w:spacing w:after="0"/>
              <w:rPr>
                <w:sz w:val="20"/>
                <w:szCs w:val="20"/>
                <w:color w:val="auto"/>
              </w:rPr>
            </w:pPr>
            <w:r>
              <w:rPr>
                <w:rFonts w:ascii="Arial" w:cs="Arial" w:eastAsia="Arial" w:hAnsi="Arial"/>
                <w:sz w:val="18"/>
                <w:szCs w:val="18"/>
                <w:color w:val="0000EE"/>
              </w:rPr>
              <w:t>41</w:t>
            </w: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SIGNATURE</w:t>
            </w:r>
          </w:p>
        </w:tc>
        <w:tc>
          <w:tcPr>
            <w:tcW w:w="9640" w:type="dxa"/>
            <w:vAlign w:val="bottom"/>
            <w:gridSpan w:val="13"/>
          </w:tcPr>
          <w:p>
            <w:pPr>
              <w:spacing w:after="0"/>
              <w:rPr>
                <w:sz w:val="24"/>
                <w:szCs w:val="24"/>
                <w:color w:val="auto"/>
              </w:rPr>
            </w:pPr>
          </w:p>
        </w:tc>
        <w:tc>
          <w:tcPr>
            <w:tcW w:w="2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89"/>
              </w:rPr>
              <w:t>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5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and Section 21E of the Securities Exchange Act of 1934, as amended. These forward-looking statements relate to expectations for future financial performance, business strategies or expectations for the Company’s business. These statements may be preceded by, followed by or include the words “believes,” “estimates,” “expects,” “projects,” “forecasts,” “may,” “will,” “should,” “seeks,” “plans,” “scheduled,” “anticipates,” “intends” or similar expressions. These forward-looking statements are subject to a number of risks and uncertainties and actual results could differ materially due to numerous factors, including but not limited to the Company’s ability to do any of the following:</w:t>
      </w:r>
    </w:p>
    <w:p>
      <w:pPr>
        <w:spacing w:after="0" w:line="165" w:lineRule="exact"/>
        <w:rPr>
          <w:sz w:val="20"/>
          <w:szCs w:val="20"/>
          <w:color w:val="auto"/>
        </w:rPr>
      </w:pPr>
    </w:p>
    <w:p>
      <w:pPr>
        <w:ind w:left="660" w:right="22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7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collect and use personal data about consumers;</w:t>
      </w:r>
    </w:p>
    <w:p>
      <w:pPr>
        <w:spacing w:after="0" w:line="238" w:lineRule="exact"/>
        <w:rPr>
          <w:rFonts w:ascii="Arial" w:cs="Arial" w:eastAsia="Arial" w:hAnsi="Arial"/>
          <w:sz w:val="18"/>
          <w:szCs w:val="18"/>
          <w:color w:val="auto"/>
        </w:rPr>
      </w:pPr>
    </w:p>
    <w:p>
      <w:pPr>
        <w:ind w:left="660" w:right="5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impact of the coronavirus disease 2019 (“COVID-19”) pandemic and its effect on business and financial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risks associated with operational changes in response to the COVID-19 pandemic;</w:t>
      </w:r>
    </w:p>
    <w:p>
      <w:pPr>
        <w:spacing w:after="0" w:line="23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the anticipated benefits of and successfully deploy the proceeds from the Business Combination (as defined herein), which may be affected by, among other things, competition, the ability to integrate the combined businesses and the ability of the combined business to grow and manage growth profitably;</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uncertainties inherent in the development of new business lines and business strategies;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and hire necessary employees;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brand awareness;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train and retain effective officers, key employees or directors;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upgrade and maintain information technology systems;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cyber-attacks, security breaches, or computer viruses;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respond to privacy or data breaches, or the loss of data.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38" w:lineRule="exact"/>
        <w:rPr>
          <w:rFonts w:ascii="Arial" w:cs="Arial" w:eastAsia="Arial" w:hAnsi="Arial"/>
          <w:sz w:val="18"/>
          <w:szCs w:val="18"/>
          <w:color w:val="auto"/>
        </w:rPr>
      </w:pPr>
    </w:p>
    <w:p>
      <w:pPr>
        <w:ind w:left="660" w:right="30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 (including the impacts of the Russian invasion of Ukraine and its regional and global ramifications);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38" w:lineRule="exact"/>
        <w:rPr>
          <w:rFonts w:ascii="Arial" w:cs="Arial" w:eastAsia="Arial" w:hAnsi="Arial"/>
          <w:sz w:val="18"/>
          <w:szCs w:val="18"/>
          <w:color w:val="auto"/>
        </w:rPr>
      </w:pPr>
    </w:p>
    <w:p>
      <w:pPr>
        <w:ind w:left="660" w:right="42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the listing on, or the delisting of the Company’s securities from, the NYSE or an inability to have our securities listed on another national securities exchange;</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rapid technological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right="40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laws and regulations applicable to its business and industry, including laws and regulations related to environmental health and safety;</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stay abreast of modified or new laws and regulations;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38" w:lineRule="exact"/>
        <w:rPr>
          <w:rFonts w:ascii="Arial" w:cs="Arial" w:eastAsia="Arial" w:hAnsi="Arial"/>
          <w:sz w:val="18"/>
          <w:szCs w:val="18"/>
          <w:color w:val="auto"/>
        </w:rPr>
      </w:pPr>
    </w:p>
    <w:p>
      <w:pPr>
        <w:ind w:left="660" w:right="1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fluctuations in foreign currency exchange rates and political unrest and regulatory changes in international markets from various events;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rise in interest rates which would increase the cost of capital, as well as responding to inflationary pressures;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new U.S. federal income tax law, including the impact on deferred tax assets;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investigations, complaints, product liability claims and/or adverse publicity;</w:t>
      </w:r>
    </w:p>
    <w:p>
      <w:pPr>
        <w:spacing w:after="0" w:line="238" w:lineRule="exact"/>
        <w:rPr>
          <w:rFonts w:ascii="Arial" w:cs="Arial" w:eastAsia="Arial" w:hAnsi="Arial"/>
          <w:sz w:val="18"/>
          <w:szCs w:val="18"/>
          <w:color w:val="auto"/>
        </w:rPr>
      </w:pPr>
    </w:p>
    <w:p>
      <w:pPr>
        <w:ind w:left="660" w:right="3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("JOBS Act");</w:t>
      </w:r>
    </w:p>
    <w:p>
      <w:pPr>
        <w:spacing w:after="0" w:line="140" w:lineRule="exact"/>
        <w:rPr>
          <w:rFonts w:ascii="Arial" w:cs="Arial" w:eastAsia="Arial" w:hAnsi="Arial"/>
          <w:sz w:val="18"/>
          <w:szCs w:val="18"/>
          <w:color w:val="auto"/>
        </w:rPr>
      </w:pPr>
    </w:p>
    <w:p>
      <w:pPr>
        <w:ind w:left="660" w:right="54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40" w:lineRule="exact"/>
        <w:rPr>
          <w:rFonts w:ascii="Arial" w:cs="Arial" w:eastAsia="Arial" w:hAnsi="Arial"/>
          <w:sz w:val="18"/>
          <w:szCs w:val="18"/>
          <w:color w:val="auto"/>
        </w:rPr>
      </w:pPr>
    </w:p>
    <w:p>
      <w:pPr>
        <w:ind w:left="660" w:right="20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the caption “Risk Factors” included in our Annual Report on 10-K for the year ended December 31, 2021, as filed with the SEC on March 15, 2022, and in any subsequent filings with the SEC.</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color w:val="auto"/>
              </w:rPr>
              <w:t>(in thousands, except share data)</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As of</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2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70"/>
              <w:spacing w:after="0" w:line="177"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r>
      <w:tr>
        <w:trPr>
          <w:trHeight w:val="221"/>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July 3, 2022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1310"/>
              <w:spacing w:after="0" w:line="196" w:lineRule="exact"/>
              <w:rPr>
                <w:sz w:val="20"/>
                <w:szCs w:val="20"/>
                <w:color w:val="auto"/>
              </w:rPr>
            </w:pPr>
            <w:r>
              <w:rPr>
                <w:rFonts w:ascii="Arial" w:cs="Arial" w:eastAsia="Arial" w:hAnsi="Arial"/>
                <w:sz w:val="18"/>
                <w:szCs w:val="18"/>
                <w:b w:val="1"/>
                <w:bCs w:val="1"/>
                <w:color w:val="auto"/>
                <w:w w:val="99"/>
              </w:rPr>
              <w:t>ASSETS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30,555</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36,325</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$1,269 and $1,387, respectively</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51,390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214,867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185,040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16,881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18,962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320,525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291,717</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51,495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417,339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411,383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434,120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438,461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Right-of-use assets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32,762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1,260,755</w:t>
            </w:r>
          </w:p>
        </w:tc>
        <w:tc>
          <w:tcPr>
            <w:tcW w:w="3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1,193,056</w:t>
            </w:r>
          </w:p>
        </w:tc>
      </w:tr>
      <w:tr>
        <w:trPr>
          <w:trHeight w:val="183"/>
        </w:trPr>
        <w:tc>
          <w:tcPr>
            <w:tcW w:w="128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tcPr>
          <w:p>
            <w:pPr>
              <w:jc w:val="center"/>
              <w:ind w:right="131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39,648</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45,708</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3,843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34,853</w:t>
            </w: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6,300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7,875</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90,842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91,795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636,756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637,673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61,293</w:t>
            </w: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Earn-out liability</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10,054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26,596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68,955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70,045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29,429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1,167</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876,388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888,569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Commitments and contingencies (Refer to Note 16 - Commitments and Contingencies)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8000" w:type="dxa"/>
            <w:vAlign w:val="bottom"/>
            <w:gridSpan w:val="2"/>
          </w:tcPr>
          <w:p>
            <w:pPr>
              <w:spacing w:after="0" w:line="183" w:lineRule="exact"/>
              <w:rPr>
                <w:sz w:val="20"/>
                <w:szCs w:val="20"/>
                <w:color w:val="auto"/>
              </w:rPr>
            </w:pPr>
            <w:r>
              <w:rPr>
                <w:rFonts w:ascii="Arial" w:cs="Arial" w:eastAsia="Arial" w:hAnsi="Arial"/>
                <w:sz w:val="18"/>
                <w:szCs w:val="18"/>
                <w:color w:val="auto"/>
              </w:rPr>
              <w:t>Preferred stock, $0.0001 par value, 5,000,000 shares authorized, none issued and outstanding as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of July 3, 2022 and December 31, 2021</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Common stock, $0.0001 par value, 550,000,000 shares authorized, 116,932,722 and 115,805,639</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as of July 3, 2022 and December 31, 2021, respectively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351,422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329,705</w:t>
            </w:r>
          </w:p>
        </w:tc>
      </w:tr>
      <w:tr>
        <w:trPr>
          <w:trHeight w:val="202"/>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gain (loss)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32,447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(24,974)</w:t>
            </w:r>
          </w:p>
        </w:tc>
      </w:tr>
      <w:tr>
        <w:trPr>
          <w:trHeight w:val="196"/>
        </w:trPr>
        <w:tc>
          <w:tcPr>
            <w:tcW w:w="800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384,367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304,487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1,260,755</w:t>
            </w:r>
          </w:p>
        </w:tc>
        <w:tc>
          <w:tcPr>
            <w:tcW w:w="3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1,193,056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15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HOLLEY INC.</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8740" w:type="dxa"/>
            <w:vAlign w:val="bottom"/>
            <w:gridSpan w:val="11"/>
          </w:tcPr>
          <w:p>
            <w:pPr>
              <w:jc w:val="center"/>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INCOME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56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(in thousands)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60" w:type="dxa"/>
            <w:vAlign w:val="bottom"/>
            <w:gridSpan w:val="2"/>
          </w:tcPr>
          <w:p>
            <w:pPr>
              <w:jc w:val="center"/>
              <w:ind w:left="130"/>
              <w:spacing w:after="0"/>
              <w:rPr>
                <w:sz w:val="20"/>
                <w:szCs w:val="20"/>
                <w:color w:val="auto"/>
              </w:rPr>
            </w:pPr>
            <w:r>
              <w:rPr>
                <w:rFonts w:ascii="Arial" w:cs="Arial" w:eastAsia="Arial" w:hAnsi="Arial"/>
                <w:sz w:val="18"/>
                <w:szCs w:val="18"/>
                <w:color w:val="auto"/>
                <w:w w:val="98"/>
              </w:rPr>
              <w:t>(unaudited)</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8"/>
                <w:szCs w:val="18"/>
                <w:color w:val="auto"/>
              </w:rPr>
              <w:t>For the twenty-six weeks</w:t>
            </w:r>
          </w:p>
        </w:tc>
      </w:tr>
      <w:tr>
        <w:trPr>
          <w:trHeight w:val="221"/>
        </w:trPr>
        <w:tc>
          <w:tcPr>
            <w:tcW w:w="12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720" w:type="dxa"/>
            <w:vAlign w:val="bottom"/>
            <w:gridSpan w:val="6"/>
          </w:tcPr>
          <w:p>
            <w:pPr>
              <w:ind w:left="8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12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70"/>
              <w:spacing w:after="0" w:line="177" w:lineRule="exact"/>
              <w:rPr>
                <w:sz w:val="20"/>
                <w:szCs w:val="20"/>
                <w:color w:val="auto"/>
              </w:rPr>
            </w:pPr>
            <w:r>
              <w:rPr>
                <w:rFonts w:ascii="Arial" w:cs="Arial" w:eastAsia="Arial" w:hAnsi="Arial"/>
                <w:sz w:val="18"/>
                <w:szCs w:val="18"/>
                <w:color w:val="auto"/>
                <w:w w:val="98"/>
              </w:rPr>
              <w:t>June 27,</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color w:val="auto"/>
              </w:rPr>
              <w:t>June 27,</w:t>
            </w:r>
          </w:p>
        </w:tc>
        <w:tc>
          <w:tcPr>
            <w:tcW w:w="100" w:type="dxa"/>
            <w:vAlign w:val="bottom"/>
          </w:tcPr>
          <w:p>
            <w:pPr>
              <w:spacing w:after="0"/>
              <w:rPr>
                <w:sz w:val="15"/>
                <w:szCs w:val="15"/>
                <w:color w:val="auto"/>
              </w:rPr>
            </w:pPr>
          </w:p>
        </w:tc>
      </w:tr>
      <w:tr>
        <w:trPr>
          <w:trHeight w:val="221"/>
        </w:trPr>
        <w:tc>
          <w:tcPr>
            <w:tcW w:w="12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July 3, 2022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July 3, 2022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560" w:type="dxa"/>
            <w:vAlign w:val="bottom"/>
            <w:gridSpan w:val="2"/>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179,420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193,041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379,475</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353,373</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104,132</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111,841</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221,466</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206,494</w:t>
            </w:r>
          </w:p>
        </w:tc>
      </w:tr>
      <w:tr>
        <w:trPr>
          <w:trHeight w:val="20"/>
        </w:trPr>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75,288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81,200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158,009</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146,879</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36,269</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26,190</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70,611</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50,202</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8,196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7,065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16,357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13,034</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3,662</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3,502</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7,323</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6,838</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1,691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2,676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21,509</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1,658</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2,539</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 (income)</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w:t>
            </w:r>
          </w:p>
        </w:tc>
      </w:tr>
      <w:tr>
        <w:trPr>
          <w:trHeight w:val="20"/>
        </w:trPr>
        <w:tc>
          <w:tcPr>
            <w:tcW w:w="12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expense</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50,143</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41,138</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96,819</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94,036</w:t>
            </w:r>
          </w:p>
        </w:tc>
      </w:tr>
      <w:tr>
        <w:trPr>
          <w:trHeight w:val="20"/>
        </w:trPr>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25,145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40,062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61,190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52,843</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(23,168)</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(20,941)</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(4,234)</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(1,853)</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8,961</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11,174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16,352</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21,245</w:t>
            </w:r>
          </w:p>
        </w:tc>
      </w:tr>
      <w:tr>
        <w:trPr>
          <w:trHeight w:val="20"/>
        </w:trPr>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non-operating (income) expense</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(18,441)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11,174</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(6,442)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21,245</w:t>
            </w:r>
          </w:p>
        </w:tc>
      </w:tr>
      <w:tr>
        <w:trPr>
          <w:trHeight w:val="20"/>
        </w:trPr>
        <w:tc>
          <w:tcPr>
            <w:tcW w:w="12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43,586</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28,888</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67,632</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31,598</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3,023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5,790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10,211</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10,556</w:t>
            </w:r>
          </w:p>
        </w:tc>
      </w:tr>
      <w:tr>
        <w:trPr>
          <w:trHeight w:val="20"/>
        </w:trPr>
        <w:tc>
          <w:tcPr>
            <w:tcW w:w="12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40,563</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23,098</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57,421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21,042</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501</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742</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r>
      <w:tr>
        <w:trPr>
          <w:trHeight w:val="20"/>
        </w:trPr>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7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comprehensive income</w:t>
            </w:r>
          </w:p>
        </w:tc>
        <w:tc>
          <w:tcPr>
            <w:tcW w:w="1560" w:type="dxa"/>
            <w:vAlign w:val="bottom"/>
            <w:gridSpan w:val="2"/>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41,064</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23,133</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58,163</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21,061</w:t>
            </w:r>
          </w:p>
        </w:tc>
      </w:tr>
      <w:tr>
        <w:trPr>
          <w:trHeight w:val="183"/>
        </w:trPr>
        <w:tc>
          <w:tcPr>
            <w:tcW w:w="478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color w:val="auto"/>
              </w:rPr>
              <w:t>Common Share Data:</w:t>
            </w:r>
          </w:p>
        </w:tc>
        <w:tc>
          <w:tcPr>
            <w:tcW w:w="120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258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116,931,623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67,673,884</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116,398,177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67,673,884</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25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117,114,553</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67,673,884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5"/>
              </w:rPr>
              <w:t>117,343,975</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67,673,884</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15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0.35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0.49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0.31</w:t>
            </w:r>
          </w:p>
        </w:tc>
      </w:tr>
      <w:tr>
        <w:trPr>
          <w:trHeight w:val="239"/>
        </w:trPr>
        <w:tc>
          <w:tcPr>
            <w:tcW w:w="478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r>
    </w:tbl>
    <w:p>
      <w:pPr>
        <w:spacing w:after="0" w:line="147"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HOLLEY INC.</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960" w:type="dxa"/>
            <w:vAlign w:val="bottom"/>
            <w:gridSpan w:val="17"/>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640" w:type="dxa"/>
            <w:vAlign w:val="bottom"/>
            <w:gridSpan w:val="9"/>
          </w:tcPr>
          <w:p>
            <w:pPr>
              <w:jc w:val="center"/>
              <w:ind w:left="70"/>
              <w:spacing w:after="0" w:line="202" w:lineRule="exact"/>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20" w:type="dxa"/>
            <w:vAlign w:val="bottom"/>
            <w:gridSpan w:val="6"/>
          </w:tcPr>
          <w:p>
            <w:pPr>
              <w:jc w:val="right"/>
              <w:ind w:right="7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24"/>
                <w:szCs w:val="2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9"/>
              </w:rPr>
              <w:t>Retained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8"/>
              </w:rPr>
              <w:t>Earnings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Paid-In</w:t>
            </w:r>
          </w:p>
        </w:tc>
        <w:tc>
          <w:tcPr>
            <w:tcW w:w="156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Comprehensive</w:t>
            </w:r>
          </w:p>
        </w:tc>
        <w:tc>
          <w:tcPr>
            <w:tcW w:w="1320" w:type="dxa"/>
            <w:vAlign w:val="bottom"/>
            <w:gridSpan w:val="3"/>
          </w:tcPr>
          <w:p>
            <w:pPr>
              <w:spacing w:after="0" w:line="202" w:lineRule="exact"/>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Gain (Loss)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238,890</w:t>
            </w:r>
          </w:p>
        </w:tc>
        <w:tc>
          <w:tcPr>
            <w:tcW w:w="2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240,381</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Retroactive application of recapitalization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67,673,784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balance at December 31, 2020</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67,673,884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238,883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240,381</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(2,056)</w:t>
            </w: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March 28, 2021</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67,673,884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239,014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238,440</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23,098</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23,098</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27, 2021</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67,673,884</w:t>
            </w:r>
          </w:p>
        </w:tc>
        <w:tc>
          <w:tcPr>
            <w:tcW w:w="22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239,145</w:t>
            </w:r>
          </w:p>
        </w:tc>
        <w:tc>
          <w:tcPr>
            <w:tcW w:w="20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23,207</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261,704</w:t>
            </w:r>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tcBorders>
          </w:tcPr>
          <w:p>
            <w:pPr>
              <w:spacing w:after="0"/>
              <w:rPr>
                <w:sz w:val="15"/>
                <w:szCs w:val="15"/>
                <w:color w:val="auto"/>
              </w:rPr>
            </w:pPr>
          </w:p>
        </w:tc>
        <w:tc>
          <w:tcPr>
            <w:tcW w:w="244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2021</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115,805,639</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329,705</w:t>
            </w:r>
          </w:p>
        </w:tc>
        <w:tc>
          <w:tcPr>
            <w:tcW w:w="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(24,974)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304,487</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16,858</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16,858</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241</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Issuance of earn-out shares</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1,093,750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Balance at April 3, 2022</w:t>
            </w: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116,899,389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347,556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(8,116)</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339,437</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40,563</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40,563</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Warrants exercised</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33,333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3"/>
        </w:trPr>
        <w:tc>
          <w:tcPr>
            <w:tcW w:w="3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501</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July 3, 2022</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116,932,722</w:t>
            </w:r>
          </w:p>
        </w:tc>
        <w:tc>
          <w:tcPr>
            <w:tcW w:w="22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351,422</w:t>
            </w:r>
          </w:p>
        </w:tc>
        <w:tc>
          <w:tcPr>
            <w:tcW w:w="20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32,447</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384,367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8320" w:type="dxa"/>
            <w:vAlign w:val="bottom"/>
            <w:gridSpan w:val="4"/>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80" w:type="dxa"/>
            <w:vAlign w:val="bottom"/>
          </w:tcPr>
          <w:p>
            <w:pPr>
              <w:spacing w:after="0"/>
              <w:rPr>
                <w:sz w:val="17"/>
                <w:szCs w:val="17"/>
                <w:color w:val="auto"/>
              </w:rPr>
            </w:pPr>
          </w:p>
        </w:tc>
        <w:tc>
          <w:tcPr>
            <w:tcW w:w="6720" w:type="dxa"/>
            <w:vAlign w:val="bottom"/>
          </w:tcPr>
          <w:p>
            <w:pPr>
              <w:jc w:val="center"/>
              <w:ind w:left="1890"/>
              <w:spacing w:after="0" w:line="202" w:lineRule="exact"/>
              <w:rPr>
                <w:sz w:val="20"/>
                <w:szCs w:val="20"/>
                <w:color w:val="auto"/>
              </w:rPr>
            </w:pPr>
            <w:r>
              <w:rPr>
                <w:rFonts w:ascii="Arial" w:cs="Arial" w:eastAsia="Arial" w:hAnsi="Arial"/>
                <w:sz w:val="18"/>
                <w:szCs w:val="18"/>
                <w:color w:val="auto"/>
                <w:w w:val="99"/>
              </w:rPr>
              <w:t>(in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6"/>
          </w:tcPr>
          <w:p>
            <w:pPr>
              <w:jc w:val="right"/>
              <w:ind w:right="400"/>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380"/>
              <w:spacing w:after="0" w:line="196" w:lineRule="exact"/>
              <w:rPr>
                <w:sz w:val="20"/>
                <w:szCs w:val="20"/>
                <w:color w:val="auto"/>
              </w:rPr>
            </w:pPr>
            <w:r>
              <w:rPr>
                <w:rFonts w:ascii="Arial" w:cs="Arial" w:eastAsia="Arial" w:hAnsi="Arial"/>
                <w:sz w:val="18"/>
                <w:szCs w:val="18"/>
                <w:color w:val="auto"/>
              </w:rPr>
              <w:t>July 3, 2022</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57,421</w:t>
            </w:r>
          </w:p>
        </w:tc>
        <w:tc>
          <w:tcPr>
            <w:tcW w:w="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21,042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4,453</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6,838</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Amortization of deferred loan costs</w:t>
            </w:r>
          </w:p>
        </w:tc>
        <w:tc>
          <w:tcPr>
            <w:tcW w:w="18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1,955</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right of use assets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Gain on termination of leases</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Decrease in warrant liability</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(20,941)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Decrease in earn-out liability</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in acquisition contingent consideration payable</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17,173</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8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w:t>
            </w:r>
          </w:p>
        </w:tc>
      </w:tr>
      <w:tr>
        <w:trPr>
          <w:trHeight w:val="202"/>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deferred taxes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1,188</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(gain) on disposal of property, plant and equipment</w:t>
            </w:r>
          </w:p>
        </w:tc>
        <w:tc>
          <w:tcPr>
            <w:tcW w:w="18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(282)</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Provision for inventory reserves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3,173</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Provision for credit losses</w:t>
            </w:r>
          </w:p>
        </w:tc>
        <w:tc>
          <w:tcPr>
            <w:tcW w:w="18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(12,457)</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(29,483)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(708)</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Prepaids and other current assets</w:t>
            </w:r>
          </w:p>
        </w:tc>
        <w:tc>
          <w:tcPr>
            <w:tcW w:w="18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(2,295)</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6,038</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(901)</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and other liabilities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508</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20,831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46,397</w:t>
            </w: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(7,141)</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paid for acquisitions, net</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(54,011)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(23,442)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(60,867)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change under revolving credit agreement</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long-term debt</w:t>
            </w:r>
          </w:p>
        </w:tc>
        <w:tc>
          <w:tcPr>
            <w:tcW w:w="18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(1,539)</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issuance of common stock in connection with the exercise of warrants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(2,716)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(1,539)</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(5,770)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(16,009)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36,325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71,674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color w:val="auto"/>
              </w:rPr>
              <w:t>End of period</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30,555</w:t>
            </w:r>
          </w:p>
        </w:tc>
        <w:tc>
          <w:tcPr>
            <w:tcW w:w="22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55,665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Supplemental disclosures of cash flow information:</w:t>
            </w:r>
          </w:p>
        </w:tc>
        <w:tc>
          <w:tcPr>
            <w:tcW w:w="18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Earn-out shares issued to Empower Sponsor Holdings LLC</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14,689</w:t>
            </w:r>
          </w:p>
        </w:tc>
        <w:tc>
          <w:tcPr>
            <w:tcW w:w="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16,005</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20,191</w:t>
            </w:r>
          </w:p>
        </w:tc>
      </w:tr>
      <w:tr>
        <w:trPr>
          <w:trHeight w:val="239"/>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4,276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7,182</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(the “Company” or “Holley”), conducts operations through its wholly-owned subsidiaries. These operating subsidiaries are comprised of Holley Performance Products Inc. (“Holley Performance”), Hot Rod Brands, Inc. (“Hot Rod Brands”), Simpson Safety Solutions, Inc., B&amp;M Racing and Performance Products, Inc., and Speedshop.com, Inc. Investment funds managed by Sentinel Capital Partners hold a controlling interest in Holley.</w:t>
      </w:r>
    </w:p>
    <w:p>
      <w:pPr>
        <w:spacing w:after="0" w:line="160"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On July 16, 2021, (the “Closing” and such date, the “Closing Date”) the Company consummated the business combination (the “Business Combination”) pursuant to that certain Agreement and Plan of Merger dated March 11, 2021 (the “Merger Agreement”), by and among Empower Ltd., (“Empower”), Empower Merger Sub I Inc. (“Merger Sub I”), Empower Merger Sub II LLC (“Merger Sub II”), and Holley Intermediate Holdings, Inc. (“Holley Intermediate”). On the Closing Date, Empower changed its name to Holley Inc. See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for more information.</w:t>
      </w:r>
    </w:p>
    <w:p>
      <w:pPr>
        <w:spacing w:after="0" w:line="162"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Holley Intermediate, the predecessor to Holley, was incorporated on October 25, 2018 to effect the merger of Driven Performance Brands, Inc. (“Driven”) and the purchase of High Performance Industries, Inc. (“HPI”). 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North America, Canada, Italy and China.</w:t>
      </w:r>
    </w:p>
    <w:p>
      <w:pPr>
        <w:spacing w:after="0" w:line="16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9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COVID-19 has adversely impacted global supply chain and general economic conditions. The Company has experienced disruptions and higher costs in manufacturing, supply chain, logistical operations, and shortages of certain Company products in distribution channels. The full extent of the impact of the COVID-19 pandemic on the Company's business and operational and financial performance and condition is currently uncertain and will depend on many factors outside the Company's control, including but not limited to the timing, extent, duration and effects of the virus and any of its mutations, the utilization and effectiveness of treatments and vaccines, the imposition of effective public safety and other protective measures, the further impact of COVID-19 on the global economy and demand for the Company's products and services. Should the ongoing COVID-19 pandemic, including any variants of COVID-19, not improve or worsen, or if the Company's attempt to mitigate its impact on its supply chain, operations and costs is not successful, the Company's business, results of operations, financial condition and prospects may be adversely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U.S. Securities and Exchange Commission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2021, as filed with the SEC on March 15, 2022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66"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Company operates on a calendar year that ends on December 31, 2022 and 2021. The three and six month periods ended July 3, 2022 and June 27, 2021 each included 13 weeks and 26 weeks, respectively.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98"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following are updates to the significant accounting policies described in our audited consolidated financial statements as of and for the year ended December 31, 2021.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 xml:space="preserve">Operating lease right of use (ROU) assets and liabilities are recognized at the commencement date of the lease based on the present value of lease payments over the lease term. The Company's leases may include options to extend or terminate the lease. These options to extend are included in the lease term when it is reasonably certain that the Company will exercise that option. Some leases have variable payments, however, because they are not based on an index or rate, they are not included in the ROU assets and liabilities. Variable payments for real estate leases primarily relate to common area maintenance, insurance, taxes and utilities. Since the Company's leases generally do not provide an implicit rate, the Company applies a portfolio approach using an estimated incremental borrowing rate based on the lease term and other information available at the commencement date in determining the present value of lease payments. The rate applied is based on the currency of the lease. Leases having a lease term of twelve months or less are not recorded on the balance sheet and the related lease expense is recognized on a straight-line basis over the term of the lease. In addition, the Company has applied the practical expedient to account for the lease and non-lease components as a single lease component for all of the Company's leases.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for further details.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accounts for warrants to purchase its common stock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 xml:space="preserve">If a warrant does not meet the conditions for equity classification, it is carried in the consolidated balance sheet as a warrant liability measured at fair value, with subsequent changes in the fair value of the warrant recorded in the consolidated statements of comprehensive income as a non-operating expense. If a warrant meets both conditions for equity classification, the warrant is initially recorded in additional paid-in capital on the consolidated balance sheet, and the amount initially recorded is not subsequently re-measured at fair value. See Note 7, </w:t>
      </w:r>
      <w:r>
        <w:rPr>
          <w:rFonts w:ascii="Arial" w:cs="Arial" w:eastAsia="Arial" w:hAnsi="Arial"/>
          <w:sz w:val="18"/>
          <w:szCs w:val="18"/>
          <w:i w:val="1"/>
          <w:iCs w:val="1"/>
          <w:color w:val="auto"/>
        </w:rPr>
        <w:t>"Common Stock Warrants,"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further details.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29"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Leases (Topic 842) which requires lessees to recognize right-of-use assets, representing their right to use the underlying asset for the lease term, and lease liabilities on the balance sheet for all leases with terms greater than 12 months. The Company adopted the provisions of this guidance effective January 1, 2022, using the modified retrospective optional transition method. Therefore, the standard was applied beginning January 1, 2022 and prior periods were not restated. The adoption of the standard did not result in a cumulative-effect adjustment to the opening balance of retained earnings. The Company elected the package of practical expedients and implemented internal controls and executed changes to business processes to enable the preparation of financial information upon adoption. The adoption of the new standard resulted in the recognition of a right of use asset and short-term and long-term liabilities recorded on the Company's consolidated balance sheet related to operating leases. In addition, the adoption of the standard did not have a material impact on the Company's results of operations or cash flows.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for further details.</w:t>
      </w:r>
    </w:p>
    <w:p>
      <w:pPr>
        <w:spacing w:after="0" w:line="16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In August 2018, the FASB issued ASU 2018-14, Compensation – Retirements Benefits – Defined Benefit Plans – General (Subtopic 715-20). The ASU will update disclosure requirements for employers that sponsor defined benefit pension or other post retirement plans. The Company adopted ASU 2019-12 on a retrospective basis as of January 1, 2022. Adoption did not result in a significant change to the Company's consolidated financial statement disclosures.</w:t>
      </w:r>
    </w:p>
    <w:p>
      <w:pPr>
        <w:spacing w:after="0" w:line="160" w:lineRule="exact"/>
        <w:rPr>
          <w:sz w:val="20"/>
          <w:szCs w:val="20"/>
          <w:color w:val="auto"/>
        </w:rPr>
      </w:pPr>
    </w:p>
    <w:p>
      <w:pPr>
        <w:jc w:val="both"/>
        <w:ind w:left="340"/>
        <w:spacing w:after="0" w:line="266" w:lineRule="auto"/>
        <w:rPr>
          <w:sz w:val="20"/>
          <w:szCs w:val="20"/>
          <w:color w:val="auto"/>
        </w:rPr>
      </w:pPr>
      <w:r>
        <w:rPr>
          <w:rFonts w:ascii="Arial" w:cs="Arial" w:eastAsia="Arial" w:hAnsi="Arial"/>
          <w:sz w:val="17"/>
          <w:szCs w:val="17"/>
          <w:color w:val="auto"/>
        </w:rPr>
        <w:t>In December 2019, the FASB issued ASU 2019-12, Simplifying the Accounting for Income Taxes (Topic 740) which is intended to simplify various aspects related to accounting for income taxes. The ASU removes certain exceptions to the general principles in Topic 740 and also clarifies and amends existing guidance to improve consistent application. The Company adopted ASU 2019-12 on a prospective basis as of January 1, 2022. Adoption of the ASU did not have a material effect on the Company's consolidated financial statements.</w:t>
      </w:r>
    </w:p>
    <w:p>
      <w:pPr>
        <w:spacing w:after="0" w:line="14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In August 2020, the FASB issued ASU 2020-06, Accounting for Convertible Instruments and Contracts in an Entity’s Own Equity (Subtopic 470-20). ASU 2020-06 eliminates the beneficial conversion and cash conversion accounting models for convertible instruments. The new guidance modifies how particular convertible instruments and certain contracts that may be settled in cash or shares impact the diluted EPS computation. It also amends the accounting for certain contracts in an entity’s own equity that are currently accounted for as derivatives because of specific settlement provisions. The Company adopted ASU 2020-06 on January 1, 2022. Adoption of the ASU did not impact the Company's consolidated financial statements.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29"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requires entities to apply the definition of a performance obligation under ASC Topic 606 to recognize and measure contract assets and contract liabilities (i.e., deferred revenue)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No. 2021-08 will result in the acquirer recording acquired contract assets and liabilities on the same basis that would have been recorded by the acquiree before the acquisition under ASC Topic 606. Adoption of the provisions of ASU 2021-08 are effective for the Company's fiscal year beginning after December 15, 2022, with early adoption permitted. The Company is currently evaluating the potential impact of adopting this guidance on its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In March 2020, the FASB issued ASU 2020-04, Reference Rate Reform (Topic 848). The ASU provides optional expedients and exceptions for applying GAAP to contracts, hedging relationships, and other transactions affected by reference rate reform if certain criteria are met. Adoption of the provisions of ASU 2020-04 are optional and are effective from March 12, 2020 through December 31, 2022. As of July 3, 2022, the Company did not adopt any expedients or exceptions under ASU 2020-04. The Company will continue to evaluate the impact of ASU 2020-04 and whether it will apply the optional expedients and exceptions.</w:t>
      </w:r>
    </w:p>
    <w:p>
      <w:pPr>
        <w:spacing w:after="0" w:line="325" w:lineRule="exact"/>
        <w:rPr>
          <w:sz w:val="20"/>
          <w:szCs w:val="20"/>
          <w:color w:val="auto"/>
        </w:rPr>
      </w:pPr>
    </w:p>
    <w:p>
      <w:pPr>
        <w:ind w:left="340" w:right="6880" w:hanging="332"/>
        <w:spacing w:after="0" w:line="469"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ACQUISITIONS BUSINESS COMBINATION</w:t>
      </w:r>
    </w:p>
    <w:p>
      <w:pPr>
        <w:spacing w:after="0" w:line="1"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On July 16, 2021, Holley consummated the Business Combination pursuant to the terms of the Merger Agreement, whereby (i)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spacing w:after="0" w:line="160"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Pursuant to the Merger Agreement, at the Closing, all outstanding shares of Holley Intermediate common stock as of immediately prior to the effective time of Merger I were cancelled and Holley Parent Holdings, LLC, the sole stockholder of Holley Intermediate (the “Holley Stockholder” or “Parent”), received $264,718 in cash and 67,673,884 shares of common stock (at a deemed value of $10.00 per share). The Company’s common stock is listed on the New York Stock Exchange (the "NYSE") under the symbol “HLLY.”</w:t>
      </w:r>
    </w:p>
    <w:p>
      <w:pPr>
        <w:spacing w:after="0" w:line="160"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spacing w:after="0" w:line="15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spacing w:after="0" w:line="160"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became exercisable on October 9, 2021 (the one-year anniversary of Empower’s initial public offering) and expire on July 16, 2026 (five years after the Closing Date). The Public Warrants are listed on the NYSE under the symbol “HLLY WS.”</w:t>
      </w:r>
    </w:p>
    <w:p>
      <w:pPr>
        <w:spacing w:after="0" w:line="16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Additionally, Empower Sponsor Holdings LLC (the "Sponsor") received 2,187,500 shares of the Company’s common stock, which vest in two equal tranches upon achieving certain market share price milestones as outlined in the Merger Agreement during the earn-out period (“the “Earn-Out Shares”). The first tranche of Earn-Out Shares vested during the first quarter of 2022. Upon vesting, the first tranche of the Earn-Out Shares, or 1,093,750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remaining Earn-Out Shares are classified as a liability on the condensed consolidated balance sheet and are remeasured at fair value with changes in the post-Business Combination fair value recognized in the Company’s condensed consolidated statement of comprehensive income as non-operating expense.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Business Combination was accounted for as a reverse recapitalization in accordance with U.S. GAAP. This determination was primarily based on current shareholders of Holley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no goodwill or other intangible assets recorded. Reported amounts from operations included herein prior to the Business Combination are those of Holley Intermediate. The shares and corresponding capital amounts and earnings per share, prior to the Business Combination, have been retroactively restated based on shares received by the Holley Stockholder.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9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26-weeks ended July 3, 2022, the Company has completed three acquisitions, and during the year ended December 31, 2021, the Company completed eight acquisitions. These acquisitions are expected to enhance the Company's portfolio of products and services in the automotive aftermarket and automotive safety solutions market.</w:t>
      </w:r>
    </w:p>
    <w:p>
      <w:pPr>
        <w:spacing w:after="0" w:line="155"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accounts for acquisitions using the acquisition method, and accordingly, the purchase price has been allocated based upon the fair value of the assets acquired and liabilities assumed. The valuation of the assets acquired and liabilities assumed is subject to revision. If additional information becomes available, the Company may further revise the purchase price allocation as soon as practical, but no later than one year from the acquisition date; however, material changes are not expected. Goodwill generated by the acquisitions is primarily attributable to the strong market position of the entities acquired.</w:t>
      </w:r>
    </w:p>
    <w:p>
      <w:pPr>
        <w:spacing w:after="0" w:line="163"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Purchase price consideration for all acquisitions was paid primarily in cash. All acquisitions were for 100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spacing w:after="0" w:line="163"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During the twenty-six weeks ended July 3, 2022, the Company acquired substantially all the assets of John's Ind., Inc. ("John's"), Southern Kentucky Classics ("SKC"), and Vesta Motorsports USA, Inc., doing business as RaceQuip ("RaceQuip"). These acquisitions were immaterial business combinations. Cash paid for the three acquisitions, net of cash acquired, was $13,778, and was funded with borrowings from the Company's credit facility and cash on hand. The acquisitions resulted in both amortizable and nonamortizable intangibles and goodwill totaling $9,059. The goodwill and intangibles generated as a result of these acquisitions are deductible for income tax purposes. The final allocation of the purchase price to specific assets acquired and liabilities assumed may change in future periods as the fair value estimates of inventory and intangibles are completed.</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5600" w:type="dxa"/>
            <w:vAlign w:val="bottom"/>
            <w:gridSpan w:val="2"/>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959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3,481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5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1,132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5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5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5,858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5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(1,103)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13,778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80" w:type="dxa"/>
            <w:vAlign w:val="bottom"/>
            <w:vMerge w:val="restart"/>
          </w:tcPr>
          <w:p>
            <w:pPr>
              <w:jc w:val="right"/>
              <w:ind w:right="3590"/>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20"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In 2021, the Company acquired substantially all the assets of Finspeed, LLC ("Finspeed"), Classic Instruments LLC, ADS Precision Machining, Inc., doing business as Arizona Desert Shocks, Rocket Performance Machine, Inc., doing business as Rocket Racing Wheels, and Speartech Fuel Injections Systems, Inc. These five acquisitions were individually immaterial business combinations that are material in the aggregate. Cash paid for the five immaterial acquisitions, net of cash acquired, was $19,685, and was funded with borrowings from the Company's credit facility and cash on hand. The acquisitions resulted in both amortizable and nonamortizable intangibles and goodwill totaling $13,023. The goodwill and intangibles generated as a result of these acquisitions are deductible for income tax purposes. The final allocation of the purchase price to specific assets acquired and liabilities assumed may change in future periods as the fair value estimates of inventory and intangibles are completed. However, for Finspeed, the measurement period has ended and the final fair value estimates of acquired assets and liabilities is reflected below.</w:t>
      </w:r>
    </w:p>
    <w:p>
      <w:pPr>
        <w:spacing w:after="0" w:line="129"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99"/>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Measurement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(as initially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480"/>
              <w:spacing w:after="0" w:line="202" w:lineRule="exact"/>
              <w:rPr>
                <w:sz w:val="20"/>
                <w:szCs w:val="20"/>
                <w:color w:val="auto"/>
              </w:rPr>
            </w:pPr>
            <w:r>
              <w:rPr>
                <w:rFonts w:ascii="Arial" w:cs="Arial" w:eastAsia="Arial" w:hAnsi="Arial"/>
                <w:sz w:val="18"/>
                <w:szCs w:val="18"/>
                <w:color w:val="auto"/>
                <w:w w:val="99"/>
              </w:rPr>
              <w:t>Period</w:t>
            </w: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221"/>
        </w:trPr>
        <w:tc>
          <w:tcPr>
            <w:tcW w:w="4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8"/>
              </w:rPr>
              <w:t>reported)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Adjustments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(as adjusted)</w:t>
            </w:r>
          </w:p>
        </w:tc>
        <w:tc>
          <w:tcPr>
            <w:tcW w:w="100" w:type="dxa"/>
            <w:vAlign w:val="bottom"/>
          </w:tcPr>
          <w:p>
            <w:pPr>
              <w:spacing w:after="0"/>
              <w:rPr>
                <w:sz w:val="19"/>
                <w:szCs w:val="19"/>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184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122</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3,975</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2,274</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Tradenames</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2,608</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2,450</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w:t>
            </w: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7,965</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(343)</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122</w:t>
            </w:r>
          </w:p>
        </w:tc>
        <w:tc>
          <w:tcPr>
            <w:tcW w:w="16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w:t>
            </w:r>
          </w:p>
        </w:tc>
      </w:tr>
      <w:tr>
        <w:trPr>
          <w:trHeight w:val="20"/>
        </w:trPr>
        <w:tc>
          <w:tcPr>
            <w:tcW w:w="4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19,685</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19,685</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fair value of the acquired customer relationship intangible assets were estimated using the excess earnings approach. The customer relationship intangible assets are being amortized based on the attrition rate of customers which have an estimated weighted average life of 18 years. The fair value of the acquired tradenames intangible asset was estimated using the relief from royalty method, a form of the income approach. The tradenames were determined to have an indefinite life.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three acquisitions completed during 2021 are described below.</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Baer, Inc.</w:t>
      </w:r>
    </w:p>
    <w:p>
      <w:pPr>
        <w:spacing w:after="0" w:line="15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On December 23, 2021, the Company acquired substantially all the assets and liabilities of Baer, Inc., doing business as Baer Brakes. Consideration for the assets acquired was cash payments of $22,170. The acquisition resulted in both amortizable and non-amortizable intangibles and goodwill totaling $ 18,989. The goodwill and intangibles generated as a result of this acquisition are deductible for income tax purposes. The purchase price was funded with borrowings from the Company's credit facility and cash on hand. The determination of the final purchase price allocation to specific assets acquired and liabilities assumed may change in future periods as the fair value estimates of inventory and intangibles are completed.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December 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Measurement</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23,</w:t>
            </w: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2021 (as initially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jc w:val="center"/>
              <w:ind w:right="460"/>
              <w:spacing w:after="0" w:line="202" w:lineRule="exact"/>
              <w:rPr>
                <w:sz w:val="20"/>
                <w:szCs w:val="20"/>
                <w:color w:val="auto"/>
              </w:rPr>
            </w:pPr>
            <w:r>
              <w:rPr>
                <w:rFonts w:ascii="Arial" w:cs="Arial" w:eastAsia="Arial" w:hAnsi="Arial"/>
                <w:sz w:val="18"/>
                <w:szCs w:val="18"/>
                <w:color w:val="auto"/>
                <w:w w:val="99"/>
              </w:rPr>
              <w:t>Period</w:t>
            </w: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2021 (as</w:t>
            </w:r>
          </w:p>
        </w:tc>
      </w:tr>
      <w:tr>
        <w:trPr>
          <w:trHeight w:val="221"/>
        </w:trPr>
        <w:tc>
          <w:tcPr>
            <w:tcW w:w="5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8"/>
              </w:rPr>
              <w:t>reported)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Adjustments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19"/>
                <w:szCs w:val="19"/>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627</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1,813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1,813</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695</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4,630</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6,075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6,075</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8,284</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1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w:t>
            </w: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w:t>
            </w:r>
          </w:p>
        </w:tc>
      </w:tr>
      <w:tr>
        <w:trPr>
          <w:trHeight w:val="20"/>
        </w:trPr>
        <w:tc>
          <w:tcPr>
            <w:tcW w:w="5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22,170</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22,170</w:t>
            </w: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$800.</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Brothers Mail Order Industries, Inc.</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On December 16, 2021, the Company acquired substantially all the assets and liabilities of Brothers Mail Order Industries, Inc., doing business as Brothers Trucks. Consideration for the assets acquired was cash payments of $26,135. The acquisition resulted in non-amortizable intangibles and goodwill totaling $24,835. The goodwill and intangibles generated as a result of this acquisition are deductible for income tax purposes. The purchase price was funded with borrowings from the Company's credit facility and cash on hand. The determination of the final purchase price allocation to specific assets acquired and liabilities assumed may change in future periods as the fair value estimates of inventory and intangibles are completed.</w:t>
      </w:r>
    </w:p>
    <w:p>
      <w:pPr>
        <w:spacing w:after="0" w:line="16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December 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Measurement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16,</w:t>
            </w:r>
          </w:p>
        </w:tc>
      </w:tr>
      <w:tr>
        <w:trPr>
          <w:trHeight w:val="203"/>
        </w:trPr>
        <w:tc>
          <w:tcPr>
            <w:tcW w:w="4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2021 (as initially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Period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2021 (as</w:t>
            </w:r>
          </w:p>
        </w:tc>
      </w:tr>
      <w:tr>
        <w:trPr>
          <w:trHeight w:val="221"/>
        </w:trPr>
        <w:tc>
          <w:tcPr>
            <w:tcW w:w="4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8"/>
              </w:rPr>
              <w:t>reported)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Adjustments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19"/>
                <w:szCs w:val="19"/>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1,682</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4,975</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19,561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19,860</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(403)</w:t>
            </w:r>
          </w:p>
        </w:tc>
      </w:tr>
      <w:tr>
        <w:trPr>
          <w:trHeight w:val="20"/>
        </w:trPr>
        <w:tc>
          <w:tcPr>
            <w:tcW w:w="4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25,836</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299</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26,135</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fair value of the acquired tradenames intangible asset was estimated using the relief from royalty method, a form of the income approach. The tradenames were determined to have an indefinite life.</w:t>
      </w:r>
    </w:p>
    <w:p>
      <w:pPr>
        <w:spacing w:after="0" w:line="140"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The contractual value of the accounts receivable acquired was $22.</w:t>
      </w:r>
    </w:p>
    <w:p>
      <w:pPr>
        <w:spacing w:after="0" w:line="198"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 Engine Management Inc.</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April 14, 2021, the Company acquired substantially all the assets and liabilities of Advance Engine Management Inc. doing business as AEM Performance Electronics. Consideration for the assets acquired was cash payments of $51,243. The acquisition resulted in both amortizable and non-amortizable intangibles and goodwill, totaling $44,486. The goodwill and intangibles generated as a result of this acquisition are deductible for income tax purposes. The purchase price was funded from cash on hand.</w:t>
      </w:r>
    </w:p>
    <w:p>
      <w:pPr>
        <w:spacing w:after="0" w:line="160"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rPr>
              <w:t>April 14, 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Measurement</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(as initially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Period</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April 14, 2021</w:t>
            </w:r>
          </w:p>
        </w:tc>
      </w:tr>
      <w:tr>
        <w:trPr>
          <w:trHeight w:val="221"/>
        </w:trPr>
        <w:tc>
          <w:tcPr>
            <w:tcW w:w="5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reported)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Adjustments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(as adjusted)</w:t>
            </w:r>
          </w:p>
        </w:tc>
        <w:tc>
          <w:tcPr>
            <w:tcW w:w="100" w:type="dxa"/>
            <w:vAlign w:val="bottom"/>
          </w:tcPr>
          <w:p>
            <w:pPr>
              <w:spacing w:after="0"/>
              <w:rPr>
                <w:sz w:val="19"/>
                <w:szCs w:val="19"/>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3,454</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3,393</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3,892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3,892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1,342</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10,760</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14,640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14,640</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1,970</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Technology intangibles</w:t>
            </w:r>
          </w:p>
        </w:tc>
        <w:tc>
          <w:tcPr>
            <w:tcW w:w="1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17,006</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7"/>
                <w:szCs w:val="17"/>
                <w:color w:val="auto"/>
              </w:rPr>
            </w:pPr>
          </w:p>
        </w:tc>
        <w:tc>
          <w:tcPr>
            <w:tcW w:w="1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110</w:t>
            </w: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(350)</w:t>
            </w:r>
          </w:p>
        </w:tc>
      </w:tr>
      <w:tr>
        <w:trPr>
          <w:trHeight w:val="20"/>
        </w:trPr>
        <w:tc>
          <w:tcPr>
            <w:tcW w:w="5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51,566</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(323)</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51,243</w:t>
            </w:r>
          </w:p>
        </w:tc>
      </w:tr>
      <w:tr>
        <w:trPr>
          <w:trHeight w:val="20"/>
        </w:trPr>
        <w:tc>
          <w:tcPr>
            <w:tcW w:w="5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13 years based on the weighted average remaining life of the patent portfolio.</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$3,454.</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July 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4420" w:type="dxa"/>
            <w:vAlign w:val="bottom"/>
            <w:gridSpan w:val="2"/>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61,146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54,818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21,728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4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108,494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214,867</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185,040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120" w:type="dxa"/>
            <w:vAlign w:val="bottom"/>
            <w:vMerge w:val="restart"/>
          </w:tcPr>
          <w:p>
            <w:pPr>
              <w:jc w:val="right"/>
              <w:ind w:right="1890"/>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July 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31,</w:t>
            </w:r>
          </w:p>
        </w:tc>
      </w:tr>
      <w:tr>
        <w:trPr>
          <w:trHeight w:val="221"/>
        </w:trPr>
        <w:tc>
          <w:tcPr>
            <w:tcW w:w="7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3,426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1,330</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10,623</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63,367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56,824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12,076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12,859</w:t>
            </w:r>
          </w:p>
        </w:tc>
      </w:tr>
      <w:tr>
        <w:trPr>
          <w:trHeight w:val="20"/>
        </w:trPr>
        <w:tc>
          <w:tcPr>
            <w:tcW w:w="7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89,804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81,636</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33,795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30,141</w:t>
            </w:r>
          </w:p>
        </w:tc>
      </w:tr>
      <w:tr>
        <w:trPr>
          <w:trHeight w:val="20"/>
        </w:trPr>
        <w:tc>
          <w:tcPr>
            <w:tcW w:w="7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56,009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51,495</w:t>
            </w:r>
          </w:p>
        </w:tc>
      </w:tr>
      <w:tr>
        <w:trPr>
          <w:trHeight w:val="403"/>
        </w:trPr>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69"/>
        </w:trPr>
        <w:tc>
          <w:tcPr>
            <w:tcW w:w="7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July 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31,</w:t>
            </w:r>
          </w:p>
        </w:tc>
      </w:tr>
      <w:tr>
        <w:trPr>
          <w:trHeight w:val="221"/>
        </w:trPr>
        <w:tc>
          <w:tcPr>
            <w:tcW w:w="7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54,260</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49,547</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1,948</w:t>
            </w:r>
          </w:p>
        </w:tc>
      </w:tr>
      <w:tr>
        <w:trPr>
          <w:trHeight w:val="20"/>
        </w:trPr>
        <w:tc>
          <w:tcPr>
            <w:tcW w:w="7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56,009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51,495</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changes to goodwill for the period indicated: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9" w:lineRule="exact"/>
        <w:rPr>
          <w:rFonts w:ascii="Arial" w:cs="Arial" w:eastAsia="Arial" w:hAnsi="Arial"/>
          <w:sz w:val="18"/>
          <w:szCs w:val="18"/>
          <w:b w:val="1"/>
          <w:bCs w:val="1"/>
          <w:color w:val="auto"/>
        </w:rPr>
      </w:pPr>
    </w:p>
    <w:p>
      <w:pPr>
        <w:ind w:left="340" w:right="5780"/>
        <w:spacing w:after="0" w:line="24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at December 31, 2021 </w:t>
      </w:r>
      <w:r>
        <w:rPr>
          <w:rFonts w:ascii="Arial" w:cs="Arial" w:eastAsia="Arial" w:hAnsi="Arial"/>
          <w:sz w:val="18"/>
          <w:szCs w:val="18"/>
          <w:color w:val="auto"/>
        </w:rPr>
        <w:t>John's acquisition</w:t>
      </w:r>
    </w:p>
    <w:p>
      <w:pPr>
        <w:ind w:left="340" w:right="560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SKC acquisition RaceQuip acquisition Measurement period adjustments*</w:t>
      </w:r>
    </w:p>
    <w:p>
      <w:pPr>
        <w:spacing w:after="0" w:line="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Balance at July 3, 2022</w:t>
      </w:r>
    </w:p>
    <w:p>
      <w:pPr>
        <w:spacing w:after="0" w:line="1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 See Note 2, "</w:t>
      </w:r>
      <w:r>
        <w:rPr>
          <w:rFonts w:ascii="Arial" w:cs="Arial" w:eastAsia="Arial" w:hAnsi="Arial"/>
          <w:sz w:val="17"/>
          <w:szCs w:val="17"/>
          <w:i w:val="1"/>
          <w:iCs w:val="1"/>
          <w:color w:val="auto"/>
        </w:rPr>
        <w:t>Business Combination and Acquisitions - Acquisitions</w:t>
      </w:r>
      <w:r>
        <w:rPr>
          <w:rFonts w:ascii="Arial" w:cs="Arial" w:eastAsia="Arial" w:hAnsi="Arial"/>
          <w:sz w:val="17"/>
          <w:szCs w:val="17"/>
          <w:color w:val="auto"/>
        </w:rPr>
        <w:t>,"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-929005</wp:posOffset>
            </wp:positionV>
            <wp:extent cx="67722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-671830</wp:posOffset>
            </wp:positionV>
            <wp:extent cx="677227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-414655</wp:posOffset>
            </wp:positionV>
            <wp:extent cx="67722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For the twenty-six</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weeks ended July</w:t>
      </w:r>
    </w:p>
    <w:p>
      <w:pPr>
        <w:jc w:val="center"/>
        <w:ind w:right="340"/>
        <w:spacing w:after="0"/>
        <w:rPr>
          <w:sz w:val="20"/>
          <w:szCs w:val="20"/>
          <w:color w:val="auto"/>
        </w:rPr>
      </w:pPr>
      <w:r>
        <w:rPr>
          <w:rFonts w:ascii="Arial" w:cs="Arial" w:eastAsia="Arial" w:hAnsi="Arial"/>
          <w:sz w:val="18"/>
          <w:szCs w:val="18"/>
          <w:color w:val="auto"/>
        </w:rPr>
        <w:t>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951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860" w:hanging="856"/>
        <w:spacing w:after="0"/>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411,383</w:t>
      </w:r>
    </w:p>
    <w:p>
      <w:pPr>
        <w:spacing w:after="0" w:line="7"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240</w:t>
      </w:r>
    </w:p>
    <w:p>
      <w:pPr>
        <w:spacing w:after="0" w:line="3"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1,270</w:t>
      </w:r>
    </w:p>
    <w:p>
      <w:pPr>
        <w:jc w:val="right"/>
        <w:ind w:right="340"/>
        <w:spacing w:after="0" w:line="234" w:lineRule="auto"/>
        <w:rPr>
          <w:sz w:val="20"/>
          <w:szCs w:val="20"/>
          <w:color w:val="auto"/>
        </w:rPr>
      </w:pPr>
      <w:r>
        <w:rPr>
          <w:rFonts w:ascii="Arial" w:cs="Arial" w:eastAsia="Arial" w:hAnsi="Arial"/>
          <w:sz w:val="18"/>
          <w:szCs w:val="18"/>
          <w:color w:val="auto"/>
        </w:rPr>
        <w:t>4,348</w:t>
      </w:r>
    </w:p>
    <w:p>
      <w:pPr>
        <w:spacing w:after="0" w:line="1"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98</w:t>
      </w:r>
    </w:p>
    <w:p>
      <w:pPr>
        <w:spacing w:after="0" w:line="9" w:lineRule="exact"/>
        <w:rPr>
          <w:sz w:val="20"/>
          <w:szCs w:val="20"/>
          <w:color w:val="auto"/>
        </w:rPr>
      </w:pPr>
    </w:p>
    <w:p>
      <w:pPr>
        <w:ind w:left="860" w:hanging="856"/>
        <w:spacing w:after="0"/>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417,339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951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wp:posOffset>
            </wp:positionV>
            <wp:extent cx="951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8680" w:space="720"/>
            <w:col w:w="1840"/>
          </w:cols>
          <w:pgMar w:left="320" w:top="121" w:right="339" w:bottom="1440" w:gutter="0" w:footer="0" w:header="0"/>
          <w:type w:val="continuous"/>
        </w:sectPr>
      </w:pPr>
    </w:p>
    <w:p>
      <w:pPr>
        <w:jc w:val="both"/>
        <w:ind w:left="340"/>
        <w:spacing w:after="0" w:line="244"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0"/>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July 3, 2022</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(38,401)</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231,549</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(4,481)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9,294</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(10,302)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16,374</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(53,184)</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257,217</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176,903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176,903</w:t>
            </w:r>
          </w:p>
        </w:tc>
      </w:tr>
      <w:tr>
        <w:trPr>
          <w:trHeight w:val="301"/>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268,438</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(32,662)</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235,776</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(4,119)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9,656</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(9,080)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17,595</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308,888</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(45,861)</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263,027</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175,434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175,434</w:t>
            </w: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July 3, 2022:</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2022 (excluding the twenty-six weeks ended July 3, 2022)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14,582</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13,769</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13,739</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13,633</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194,122</w:t>
            </w:r>
          </w:p>
        </w:tc>
      </w:t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257,217</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5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5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July 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31,</w:t>
            </w:r>
          </w:p>
        </w:tc>
      </w:tr>
      <w:tr>
        <w:trPr>
          <w:trHeight w:val="221"/>
        </w:trPr>
        <w:tc>
          <w:tcPr>
            <w:tcW w:w="7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652,350</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630,000</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Revolver</w:t>
            </w:r>
          </w:p>
        </w:tc>
        <w:tc>
          <w:tcPr>
            <w:tcW w:w="30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3,812</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30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(13,264)</w:t>
            </w:r>
          </w:p>
        </w:tc>
      </w:tr>
      <w:tr>
        <w:trPr>
          <w:trHeight w:val="20"/>
        </w:trPr>
        <w:tc>
          <w:tcPr>
            <w:tcW w:w="7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643,056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645,548</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30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(7,875)</w:t>
            </w:r>
          </w:p>
        </w:tc>
      </w:tr>
      <w:tr>
        <w:trPr>
          <w:trHeight w:val="20"/>
        </w:trPr>
        <w:tc>
          <w:tcPr>
            <w:tcW w:w="7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636,756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637,673</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On November 18, 2021, the Company entered into a new credit facility with a syndicate of lenders and Wells Fargo Bank, N.A., as administrative agent for the lenders, letter of credit issuer and swing line lender (the "Credit Agreement"). The financing consisted of a seven-year $600,000 first lien term loan, a five-year $125,000 revolving credit facility, and a $100,000 delayed draw term loan.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The proceeds of any delayed draw loans made after closing were available to the Company to finance acquisitions. As of July 3, 2022, the Company had drawn $57,000 under the delayed draw term loan. Availability under the delayed draw term loan expired in May 2022.</w:t>
      </w:r>
    </w:p>
    <w:p>
      <w:pPr>
        <w:spacing w:after="0" w:line="140"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$1,236 in outstanding letters of credit at July 3, 2022.</w:t>
      </w:r>
    </w:p>
    <w:p>
      <w:pPr>
        <w:spacing w:after="0" w:line="155"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Proceeds from the new credit facility were used to repay in full the Company’s obligations under its existing first lien and second lien notes and to pay $13,413 in original issue discount and issuance costs related to the refinancing.</w:t>
      </w:r>
    </w:p>
    <w:p>
      <w:pPr>
        <w:spacing w:after="0" w:line="14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first lien term loan is to be repaid in quarterly payments of $1,575through September 30, 2028 with the balance due upon maturity on November 17, 2028. Beginning with the fiscal year ending on December 31, 2022, the Company is required to make a payment based on its available free cash flow (as defined in the Credit Agreement). Any such payments offset future mandatory quarterly payments.</w:t>
      </w:r>
    </w:p>
    <w:p>
      <w:pPr>
        <w:spacing w:after="0" w:line="16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Amounts outstanding under the new credit facility will accrue interest at a rate equal to either the London Interbank Offering Rate ("LIBOR")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At July 3, 2022, the weighted average interest rate on the Company's borrowings under the credit facility was 5.2%.</w:t>
      </w:r>
    </w:p>
    <w:p>
      <w:pPr>
        <w:spacing w:after="0" w:line="163"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Obligations under the Credit Agreement are secured by substantially all of the Company’s assets. The Credit Agreement includes representations and warranties and affirmative and negative covenants customary for financings of this type, including, but not limited to, limitations on restricted payments, additional borrowings, additional investments, and asset sales. The Credit Agreement also requires that Holley maintain on the last day of each quarter, a Total Leverage Ratio not to exceed a maximum amount. At July 3, 2022, the Company was in compliance with all financial covenants.</w:t>
      </w:r>
    </w:p>
    <w:p>
      <w:pPr>
        <w:spacing w:after="0" w:line="163"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July 3, 2022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2022 (excluding the twenty-six weeks ended July 3, 2022)</w:t>
            </w:r>
          </w:p>
        </w:tc>
        <w:tc>
          <w:tcPr>
            <w:tcW w:w="2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7,132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1,782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7,140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7,335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624,004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4,190</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655,474</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12,418</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490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jc w:val="right"/>
              <w:ind w:right="1890"/>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98"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the Company's common stock at a price of $11.50 per share, subject to adjustments, commencing on October 9, 2021 (the one-year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the Company’s common stock. The Warrants expire on July 16, 2026, 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69"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may redeem the Public Warrants at a price of $0.01 per warrant upon 30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w:t>
      </w:r>
    </w:p>
    <w:p>
      <w:pPr>
        <w:spacing w:after="0" w:line="165"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Further, the Company may redeem the Public Warrants at a price of $0.10 per warrant upon 30 days' notice if the closing price of the Company’s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the Company’s common stock as determined by reference to a table in the warrant agreement.</w:t>
      </w:r>
    </w:p>
    <w:p>
      <w:pPr>
        <w:spacing w:after="0" w:line="162"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but the Company will use its commercially reasonable best efforts to register or qualify the shares under applicable blue sky laws to the extent an exemption is not available.</w:t>
      </w:r>
    </w:p>
    <w:p>
      <w:pPr>
        <w:spacing w:after="0" w:line="160"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 April 2022, the Company issued 33,333 shares of common stock in connection with the exercise of Public Warrants assumed in the Business Combination.</w:t>
      </w:r>
    </w:p>
    <w:p>
      <w:pPr>
        <w:spacing w:after="0" w:line="140"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July 3, 2022, a warrant liability with a fair value of $ 40,352 was reflected as a long-term liability in the condensed consolidated balance sheet, and a $23,168 and $20,941 decrease in the fair value of the warrant liability was reflected as change in fair value of warrant liability in the condensed consolidated statements of comprehensive income for the 13-week and 26-week periods ended July 3, 2022,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0"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73"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1"/>
          </w:tcPr>
          <w:p>
            <w:pPr>
              <w:jc w:val="right"/>
              <w:ind w:right="230"/>
              <w:spacing w:after="0"/>
              <w:rPr>
                <w:sz w:val="20"/>
                <w:szCs w:val="20"/>
                <w:color w:val="auto"/>
              </w:rPr>
            </w:pPr>
            <w:r>
              <w:rPr>
                <w:rFonts w:ascii="Arial" w:cs="Arial" w:eastAsia="Arial" w:hAnsi="Arial"/>
                <w:sz w:val="18"/>
                <w:szCs w:val="18"/>
                <w:color w:val="auto"/>
              </w:rPr>
              <w:t>Fair Value Measured as of July 3, 2022</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40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included in:</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26,212</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26,212</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14,140</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14,140</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20"/>
              <w:spacing w:after="0" w:line="202"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10,054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10,054</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w:t>
            </w:r>
          </w:p>
        </w:tc>
        <w:tc>
          <w:tcPr>
            <w:tcW w:w="2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820"/>
              <w:spacing w:after="0" w:line="182" w:lineRule="exact"/>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24,194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50,406</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18"/>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color w:val="auto"/>
              </w:rPr>
              <w:t>Fair Value Measured as of December 31, 2021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40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included in:</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39,500</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39,500</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21,793</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21,793</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20"/>
              <w:spacing w:after="0" w:line="202"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26,596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26,596</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w:t>
            </w:r>
          </w:p>
        </w:tc>
        <w:tc>
          <w:tcPr>
            <w:tcW w:w="2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820"/>
              <w:spacing w:after="0" w:line="182" w:lineRule="exact"/>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48,389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87,889</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1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As of July 3, 2022, the Company's derivative liabilities for its private and public warrants and the earn-out liability (see Note 2,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and Acquisitions,</w:t>
      </w:r>
      <w:r>
        <w:rPr>
          <w:rFonts w:ascii="Arial" w:cs="Arial" w:eastAsia="Arial" w:hAnsi="Arial"/>
          <w:sz w:val="18"/>
          <w:szCs w:val="18"/>
          <w:color w:val="auto"/>
        </w:rPr>
        <w:t>” for more details) are measured at fair value on a recurring basis. The fair value for the private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w:t>
      </w:r>
    </w:p>
    <w:p>
      <w:pPr>
        <w:spacing w:after="0" w:line="102"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6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July 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21"/>
        </w:trPr>
        <w:tc>
          <w:tcPr>
            <w:tcW w:w="46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680" w:type="dxa"/>
            <w:vAlign w:val="bottom"/>
            <w:gridSpan w:val="2"/>
            <w:shd w:val="clear" w:color="auto" w:fill="CCEEFF"/>
          </w:tcPr>
          <w:p>
            <w:pPr>
              <w:jc w:val="right"/>
              <w:ind w:right="83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12.99</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680" w:type="dxa"/>
            <w:vAlign w:val="bottom"/>
            <w:gridSpan w:val="2"/>
          </w:tcPr>
          <w:p>
            <w:pPr>
              <w:jc w:val="right"/>
              <w:ind w:right="83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2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680" w:type="dxa"/>
            <w:vAlign w:val="bottom"/>
            <w:gridSpan w:val="2"/>
          </w:tcPr>
          <w:p>
            <w:pPr>
              <w:jc w:val="right"/>
              <w:ind w:right="83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39"/>
        </w:trPr>
        <w:tc>
          <w:tcPr>
            <w:tcW w:w="4600" w:type="dxa"/>
            <w:vAlign w:val="bottom"/>
          </w:tcPr>
          <w:p>
            <w:pPr>
              <w:spacing w:after="0"/>
              <w:rPr>
                <w:sz w:val="20"/>
                <w:szCs w:val="20"/>
                <w:color w:val="auto"/>
              </w:rPr>
            </w:pPr>
            <w:r>
              <w:rPr>
                <w:rFonts w:ascii="Arial" w:cs="Arial" w:eastAsia="Arial" w:hAnsi="Arial"/>
                <w:sz w:val="18"/>
                <w:szCs w:val="18"/>
                <w:color w:val="auto"/>
              </w:rPr>
              <w:t>Price threshold</w:t>
            </w:r>
          </w:p>
        </w:tc>
        <w:tc>
          <w:tcPr>
            <w:tcW w:w="36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r>
    </w:tbl>
    <w:p>
      <w:pPr>
        <w:spacing w:after="0" w:line="80"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July 3,</w:t>
            </w: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8"/>
                <w:szCs w:val="18"/>
                <w:color w:val="auto"/>
              </w:rPr>
            </w:pPr>
          </w:p>
        </w:tc>
      </w:tr>
      <w:tr>
        <w:trPr>
          <w:trHeight w:val="221"/>
        </w:trPr>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12.99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6.04</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39.78%</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40.59%</w:t>
            </w:r>
          </w:p>
        </w:tc>
        <w:tc>
          <w:tcPr>
            <w:tcW w:w="2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2.86%</w:t>
            </w: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 1</w:t>
            </w: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not applicable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13.00</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Price hurdle 2</w:t>
            </w:r>
          </w:p>
        </w:tc>
        <w:tc>
          <w:tcPr>
            <w:tcW w:w="3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20"/>
                <w:szCs w:val="20"/>
                <w:color w:val="auto"/>
              </w:rPr>
            </w:pPr>
          </w:p>
        </w:tc>
      </w:tr>
      <w:tr>
        <w:trPr>
          <w:trHeight w:val="305"/>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00" w:type="dxa"/>
            <w:vAlign w:val="bottom"/>
          </w:tcPr>
          <w:p>
            <w:pPr>
              <w:jc w:val="right"/>
              <w:ind w:right="179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As of July 3, 2022 and December 31, 2021,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during the 26-week period ended July 3, 2022 is as follows: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9"/>
          </w:tcPr>
          <w:p>
            <w:pPr>
              <w:jc w:val="right"/>
              <w:ind w:right="780"/>
              <w:spacing w:after="0"/>
              <w:rPr>
                <w:sz w:val="20"/>
                <w:szCs w:val="20"/>
                <w:color w:val="auto"/>
              </w:rPr>
            </w:pPr>
            <w:r>
              <w:rPr>
                <w:rFonts w:ascii="Arial" w:cs="Arial" w:eastAsia="Arial" w:hAnsi="Arial"/>
                <w:sz w:val="18"/>
                <w:szCs w:val="18"/>
                <w:color w:val="auto"/>
              </w:rPr>
              <w:t>For the twenty-six weeks ended July 3, 2022</w:t>
            </w:r>
          </w:p>
        </w:tc>
      </w:tr>
      <w:tr>
        <w:trPr>
          <w:trHeight w:val="196"/>
        </w:trPr>
        <w:tc>
          <w:tcPr>
            <w:tcW w:w="5640" w:type="dxa"/>
            <w:vAlign w:val="bottom"/>
          </w:tcPr>
          <w:p>
            <w:pPr>
              <w:spacing w:after="0"/>
              <w:rPr>
                <w:sz w:val="17"/>
                <w:szCs w:val="17"/>
                <w:color w:val="auto"/>
              </w:rPr>
            </w:pPr>
          </w:p>
        </w:tc>
        <w:tc>
          <w:tcPr>
            <w:tcW w:w="15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Private Warrants</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Earn-Out Liability</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21,793</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26,596</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48,389</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Liabilities reclassed to equity</w:t>
            </w:r>
          </w:p>
        </w:tc>
        <w:tc>
          <w:tcPr>
            <w:tcW w:w="4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(14,689)</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(14,689)</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Losses included in earnings</w:t>
            </w:r>
          </w:p>
        </w:tc>
        <w:tc>
          <w:tcPr>
            <w:tcW w:w="4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(7,653)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(1,853)</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(9,506)</w:t>
            </w:r>
          </w:p>
        </w:tc>
      </w:tr>
      <w:tr>
        <w:trPr>
          <w:trHeight w:val="20"/>
        </w:trPr>
        <w:tc>
          <w:tcPr>
            <w:tcW w:w="56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July 3, 2022</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14,140</w:t>
            </w:r>
          </w:p>
        </w:tc>
        <w:tc>
          <w:tcPr>
            <w:tcW w:w="140" w:type="dxa"/>
            <w:vAlign w:val="bottom"/>
          </w:tcPr>
          <w:p>
            <w:pPr>
              <w:spacing w:after="0"/>
              <w:rPr>
                <w:sz w:val="17"/>
                <w:szCs w:val="17"/>
                <w:color w:val="auto"/>
              </w:rPr>
            </w:pPr>
          </w:p>
        </w:tc>
        <w:tc>
          <w:tcPr>
            <w:tcW w:w="580" w:type="dxa"/>
            <w:vAlign w:val="bottom"/>
            <w:gridSpan w:val="2"/>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10,054</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24,194</w:t>
            </w:r>
          </w:p>
        </w:tc>
      </w:tr>
      <w:tr>
        <w:trPr>
          <w:trHeight w:val="20"/>
        </w:trPr>
        <w:tc>
          <w:tcPr>
            <w:tcW w:w="5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62"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55"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63"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16 for more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following table summarizes total revenue by product category. The Company's product category definitions have been revised by management in 2022. The prior-year period has been revised to conform with the current presentation. There is no change to total sales.</w:t>
      </w:r>
    </w:p>
    <w:p>
      <w:pPr>
        <w:spacing w:after="0" w:line="10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July 3, 2022</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71,060</w:t>
            </w:r>
          </w:p>
        </w:tc>
        <w:tc>
          <w:tcPr>
            <w:tcW w:w="5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87,195</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157,206</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157,934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44,206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42,042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90,048</w:t>
            </w:r>
          </w:p>
        </w:tc>
        <w:tc>
          <w:tcPr>
            <w:tcW w:w="3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78,131</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18,037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23,042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37,369</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43,342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28,353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57,099</w:t>
            </w:r>
          </w:p>
        </w:tc>
        <w:tc>
          <w:tcPr>
            <w:tcW w:w="3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39,941</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17,764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37,753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34,025</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sales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179,420</w:t>
            </w:r>
          </w:p>
        </w:tc>
        <w:tc>
          <w:tcPr>
            <w:tcW w:w="200" w:type="dxa"/>
            <w:vAlign w:val="bottom"/>
          </w:tcPr>
          <w:p>
            <w:pPr>
              <w:spacing w:after="0"/>
              <w:rPr>
                <w:sz w:val="17"/>
                <w:szCs w:val="17"/>
                <w:color w:val="auto"/>
              </w:rPr>
            </w:pPr>
          </w:p>
        </w:tc>
        <w:tc>
          <w:tcPr>
            <w:tcW w:w="3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193,041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379,475</w:t>
            </w:r>
          </w:p>
        </w:tc>
        <w:tc>
          <w:tcPr>
            <w:tcW w:w="180" w:type="dxa"/>
            <w:vAlign w:val="bottom"/>
          </w:tcPr>
          <w:p>
            <w:pPr>
              <w:spacing w:after="0"/>
              <w:rPr>
                <w:sz w:val="17"/>
                <w:szCs w:val="17"/>
                <w:color w:val="auto"/>
              </w:rPr>
            </w:pPr>
          </w:p>
        </w:tc>
        <w:tc>
          <w:tcPr>
            <w:tcW w:w="3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353,373</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For the 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8890</wp:posOffset>
            </wp:positionV>
            <wp:extent cx="1654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7000" w:val="left"/>
        </w:tabs>
        <w:rPr>
          <w:sz w:val="20"/>
          <w:szCs w:val="20"/>
          <w:color w:val="auto"/>
        </w:rPr>
      </w:pPr>
      <w:r>
        <w:rPr>
          <w:rFonts w:ascii="Arial" w:cs="Arial" w:eastAsia="Arial" w:hAnsi="Arial"/>
          <w:sz w:val="18"/>
          <w:szCs w:val="18"/>
          <w:color w:val="auto"/>
        </w:rPr>
        <w:t>July 3, 2022</w:t>
      </w:r>
      <w:r>
        <w:rPr>
          <w:sz w:val="20"/>
          <w:szCs w:val="20"/>
          <w:color w:val="auto"/>
        </w:rPr>
        <w:tab/>
      </w:r>
      <w:r>
        <w:rPr>
          <w:rFonts w:ascii="Arial" w:cs="Arial" w:eastAsia="Arial" w:hAnsi="Arial"/>
          <w:sz w:val="17"/>
          <w:szCs w:val="17"/>
          <w:color w:val="auto"/>
        </w:rPr>
        <w:t>June 27, 2021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ind w:right="340"/>
        <w:spacing w:after="0" w:line="265" w:lineRule="auto"/>
        <w:rPr>
          <w:sz w:val="20"/>
          <w:szCs w:val="20"/>
          <w:color w:val="auto"/>
        </w:rPr>
      </w:pPr>
      <w:r>
        <w:rPr>
          <w:rFonts w:ascii="Arial" w:cs="Arial" w:eastAsia="Arial" w:hAnsi="Arial"/>
          <w:sz w:val="18"/>
          <w:szCs w:val="18"/>
          <w:u w:val="single" w:color="auto"/>
          <w:color w:val="auto"/>
        </w:rPr>
        <w:t xml:space="preserve">For the twenty-six weeks ended </w:t>
      </w:r>
      <w:r>
        <w:rPr>
          <w:rFonts w:ascii="Arial" w:cs="Arial" w:eastAsia="Arial" w:hAnsi="Arial"/>
          <w:sz w:val="18"/>
          <w:szCs w:val="18"/>
          <w:color w:val="auto"/>
        </w:rPr>
        <w:t>July 3, 2022   June 27, 2021</w:t>
      </w:r>
    </w:p>
    <w:p>
      <w:pPr>
        <w:spacing w:after="0" w:line="1" w:lineRule="exact"/>
        <w:rPr>
          <w:sz w:val="20"/>
          <w:szCs w:val="20"/>
          <w:color w:val="auto"/>
        </w:rPr>
      </w:pPr>
    </w:p>
    <w:p>
      <w:pPr>
        <w:sectPr>
          <w:pgSz w:w="11900" w:h="16838" w:orient="portrait"/>
          <w:cols w:equalWidth="0" w:num="2">
            <w:col w:w="8160" w:space="200"/>
            <w:col w:w="2880"/>
          </w:cols>
          <w:pgMar w:left="320" w:top="121" w:right="339" w:bottom="1440" w:gutter="0" w:footer="0" w:header="0"/>
          <w:type w:val="continuous"/>
        </w:sectPr>
      </w:pPr>
    </w:p>
    <w:tbl>
      <w:tblPr>
        <w:tblLayout w:type="fixed"/>
        <w:tblInd w:w="340" w:type="dxa"/>
        <w:tblCellMar>
          <w:top w:w="0" w:type="dxa"/>
          <w:left w:w="0" w:type="dxa"/>
          <w:bottom w:w="0" w:type="dxa"/>
          <w:right w:w="0" w:type="dxa"/>
        </w:tblCellMar>
      </w:tblPr>
      <w:tr>
        <w:trPr>
          <w:trHeight w:val="20"/>
        </w:trPr>
        <w:tc>
          <w:tcPr>
            <w:tcW w:w="5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173,514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187,993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369,573</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345,570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9,902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7,803</w:t>
            </w:r>
          </w:p>
        </w:tc>
      </w:tr>
      <w:tr>
        <w:trPr>
          <w:trHeight w:val="20"/>
        </w:trPr>
        <w:tc>
          <w:tcPr>
            <w:tcW w:w="5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sales</w:t>
            </w:r>
          </w:p>
        </w:tc>
        <w:tc>
          <w:tcPr>
            <w:tcW w:w="3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179,420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193,041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379,475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353,373</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58"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6"/>
          </w:tcPr>
          <w:p>
            <w:pPr>
              <w:jc w:val="right"/>
              <w:ind w:right="380"/>
              <w:spacing w:after="0"/>
              <w:rPr>
                <w:sz w:val="20"/>
                <w:szCs w:val="20"/>
                <w:color w:val="auto"/>
              </w:rPr>
            </w:pPr>
            <w:r>
              <w:rPr>
                <w:rFonts w:ascii="Arial" w:cs="Arial" w:eastAsia="Arial" w:hAnsi="Arial"/>
                <w:sz w:val="18"/>
                <w:szCs w:val="18"/>
                <w:color w:val="auto"/>
                <w:w w:val="99"/>
              </w:rPr>
              <w:t>For the thirteen weeks ended</w:t>
            </w:r>
          </w:p>
        </w:tc>
        <w:tc>
          <w:tcPr>
            <w:tcW w:w="2760" w:type="dxa"/>
            <w:vAlign w:val="bottom"/>
            <w:gridSpan w:val="7"/>
          </w:tcPr>
          <w:p>
            <w:pPr>
              <w:jc w:val="right"/>
              <w:ind w:right="200"/>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06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ind w:left="100"/>
              <w:spacing w:after="0" w:line="196" w:lineRule="exact"/>
              <w:rPr>
                <w:sz w:val="20"/>
                <w:szCs w:val="20"/>
                <w:color w:val="auto"/>
              </w:rPr>
            </w:pPr>
            <w:r>
              <w:rPr>
                <w:rFonts w:ascii="Arial" w:cs="Arial" w:eastAsia="Arial" w:hAnsi="Arial"/>
                <w:sz w:val="18"/>
                <w:szCs w:val="18"/>
                <w:color w:val="auto"/>
              </w:rPr>
              <w:t>July 3, 2022</w:t>
            </w: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8"/>
              </w:rPr>
              <w:t>June 27, 2021</w:t>
            </w:r>
          </w:p>
        </w:tc>
        <w:tc>
          <w:tcPr>
            <w:tcW w:w="26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ind w:left="100"/>
              <w:spacing w:after="0" w:line="196" w:lineRule="exact"/>
              <w:rPr>
                <w:sz w:val="20"/>
                <w:szCs w:val="20"/>
                <w:color w:val="auto"/>
              </w:rPr>
            </w:pPr>
            <w:r>
              <w:rPr>
                <w:rFonts w:ascii="Arial" w:cs="Arial" w:eastAsia="Arial" w:hAnsi="Arial"/>
                <w:sz w:val="18"/>
                <w:szCs w:val="18"/>
                <w:color w:val="auto"/>
              </w:rPr>
              <w:t>July 3, 2022</w:t>
            </w: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June 27, 2021</w:t>
            </w:r>
          </w:p>
        </w:tc>
        <w:tc>
          <w:tcPr>
            <w:tcW w:w="160" w:type="dxa"/>
            <w:vAlign w:val="bottom"/>
          </w:tcPr>
          <w:p>
            <w:pPr>
              <w:spacing w:after="0"/>
              <w:rPr>
                <w:sz w:val="17"/>
                <w:szCs w:val="17"/>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3,023</w:t>
            </w:r>
          </w:p>
        </w:tc>
        <w:tc>
          <w:tcPr>
            <w:tcW w:w="46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5,790</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10,211</w:t>
            </w:r>
          </w:p>
        </w:tc>
        <w:tc>
          <w:tcPr>
            <w:tcW w:w="400" w:type="dxa"/>
            <w:vAlign w:val="bottom"/>
            <w:gridSpan w:val="2"/>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10,556</w:t>
            </w:r>
          </w:p>
        </w:tc>
      </w:tr>
      <w:tr>
        <w:trPr>
          <w:trHeight w:val="239"/>
        </w:trPr>
        <w:tc>
          <w:tcPr>
            <w:tcW w:w="5060" w:type="dxa"/>
            <w:vAlign w:val="bottom"/>
          </w:tcPr>
          <w:p>
            <w:pPr>
              <w:spacing w:after="0"/>
              <w:rPr>
                <w:sz w:val="20"/>
                <w:szCs w:val="20"/>
                <w:color w:val="auto"/>
              </w:rPr>
            </w:pPr>
            <w:r>
              <w:rPr>
                <w:rFonts w:ascii="Arial" w:cs="Arial" w:eastAsia="Arial" w:hAnsi="Arial"/>
                <w:sz w:val="18"/>
                <w:szCs w:val="18"/>
                <w:color w:val="auto"/>
              </w:rPr>
              <w:t>Effective tax rates</w:t>
            </w: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33.4%</w:t>
            </w:r>
          </w:p>
        </w:tc>
      </w:tr>
    </w:tbl>
    <w:p>
      <w:pPr>
        <w:spacing w:after="0" w:line="10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For the 13-week period ended July 3, 2022, the Company's effective tax rate of 6.9% differed from the 21% federal statutory rate primarily due to permanent differences related to changes in fair value of the Private Warrants and the earn-out liability recognized during the period. For the 13-week period ended June 27, 2021, the Company’s effective tax rate was 20.0%.</w:t>
      </w:r>
    </w:p>
    <w:p>
      <w:pPr>
        <w:spacing w:after="0" w:line="115"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For the 26-week period ended July 3, 2022, the Company's effective tax rate of 15.1% differed from the 21% federal statutory rate primarily due to permanent differences related to changes in fair value of the Private Warrants and the earn-out liability recognized during the period. For the 26-week period ended June 27, 2021, the Company’s effective tax rate of 33.4% differed from the 21% federal statutory rate primarily due a permanent difference resulting from the change in fair value of an earn-out liability related to the 2020 acquisition of Simpson Performance Products ("Simpson") recognized during the period.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July 3, 2022</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color w:val="auto"/>
                <w:w w:val="98"/>
              </w:rPr>
              <w:t>July 3, 2022</w:t>
            </w:r>
          </w:p>
        </w:tc>
        <w:tc>
          <w:tcPr>
            <w:tcW w:w="118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income - basic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40,563</w:t>
            </w:r>
          </w:p>
        </w:tc>
        <w:tc>
          <w:tcPr>
            <w:tcW w:w="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23,098</w:t>
            </w: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57,421</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21,042</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fair value adjustment for warrants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(20,941)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Net income - diluted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40,563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23,098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36,480</w:t>
            </w:r>
          </w:p>
        </w:tc>
        <w:tc>
          <w:tcPr>
            <w:tcW w:w="18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21,042</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116,931,623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67,673,884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116,398,177</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67,673,884</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182,930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177,642</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warrants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768,156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117,114,553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67,673,884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117,343,975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67,673,884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0.35</w:t>
            </w: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0.34</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0.31</w:t>
            </w:r>
          </w:p>
        </w:tc>
      </w:tr>
      <w:tr>
        <w:trPr>
          <w:trHeight w:val="239"/>
        </w:trPr>
        <w:tc>
          <w:tcPr>
            <w:tcW w:w="52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r>
    </w:tbl>
    <w:p>
      <w:pPr>
        <w:spacing w:after="0" w:line="6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for the thirteen weeks ended July 3, 2022 are excluded from the calculation of diluted earnings per share.</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center"/>
              <w:ind w:right="80"/>
              <w:spacing w:after="0"/>
              <w:rPr>
                <w:sz w:val="20"/>
                <w:szCs w:val="20"/>
                <w:color w:val="auto"/>
              </w:rPr>
            </w:pPr>
            <w:r>
              <w:rPr>
                <w:rFonts w:ascii="Arial" w:cs="Arial" w:eastAsia="Arial" w:hAnsi="Arial"/>
                <w:sz w:val="18"/>
                <w:szCs w:val="18"/>
                <w:color w:val="auto"/>
                <w:w w:val="99"/>
              </w:rPr>
              <w:t>For the twenty-six weeks</w:t>
            </w:r>
          </w:p>
        </w:tc>
      </w:tr>
      <w:tr>
        <w:trPr>
          <w:trHeight w:val="221"/>
        </w:trPr>
        <w:tc>
          <w:tcPr>
            <w:tcW w:w="5220" w:type="dxa"/>
            <w:vAlign w:val="bottom"/>
          </w:tcPr>
          <w:p>
            <w:pPr>
              <w:spacing w:after="0"/>
              <w:rPr>
                <w:sz w:val="19"/>
                <w:szCs w:val="19"/>
                <w:color w:val="auto"/>
              </w:rPr>
            </w:pPr>
          </w:p>
        </w:tc>
        <w:tc>
          <w:tcPr>
            <w:tcW w:w="2820" w:type="dxa"/>
            <w:vAlign w:val="bottom"/>
            <w:gridSpan w:val="4"/>
          </w:tcPr>
          <w:p>
            <w:pPr>
              <w:ind w:left="140"/>
              <w:spacing w:after="0"/>
              <w:rPr>
                <w:sz w:val="20"/>
                <w:szCs w:val="20"/>
                <w:color w:val="auto"/>
              </w:rPr>
            </w:pPr>
            <w:r>
              <w:rPr>
                <w:rFonts w:ascii="Arial" w:cs="Arial" w:eastAsia="Arial" w:hAnsi="Arial"/>
                <w:sz w:val="18"/>
                <w:szCs w:val="18"/>
                <w:color w:val="auto"/>
              </w:rPr>
              <w:t>For the thirteen weeks ended</w:t>
            </w:r>
          </w:p>
        </w:tc>
        <w:tc>
          <w:tcPr>
            <w:tcW w:w="2620" w:type="dxa"/>
            <w:vAlign w:val="bottom"/>
            <w:gridSpan w:val="4"/>
          </w:tcPr>
          <w:p>
            <w:pPr>
              <w:jc w:val="center"/>
              <w:ind w:right="80"/>
              <w:spacing w:after="0"/>
              <w:rPr>
                <w:sz w:val="20"/>
                <w:szCs w:val="20"/>
                <w:color w:val="auto"/>
              </w:rPr>
            </w:pPr>
            <w:r>
              <w:rPr>
                <w:rFonts w:ascii="Arial" w:cs="Arial" w:eastAsia="Arial" w:hAnsi="Arial"/>
                <w:sz w:val="18"/>
                <w:szCs w:val="18"/>
                <w:color w:val="auto"/>
                <w:w w:val="99"/>
              </w:rPr>
              <w:t>ended</w:t>
            </w:r>
          </w:p>
        </w:tc>
      </w:tr>
      <w:tr>
        <w:trPr>
          <w:trHeight w:val="196"/>
        </w:trPr>
        <w:tc>
          <w:tcPr>
            <w:tcW w:w="5220" w:type="dxa"/>
            <w:vAlign w:val="bottom"/>
          </w:tcPr>
          <w:p>
            <w:pPr>
              <w:spacing w:after="0"/>
              <w:rPr>
                <w:sz w:val="17"/>
                <w:szCs w:val="17"/>
                <w:color w:val="auto"/>
              </w:rPr>
            </w:pPr>
          </w:p>
        </w:tc>
        <w:tc>
          <w:tcPr>
            <w:tcW w:w="1420" w:type="dxa"/>
            <w:vAlign w:val="bottom"/>
            <w:tcBorders>
              <w:top w:val="single" w:sz="8" w:color="auto"/>
            </w:tcBorders>
            <w:gridSpan w:val="2"/>
          </w:tcPr>
          <w:p>
            <w:pPr>
              <w:ind w:left="120"/>
              <w:spacing w:after="0" w:line="196" w:lineRule="exact"/>
              <w:rPr>
                <w:sz w:val="20"/>
                <w:szCs w:val="20"/>
                <w:color w:val="auto"/>
              </w:rPr>
            </w:pPr>
            <w:r>
              <w:rPr>
                <w:rFonts w:ascii="Arial" w:cs="Arial" w:eastAsia="Arial" w:hAnsi="Arial"/>
                <w:sz w:val="18"/>
                <w:szCs w:val="18"/>
                <w:color w:val="auto"/>
              </w:rPr>
              <w:t>July 3, 2022</w:t>
            </w:r>
          </w:p>
        </w:tc>
        <w:tc>
          <w:tcPr>
            <w:tcW w:w="11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June 27, 2021</w:t>
            </w: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ind w:left="100"/>
              <w:spacing w:after="0" w:line="196" w:lineRule="exact"/>
              <w:rPr>
                <w:sz w:val="20"/>
                <w:szCs w:val="20"/>
                <w:color w:val="auto"/>
              </w:rPr>
            </w:pPr>
            <w:r>
              <w:rPr>
                <w:rFonts w:ascii="Arial" w:cs="Arial" w:eastAsia="Arial" w:hAnsi="Arial"/>
                <w:sz w:val="18"/>
                <w:szCs w:val="18"/>
                <w:color w:val="auto"/>
              </w:rPr>
              <w:t>July 3, 2022</w:t>
            </w:r>
          </w:p>
        </w:tc>
        <w:tc>
          <w:tcPr>
            <w:tcW w:w="116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w w:val="98"/>
              </w:rPr>
              <w:t>June 27,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4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1,960,708</w:t>
            </w:r>
          </w:p>
        </w:tc>
        <w:tc>
          <w:tcPr>
            <w:tcW w:w="140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1,960,708</w:t>
            </w:r>
          </w:p>
        </w:tc>
        <w:tc>
          <w:tcPr>
            <w:tcW w:w="126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220,051</w:t>
            </w:r>
          </w:p>
        </w:tc>
        <w:tc>
          <w:tcPr>
            <w:tcW w:w="220" w:type="dxa"/>
            <w:vAlign w:val="bottom"/>
          </w:tcPr>
          <w:p>
            <w:pPr>
              <w:spacing w:after="0"/>
              <w:rPr>
                <w:sz w:val="17"/>
                <w:szCs w:val="17"/>
                <w:color w:val="auto"/>
              </w:rPr>
            </w:pPr>
          </w:p>
        </w:tc>
        <w:tc>
          <w:tcPr>
            <w:tcW w:w="14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220,051</w:t>
            </w:r>
          </w:p>
        </w:tc>
        <w:tc>
          <w:tcPr>
            <w:tcW w:w="12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Earn-out shares</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1,093,750</w:t>
            </w:r>
          </w:p>
        </w:tc>
        <w:tc>
          <w:tcPr>
            <w:tcW w:w="126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anti-dilutive shares</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17,907,820</w:t>
            </w:r>
          </w:p>
        </w:tc>
        <w:tc>
          <w:tcPr>
            <w:tcW w:w="220" w:type="dxa"/>
            <w:vAlign w:val="bottom"/>
          </w:tcPr>
          <w:p>
            <w:pPr>
              <w:spacing w:after="0"/>
              <w:rPr>
                <w:sz w:val="17"/>
                <w:szCs w:val="17"/>
                <w:color w:val="auto"/>
              </w:rPr>
            </w:pPr>
          </w:p>
        </w:tc>
        <w:tc>
          <w:tcPr>
            <w:tcW w:w="1400" w:type="dxa"/>
            <w:vAlign w:val="bottom"/>
            <w:gridSpan w:val="2"/>
          </w:tcPr>
          <w:p>
            <w:pPr>
              <w:ind w:left="1000"/>
              <w:spacing w:after="0" w:line="18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3,274,509</w:t>
            </w:r>
          </w:p>
        </w:tc>
        <w:tc>
          <w:tcPr>
            <w:tcW w:w="1260" w:type="dxa"/>
            <w:vAlign w:val="bottom"/>
            <w:gridSpan w:val="2"/>
          </w:tcPr>
          <w:p>
            <w:pPr>
              <w:ind w:left="980"/>
              <w:spacing w:after="0" w:line="18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17"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has a defined benefit pension plan (the “Plan”) for its employees. On January 28, 2022, the Company approved the termination of the Plan, effective March 31, 2022. Distribution of the Plan's assets, pursuant to the termination, will not be made until the Plan termination satisfies all regulatory requirements, which is expected to be completed by the fourth quarter of 2022. Plan participants will receive their full accrued benefits from the Plan's assets by electing either lump sum distributions or annuity contracts with a qualifying third-party annuity provider. The resulting settlement effect of the Plan termination will be determined based on prevailing market conditions, the lump sum offer participation rate of eligible participants, the actual lump sum distributions, and annuity purchase rates at the date of distribution. The Company estimates that the settlement charge will be in the range of $400 - $550.</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summarizes the components of net periodic benefit cost for the Plan:</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6"/>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color w:val="auto"/>
                <w:w w:val="98"/>
              </w:rPr>
              <w:t>July 3, 2022</w:t>
            </w: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w w:val="99"/>
              </w:rPr>
              <w:t>June 27, 2021</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color w:val="auto"/>
                <w:w w:val="98"/>
              </w:rPr>
              <w:t>July 3, 2022</w:t>
            </w:r>
          </w:p>
        </w:tc>
        <w:tc>
          <w:tcPr>
            <w:tcW w:w="118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expense: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6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5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w:t>
            </w:r>
          </w:p>
        </w:tc>
        <w:tc>
          <w:tcPr>
            <w:tcW w:w="5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(104)</w:t>
            </w:r>
          </w:p>
        </w:tc>
        <w:tc>
          <w:tcPr>
            <w:tcW w:w="5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Net periodic benefit cost</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100" w:type="dxa"/>
            <w:vAlign w:val="bottom"/>
          </w:tcPr>
          <w:p>
            <w:pPr>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5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18</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made matching contributions totaling $ 1,156 and $526 to our 401(k) plan during the 13-week periods ended July 3, 2022 and June 27, 2021, respectively. The Company made matching contributions totaling $1,844 and $1,000 to our 401(k) plan during the 26-week periods ended July 3, 2022 and June 27, 2021, respectively.</w:t>
      </w:r>
    </w:p>
    <w:p>
      <w:pPr>
        <w:spacing w:after="0" w:line="11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made no contributions and contributions of $98 to the Plan during the 13-week periods ended July 3, 2022 and June 27, 2021, respectively. The Company made contributions of $150 and $117 to the Plan during the 26-week periods ended July 3, 2022 and June 27, 2021, respectively.</w:t>
      </w:r>
    </w:p>
    <w:p>
      <w:pPr>
        <w:spacing w:after="0" w:line="19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130"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which provides for the grant of restricted stock awards, incentive and nonqualified stock options, and other share based awards to employees, directors and non-employees. The 2021 Plan authorized 8,850,000 shares of the Company’s common stock to be available for award grants. As of July 3, 2022, 5,951,568 shares of common stock remained available for future issuance under the 2021 Plan.</w:t>
      </w:r>
    </w:p>
    <w:p>
      <w:pPr>
        <w:spacing w:after="0" w:line="9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July 3, 2022</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652</w:t>
            </w:r>
          </w:p>
        </w:tc>
        <w:tc>
          <w:tcPr>
            <w:tcW w:w="6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1,205</w:t>
            </w:r>
          </w:p>
        </w:tc>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2,533</w:t>
            </w:r>
          </w:p>
        </w:tc>
        <w:tc>
          <w:tcPr>
            <w:tcW w:w="5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Profit interest units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2,907</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w:t>
            </w:r>
          </w:p>
        </w:tc>
      </w:tr>
    </w:tbl>
    <w:p>
      <w:pPr>
        <w:spacing w:after="0" w:line="116"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All equity-based compensation expense is recorded in selling, general and administrative costs in the condensed consolidated statements of comprehensive income.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29"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at termination of service. On February 15, 2022 and May 6, 2022, the Company granted 548,001 and 44,055 options to purchase shares of the Company’s common stock to key employees, respectively. These stock options had weighted-average grant date fair values of $4.68 per share and $4.32 per share, respectively, which values were estimated as of their respective grant dates using a Black-Scholes option pricing model with the following assumptions:</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60" w:type="dxa"/>
            <w:vAlign w:val="bottom"/>
            <w:gridSpan w:val="4"/>
          </w:tcPr>
          <w:p>
            <w:pPr>
              <w:ind w:left="80"/>
              <w:spacing w:after="0"/>
              <w:rPr>
                <w:sz w:val="20"/>
                <w:szCs w:val="20"/>
                <w:color w:val="auto"/>
              </w:rPr>
            </w:pPr>
            <w:r>
              <w:rPr>
                <w:rFonts w:ascii="Arial" w:cs="Arial" w:eastAsia="Arial" w:hAnsi="Arial"/>
                <w:sz w:val="18"/>
                <w:szCs w:val="18"/>
                <w:color w:val="auto"/>
              </w:rPr>
              <w:t>Granted Feb. 15,</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Granted May 6,</w:t>
            </w:r>
          </w:p>
        </w:tc>
      </w:tr>
      <w:tr>
        <w:trPr>
          <w:trHeight w:val="221"/>
        </w:trPr>
        <w:tc>
          <w:tcPr>
            <w:tcW w:w="49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expected term</w:t>
            </w:r>
          </w:p>
        </w:tc>
        <w:tc>
          <w:tcPr>
            <w:tcW w:w="2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6.0</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36.0%</w:t>
            </w:r>
          </w:p>
        </w:tc>
        <w:tc>
          <w:tcPr>
            <w:tcW w:w="12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w:t>
            </w:r>
          </w:p>
        </w:tc>
        <w:tc>
          <w:tcPr>
            <w:tcW w:w="26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ind w:left="1000"/>
              <w:spacing w:after="0" w:line="202" w:lineRule="exact"/>
              <w:rPr>
                <w:sz w:val="20"/>
                <w:szCs w:val="20"/>
                <w:color w:val="auto"/>
              </w:rPr>
            </w:pPr>
            <w:r>
              <w:rPr>
                <w:rFonts w:ascii="Arial" w:cs="Arial" w:eastAsia="Arial" w:hAnsi="Arial"/>
                <w:sz w:val="18"/>
                <w:szCs w:val="18"/>
                <w:color w:val="auto"/>
              </w:rPr>
              <w:t>—   $</w:t>
            </w:r>
          </w:p>
        </w:tc>
        <w:tc>
          <w:tcPr>
            <w:tcW w:w="1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39"/>
        </w:trPr>
        <w:tc>
          <w:tcPr>
            <w:tcW w:w="4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3.06%</w:t>
            </w:r>
          </w:p>
        </w:tc>
      </w:tr>
    </w:tbl>
    <w:p>
      <w:pPr>
        <w:spacing w:after="0" w:line="80"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expected term has been estimated using a simplified method, which calculates the expected term as the mid-point between the vesting date and the contractual life of the awards since the Company does not have an extended history of actual exercises. The expected dividend yield is assumed to be zero since the Company has never paid dividends and does not have current plans to pay any dividends. The risk-free interest rate is based on yields of U.S. Treasury securities with maturities similar to the expected term of the options. Expected volatility is based on an evenly weighted blend of implied volatility and historical volatility of publicly-traded peer companies since the Company has limited historical volatility.</w:t>
      </w:r>
    </w:p>
    <w:p>
      <w:pPr>
        <w:spacing w:after="0" w:line="9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Compensation expense for stock options is recorded based on straight-line amortization of the grant date fair value over the requisite service period. As of July 3, 2022, there was $5,986 of unrecognized compensation cost related to unvested stock options that is expected to be recognized over a remaining weighted-average period of 2.3 years.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9"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Restricted stock units (“RSUs”) vest ratably over one to three years of continued employment. The fair value of a RSU at the grant date is equal to the market price of the Company’s common stock on the grant date. On February 15, 2022 and May 6, 2022, the Company granted 228,180 and 16,767 RSUs, respectively to key employees with grant date fair values of $12.29 per unit and $9.95 per unit, respectively. Additionally, on May 11, 2022, 55,920 RSUs were granted to members of Holley's Board of Directors with a grant date fair value of $8.53 per unit. Compensation expense for RSUs is recorded based on amortization of the grant date fair market value over the period the restrictions lapse. As of July 3, 2022, there was $7,630 of unrecognized compensation cost related to unvested RSUs that is expected to be recognized over a remaining weighted average period of 2.2 years.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Profit Interest Units</w:t>
      </w:r>
    </w:p>
    <w:p>
      <w:pPr>
        <w:spacing w:after="0" w:line="131"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Holley Stockholder has authorized an incentive pool of 41.4 million units of Parent, which are designated as PIUs, that its management has the right to grant to certain employees of the Company. As of July 3, 2022, no units are available for grant. The PIU's are a special type of limited liability company equity unit that allows the recipient to potentially participate in a future increase in the value of the Company. PIUs are issued for no consideration and generally provide for vesting over the requisite service period, subject to the recipient remaining an employee of the Company through each vesting date.</w:t>
      </w:r>
    </w:p>
    <w:p>
      <w:pPr>
        <w:spacing w:after="0" w:line="9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As of July 3, 2022, there was $6,578 of unrecognized compensation cost related to unvested time-based PIUs that is expected to be recognized over a remaining weighted-average period of 1.2 years.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 COMMITMENTS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 2022, the Company adopted ASC 842 using the modified retrospective optional transition method provided by ASU 2018-</w:t>
      </w:r>
    </w:p>
    <w:p>
      <w:pPr>
        <w:spacing w:after="0" w:line="14" w:lineRule="exact"/>
        <w:rPr>
          <w:sz w:val="20"/>
          <w:szCs w:val="20"/>
          <w:color w:val="auto"/>
        </w:rPr>
      </w:pPr>
    </w:p>
    <w:p>
      <w:pPr>
        <w:jc w:val="both"/>
        <w:ind w:left="340" w:hanging="8"/>
        <w:spacing w:after="0" w:line="242" w:lineRule="auto"/>
        <w:tabs>
          <w:tab w:leader="none" w:pos="6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applying this guidance resulted in an increase in noncurrent assets for right-of-use assets of $33.9 million and an increase in liabilities for associated lease obligations of $34.6 million, most of which were classified as noncurrent. The adoption of the standard did not result in a cumulative-effect adjustment to the opening balance of retained earnings.</w:t>
      </w:r>
    </w:p>
    <w:p>
      <w:pPr>
        <w:spacing w:after="0" w:line="9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Under the transition option elected by the Company, ASC 842 is applied only to the most current period and reporting for comparative periods presented in the financial statements continues to be in accordance with Topic 840, including disclosures. Upon adoption, the Company elected the following practical expedients related to ASC 842:</w:t>
      </w:r>
    </w:p>
    <w:p>
      <w:pPr>
        <w:spacing w:after="0" w:line="88" w:lineRule="exact"/>
        <w:rPr>
          <w:sz w:val="20"/>
          <w:szCs w:val="20"/>
          <w:color w:val="auto"/>
        </w:rPr>
      </w:pPr>
    </w:p>
    <w:p>
      <w:pPr>
        <w:ind w:left="660" w:right="10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account for the lease and non-lease components as a single lease component for all of the Company's leases;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apply accounting similar to Topic 840 to leases that meet the definition of short-term leases.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lease assets and obligations: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July 3, 2022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0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8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5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32,762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5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8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w:t>
            </w:r>
          </w:p>
        </w:tc>
        <w:tc>
          <w:tcPr>
            <w:tcW w:w="5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5,006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lease liabilities</w:t>
            </w:r>
          </w:p>
        </w:tc>
        <w:tc>
          <w:tcPr>
            <w:tcW w:w="5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28,225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98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508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33,231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80" w:type="dxa"/>
            <w:vAlign w:val="bottom"/>
            <w:vMerge w:val="restart"/>
          </w:tcPr>
          <w:p>
            <w:pPr>
              <w:jc w:val="right"/>
              <w:ind w:right="3590"/>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For the thirteen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For the twenty-six</w:t>
            </w:r>
          </w:p>
        </w:tc>
      </w:tr>
      <w:tr>
        <w:trPr>
          <w:trHeight w:val="221"/>
        </w:trPr>
        <w:tc>
          <w:tcPr>
            <w:tcW w:w="6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weeks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weeks ended</w:t>
            </w:r>
          </w:p>
        </w:tc>
      </w:tr>
      <w:tr>
        <w:trPr>
          <w:trHeight w:val="196"/>
        </w:trPr>
        <w:tc>
          <w:tcPr>
            <w:tcW w:w="69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90"/>
              <w:spacing w:after="0" w:line="196" w:lineRule="exact"/>
              <w:rPr>
                <w:sz w:val="20"/>
                <w:szCs w:val="20"/>
                <w:color w:val="auto"/>
              </w:rPr>
            </w:pPr>
            <w:r>
              <w:rPr>
                <w:rFonts w:ascii="Arial" w:cs="Arial" w:eastAsia="Arial" w:hAnsi="Arial"/>
                <w:sz w:val="18"/>
                <w:szCs w:val="18"/>
                <w:color w:val="auto"/>
              </w:rPr>
              <w:t>July 3,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230"/>
              <w:spacing w:after="0" w:line="196" w:lineRule="exact"/>
              <w:rPr>
                <w:sz w:val="20"/>
                <w:szCs w:val="20"/>
                <w:color w:val="auto"/>
              </w:rPr>
            </w:pPr>
            <w:r>
              <w:rPr>
                <w:rFonts w:ascii="Arial" w:cs="Arial" w:eastAsia="Arial" w:hAnsi="Arial"/>
                <w:sz w:val="18"/>
                <w:szCs w:val="18"/>
                <w:color w:val="auto"/>
              </w:rPr>
              <w:t>July 3, 2022</w:t>
            </w:r>
          </w:p>
        </w:tc>
        <w:tc>
          <w:tcPr>
            <w:tcW w:w="100" w:type="dxa"/>
            <w:vAlign w:val="bottom"/>
          </w:tcPr>
          <w:p>
            <w:pPr>
              <w:spacing w:after="0"/>
              <w:rPr>
                <w:sz w:val="17"/>
                <w:szCs w:val="17"/>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4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3,901</w:t>
            </w:r>
          </w:p>
        </w:tc>
      </w:tr>
      <w:tr>
        <w:trPr>
          <w:trHeight w:val="203"/>
        </w:trPr>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1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694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1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414</w:t>
            </w:r>
          </w:p>
        </w:tc>
      </w:tr>
      <w:tr>
        <w:trPr>
          <w:trHeight w:val="20"/>
        </w:trPr>
        <w:tc>
          <w:tcPr>
            <w:tcW w:w="6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5,565</w:t>
            </w:r>
          </w:p>
        </w:tc>
      </w:tr>
      <w:tr>
        <w:trPr>
          <w:trHeight w:val="183"/>
        </w:trPr>
        <w:tc>
          <w:tcPr>
            <w:tcW w:w="694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paid for amounts included in measurement of operating lease liabilities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1,821</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3,581</w:t>
            </w:r>
          </w:p>
        </w:tc>
      </w:tr>
      <w:tr>
        <w:trPr>
          <w:trHeight w:val="203"/>
        </w:trPr>
        <w:tc>
          <w:tcPr>
            <w:tcW w:w="6940" w:type="dxa"/>
            <w:vAlign w:val="bottom"/>
          </w:tcPr>
          <w:p>
            <w:pPr>
              <w:ind w:left="160"/>
              <w:spacing w:after="0" w:line="202" w:lineRule="exact"/>
              <w:rPr>
                <w:sz w:val="20"/>
                <w:szCs w:val="20"/>
                <w:color w:val="auto"/>
              </w:rPr>
            </w:pPr>
            <w:r>
              <w:rPr>
                <w:rFonts w:ascii="Arial" w:cs="Arial" w:eastAsia="Arial" w:hAnsi="Arial"/>
                <w:sz w:val="18"/>
                <w:szCs w:val="18"/>
                <w:color w:val="auto"/>
              </w:rPr>
              <w:t>Right of use assets obtained in exchange for new operating lease liabilities</w:t>
            </w:r>
          </w:p>
        </w:tc>
        <w:tc>
          <w:tcPr>
            <w:tcW w:w="160" w:type="dxa"/>
            <w:vAlign w:val="bottom"/>
          </w:tcPr>
          <w:p>
            <w:pPr>
              <w:spacing w:after="0"/>
              <w:rPr>
                <w:sz w:val="17"/>
                <w:szCs w:val="17"/>
                <w:color w:val="auto"/>
              </w:rPr>
            </w:pP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13,769</w:t>
            </w:r>
          </w:p>
        </w:tc>
      </w:tr>
      <w:tr>
        <w:trPr>
          <w:trHeight w:val="202"/>
        </w:trPr>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Decapitalization of right-of-use assets upon lease termination and/or modification</w:t>
            </w:r>
          </w:p>
        </w:tc>
        <w:tc>
          <w:tcPr>
            <w:tcW w:w="1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12,178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12,178</w:t>
            </w:r>
          </w:p>
        </w:tc>
      </w:tr>
      <w:tr>
        <w:trPr>
          <w:trHeight w:val="423"/>
        </w:trPr>
        <w:tc>
          <w:tcPr>
            <w:tcW w:w="8760" w:type="dxa"/>
            <w:vAlign w:val="bottom"/>
            <w:gridSpan w:val="4"/>
          </w:tcPr>
          <w:p>
            <w:pPr>
              <w:spacing w:after="0"/>
              <w:rPr>
                <w:sz w:val="20"/>
                <w:szCs w:val="20"/>
                <w:color w:val="auto"/>
              </w:rPr>
            </w:pPr>
            <w:r>
              <w:rPr>
                <w:rFonts w:ascii="Arial" w:cs="Arial" w:eastAsia="Arial" w:hAnsi="Arial"/>
                <w:sz w:val="18"/>
                <w:szCs w:val="18"/>
                <w:color w:val="auto"/>
              </w:rPr>
              <w:t>Information associated with the measurement of operating lease obligations as of July 3, 2022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r>
      <w:tr>
        <w:trPr>
          <w:trHeight w:val="239"/>
        </w:trPr>
        <w:tc>
          <w:tcPr>
            <w:tcW w:w="69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5.67%</w:t>
            </w:r>
          </w:p>
        </w:tc>
      </w:tr>
      <w:tr>
        <w:trPr>
          <w:trHeight w:val="386"/>
        </w:trPr>
        <w:tc>
          <w:tcPr>
            <w:tcW w:w="8760" w:type="dxa"/>
            <w:vAlign w:val="bottom"/>
            <w:gridSpan w:val="4"/>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July 3, 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spacing w:after="0"/>
              <w:rPr>
                <w:sz w:val="16"/>
                <w:szCs w:val="16"/>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 (excluding the twenty-six weeks ended July 3, 2022)</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3,718</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6,830</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5,583</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3,867</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3,660</w:t>
            </w: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18,318</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41,976</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(8,745)</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33,231</w:t>
            </w:r>
          </w:p>
        </w:tc>
      </w:tr>
      <w:tr>
        <w:trPr>
          <w:trHeight w:val="20"/>
        </w:trPr>
        <w:tc>
          <w:tcPr>
            <w:tcW w:w="6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340" w:right="20"/>
        <w:spacing w:after="0" w:line="271" w:lineRule="auto"/>
        <w:rPr>
          <w:sz w:val="20"/>
          <w:szCs w:val="20"/>
          <w:color w:val="auto"/>
        </w:rPr>
      </w:pPr>
      <w:r>
        <w:rPr>
          <w:rFonts w:ascii="Arial" w:cs="Arial" w:eastAsia="Arial" w:hAnsi="Arial"/>
          <w:sz w:val="18"/>
          <w:szCs w:val="18"/>
          <w:color w:val="auto"/>
        </w:rPr>
        <w:t>For the 13-week and 26-week periods ended June 27, 2021, total rent expense under operating leases approximated $1,979 and $3,672.</w:t>
      </w:r>
    </w:p>
    <w:p>
      <w:pPr>
        <w:spacing w:after="0" w:line="140"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In accordance with ASC 840, Leases, the aggregate minimum non-cancelable annual lease payments under operating leases in effect on December 31, 2021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w:t>
            </w:r>
          </w:p>
        </w:tc>
        <w:tc>
          <w:tcPr>
            <w:tcW w:w="24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6,320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5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4,766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5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8,546</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3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minimum lease commitments</w:t>
            </w:r>
          </w:p>
        </w:tc>
        <w:tc>
          <w:tcPr>
            <w:tcW w:w="5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33,957</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5100" w:type="dxa"/>
            <w:vAlign w:val="bottom"/>
            <w:tcBorders>
              <w:top w:val="single" w:sz="8" w:color="CCEEFF"/>
            </w:tcBorders>
          </w:tcPr>
          <w:p>
            <w:pPr>
              <w:jc w:val="right"/>
              <w:ind w:right="3590"/>
              <w:spacing w:after="0"/>
              <w:rPr>
                <w:sz w:val="20"/>
                <w:szCs w:val="20"/>
                <w:color w:val="auto"/>
              </w:rPr>
            </w:pPr>
            <w:r>
              <w:rPr>
                <w:rFonts w:ascii="Arial" w:cs="Arial" w:eastAsia="Arial" w:hAnsi="Arial"/>
                <w:sz w:val="18"/>
                <w:szCs w:val="18"/>
                <w:color w:val="auto"/>
              </w:rPr>
              <w:t>27</w:t>
            </w:r>
          </w:p>
        </w:tc>
        <w:tc>
          <w:tcPr>
            <w:tcW w:w="5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5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RESTRUCTURING AND MANAGEMENT FEE COSTS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total acquisition, restructuring and management fee costs: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July 3, 2022</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1,372</w:t>
            </w:r>
          </w:p>
        </w:tc>
        <w:tc>
          <w:tcPr>
            <w:tcW w:w="5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2,172</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1,621</w:t>
            </w: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3,211</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xml:space="preserve">Restructuring </w:t>
            </w: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360</w:t>
            </w:r>
          </w:p>
        </w:tc>
        <w:tc>
          <w:tcPr>
            <w:tcW w:w="3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1,125</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2,539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xml:space="preserve">Earn out adjustment </w:t>
            </w: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17,173</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acquisition, restructuring and management fees</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24,048</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660" w:right="380" w:hanging="328"/>
        <w:spacing w:after="0" w:line="245"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Includes professional fees for legal, accounting, consulting, administrative, and other professional services directly attributable to potential acquisitions.</w:t>
      </w: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Includes costs incurred as part of the restructuring of operations including professional and consulting services.</w:t>
      </w:r>
    </w:p>
    <w:p>
      <w:pPr>
        <w:spacing w:after="0" w:line="18"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Includes acquisition costs and management fees paid to Sentinel Capital Partners.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fair value adjustment to the contingent consideration payable from the Simpson acquisition.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98"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While the lawsuits and claims against the Company cannot be predicted with certainty, management believes that the ultimate resolution of the matters will not have a material effect on the consolidated financial position or results of operations of the Company.</w:t>
      </w:r>
    </w:p>
    <w:p>
      <w:pPr>
        <w:spacing w:after="0" w:line="155"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55"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6"/>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July 3, 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w w:val="99"/>
              </w:rPr>
              <w:t>June 27, 2021</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27,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3,816</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3,994</w:t>
            </w:r>
          </w:p>
        </w:tc>
        <w:tc>
          <w:tcPr>
            <w:tcW w:w="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3,989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2,479</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3,034</w:t>
            </w:r>
          </w:p>
        </w:tc>
        <w:tc>
          <w:tcPr>
            <w:tcW w:w="4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3,436</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(4,703)</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(4,497)</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2,325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2,928</w:t>
            </w:r>
          </w:p>
        </w:tc>
        <w:tc>
          <w:tcPr>
            <w:tcW w:w="180" w:type="dxa"/>
            <w:vAlign w:val="bottom"/>
          </w:tcPr>
          <w:p>
            <w:pPr>
              <w:spacing w:after="0"/>
              <w:rPr>
                <w:sz w:val="17"/>
                <w:szCs w:val="17"/>
                <w:color w:val="auto"/>
              </w:rPr>
            </w:pPr>
          </w:p>
        </w:tc>
        <w:tc>
          <w:tcPr>
            <w:tcW w:w="100" w:type="dxa"/>
            <w:vAlign w:val="bottom"/>
          </w:tcPr>
          <w:p>
            <w:pPr>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2,325</w:t>
            </w:r>
          </w:p>
        </w:tc>
        <w:tc>
          <w:tcPr>
            <w:tcW w:w="180" w:type="dxa"/>
            <w:vAlign w:val="bottom"/>
          </w:tcPr>
          <w:p>
            <w:pPr>
              <w:spacing w:after="0"/>
              <w:rPr>
                <w:sz w:val="17"/>
                <w:szCs w:val="17"/>
                <w:color w:val="auto"/>
              </w:rPr>
            </w:pPr>
          </w:p>
        </w:tc>
        <w:tc>
          <w:tcPr>
            <w:tcW w:w="4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2,928</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designer, marketer, and manufacturer of high 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The Company’s products are designed to enhance street, off-road, recreational and competitive vehicle performance and safety.</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Innovation is at the core of our business and growth strategy with approximately 35% of our 2021 sales coming from products introduced by us into the market since 2016.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(“DTC”)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under the caption, "Cautionary Note Regarding Forward-Looking Statements," in this Quarterly Report on Form 10-Q, under the caption, “Risk Factors,” in our Annual Report on Form 10-K for the year ended December 31, 2021, as filed with the SEC on March 15, 2022, and in our subsequent filings with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16, 2021 we consummated a business combination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("Holley Intermediate").</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Merger Agreement provided for, among other things, the following transactions: (i) Merger Sub I merged with and into Holley Intermediate, the separate corporate existence of Merger Sub I ceased and Holley Intermediate became the surviving corporation, and (ii) Holley Intermediate merged with and into Merger Sub II, the separate corporate existence of Holley Intermediate ceased and Merger Sub II became the surviving limited liability company. Upon closing, Empower changed its name to Holley Inc. and its trading symbol on the New York Stock Exchange (the “NYSE”) from “EMPW” to “HLLY.”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Business Combination was accounted for as a reverse recapitalization. Holley Intermediate was deemed the accounting acquirer with Holley Inc. as the successor registrant. As such, Empower was treated as the acquired company for financial reporting purposes, and financial statements for periods prior to the Business Combination are those of Holley Intermediate.</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Holley has historically pursued a growth strategy through both organic growth and acquisitions. The Company has pursued acquisitions that it believes will help drive profitability, cash flow and stockholder value. Holley targets companies that are market leaders, expand the Company’s geographic presence, provide a highly synergistic opportunity and/or enhance Holley’s ability to provide a wide array of its products to its customers through its distribution network.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2021 Holley completed eight acquisitions. The most significant acquisitions impacting the comparability of our operating results were:</w:t>
      </w:r>
    </w:p>
    <w:p>
      <w:pPr>
        <w:spacing w:after="0" w:line="198" w:lineRule="exact"/>
        <w:rPr>
          <w:sz w:val="20"/>
          <w:szCs w:val="20"/>
          <w:color w:val="auto"/>
        </w:rPr>
      </w:pPr>
    </w:p>
    <w:p>
      <w:pPr>
        <w:ind w:left="780" w:right="180" w:hanging="327"/>
        <w:spacing w:after="0" w:line="253"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Advance Engine Management Inc.</w:t>
      </w:r>
      <w:r>
        <w:rPr>
          <w:rFonts w:ascii="Arial" w:cs="Arial" w:eastAsia="Arial" w:hAnsi="Arial"/>
          <w:sz w:val="18"/>
          <w:szCs w:val="18"/>
          <w:color w:val="auto"/>
        </w:rPr>
        <w:t>: On April 14, 2021 Holley acquired Advance Engine Management Inc., doing business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AEM Performance Electronics, a developer and supplier of electronic control and monitoring systems for performance automotive applications. This acquisition increases Holley’s penetration into the import and other sport compact cars submarket.</w:t>
      </w:r>
    </w:p>
    <w:p>
      <w:pPr>
        <w:spacing w:after="0" w:line="155" w:lineRule="exact"/>
        <w:rPr>
          <w:rFonts w:ascii="Arial" w:cs="Arial" w:eastAsia="Arial" w:hAnsi="Arial"/>
          <w:sz w:val="18"/>
          <w:szCs w:val="18"/>
          <w:color w:val="auto"/>
        </w:rPr>
      </w:pPr>
    </w:p>
    <w:p>
      <w:pPr>
        <w:ind w:left="780" w:hanging="327"/>
        <w:spacing w:after="0" w:line="253"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Brothers Mail Order Industries, Inc.</w:t>
      </w:r>
      <w:r>
        <w:rPr>
          <w:rFonts w:ascii="Arial" w:cs="Arial" w:eastAsia="Arial" w:hAnsi="Arial"/>
          <w:sz w:val="18"/>
          <w:szCs w:val="18"/>
          <w:color w:val="auto"/>
        </w:rPr>
        <w:t>: On December 16, 2021, Holley acquired Brothers Mail Order Industries, Inc., doing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Brothers Trucks, a distributor of classic and custom vehicle restoration parts serving the Chevrolet and GMC truck aftermarket. This acquisition increases Holley's offerings in truck and SUV appearance items.</w:t>
      </w:r>
    </w:p>
    <w:p>
      <w:pPr>
        <w:spacing w:after="0" w:line="155" w:lineRule="exact"/>
        <w:rPr>
          <w:rFonts w:ascii="Arial" w:cs="Arial" w:eastAsia="Arial" w:hAnsi="Arial"/>
          <w:sz w:val="18"/>
          <w:szCs w:val="18"/>
          <w:color w:val="auto"/>
        </w:rPr>
      </w:pPr>
    </w:p>
    <w:p>
      <w:pPr>
        <w:ind w:left="780" w:right="100" w:hanging="327"/>
        <w:spacing w:after="0" w:line="253"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Baer, Inc.</w:t>
      </w:r>
      <w:r>
        <w:rPr>
          <w:rFonts w:ascii="Arial" w:cs="Arial" w:eastAsia="Arial" w:hAnsi="Arial"/>
          <w:sz w:val="18"/>
          <w:szCs w:val="18"/>
          <w:color w:val="auto"/>
        </w:rPr>
        <w:t>: On December 23, 2021, Holley acquired Baer, Inc., doing business as Baer Brakes, a developer and supplier of brakes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brake systems. This acquisition moves Holley closer to its goal of providing complete vehicle solutions by adding a new product category and brake system expertise.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acquisitions have all been accounted for in accordance with FASB ASC Topic 805, Business Combinations, and the operations of the acquired entities are included in our historical results for the periods following the closing of the acquisition. See Note 1, “</w:t>
      </w:r>
      <w:r>
        <w:rPr>
          <w:rFonts w:ascii="Arial" w:cs="Arial" w:eastAsia="Arial" w:hAnsi="Arial"/>
          <w:sz w:val="18"/>
          <w:szCs w:val="18"/>
          <w:i w:val="1"/>
          <w:iCs w:val="1"/>
          <w:color w:val="auto"/>
        </w:rPr>
        <w:t>Description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Basis of Presentation, and Summary of Significant Accounting Policies,</w:t>
      </w:r>
      <w:r>
        <w:rPr>
          <w:rFonts w:ascii="Arial" w:cs="Arial" w:eastAsia="Arial" w:hAnsi="Arial"/>
          <w:sz w:val="18"/>
          <w:szCs w:val="18"/>
          <w:color w:val="auto"/>
        </w:rPr>
        <w:t>” and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to the Condensed Consolidated Financial Statements included elsewhere in this Quarterly Report on Form 10-Q for additional information related to the Company’s acquisitions and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COVID-19 has adversely impacted global supply chain and general economic conditions. The Company has continued to experience disruptions and higher costs in manufacturing, supply chain, logistical operations, and shortages of certain Company products in distribution channels. The full extent of the impact of the COVID-19 pandemic on the Company's business and operational and financial performance and condition is currently uncertain and will depend on many factors outside the Company's control, including but not limited to the timing, extent, duration and effects of the virus and any of its mutations, the utilization and effectiveness of treatments and vaccines, the imposition of effective public safety and other protective measures, the further impact of COVID-19 on the global economy and demand for the Company's products and services. During the second quarter of 2022, we continued to experience supply chain headwinds, including microchip shortages and other supply chain challenges that prevented us from building and shipping many of our most popular products, which has had, and may continue to have, a negative impact on product availability. Should the ongoing COVID-19 pandemic, including any variants of COVID-19, not improve or worsen, or if the Company's attempt to mitigate its impact on its supply chain, operations and costs is not successful, the Company's business, results of operations, financial condition and prospects may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activity from which the Company generates its sales is the designing, marketing, manufacturing and distribution of performance after-market automotive parts for its end consumers. Sales are displayed net of rebates and sales returns allowances. Sales returns are recorded as a charge against gross sales in the period in which the related sales are recognized.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Selling, general, and administrative consist of payroll and related personnel expenses, IT and office services, office rent expense and professional services. In addition, self-insurance, advertising, research and development, pre-production and start-up costs are also included within selling, general, and administrative. The Company expects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Acquisition and restructuring costs consist of professional fees for legal, accounting, consulting, administrative, and other professional services directly attributable to potential acquisitions. In addition, operational restructuring costs are included within this classification.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Related party acquisition and management fee costs consist of fees paid to the Company’s private equity sponsor pursuant to a management services agreement for management services and consulting services directly attributable to potential acquisitions. Upon the Closing of the Business Combination, the management services agreement with our private equity sponsor was terminated.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LIBOR or the prime rate, plus the applicable margin rate. As of July 3, 2022, $652.4 million was outstanding under the Company's Credit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July 3, 2022 Compared With 13-Week Period Ended June 27,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13-week periods ended July 3, 2022 and June 27, 2021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color w:val="auto"/>
              </w:rPr>
              <w:t>For the thirteen weeks ended</w:t>
            </w: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177"/>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line="177" w:lineRule="exact"/>
              <w:rPr>
                <w:sz w:val="20"/>
                <w:szCs w:val="20"/>
                <w:color w:val="auto"/>
              </w:rPr>
            </w:pPr>
            <w:r>
              <w:rPr>
                <w:rFonts w:ascii="Arial" w:cs="Arial" w:eastAsia="Arial" w:hAnsi="Arial"/>
                <w:sz w:val="18"/>
                <w:szCs w:val="18"/>
                <w:color w:val="auto"/>
              </w:rPr>
              <w:t>June 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1"/>
        </w:trPr>
        <w:tc>
          <w:tcPr>
            <w:tcW w:w="594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July 3, 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Change ($)</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19"/>
                <w:szCs w:val="19"/>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179,420</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193,041</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(13,621)</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104,132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111,841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(7,709)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81,200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(5,912)</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36,269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10,079</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38.5%</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1,131</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160</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(985)</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28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(1,658)</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2"/>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278</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591.5%</w:t>
            </w:r>
          </w:p>
        </w:tc>
      </w:tr>
      <w:tr>
        <w:trPr>
          <w:trHeight w:val="20"/>
        </w:trPr>
        <w:tc>
          <w:tcPr>
            <w:tcW w:w="5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25,145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40,062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(14,917)</w:t>
            </w: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(37.2%)</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(23,168)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(23,168)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2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(4,234)</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(2,213)</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0"/>
        </w:trPr>
        <w:tc>
          <w:tcPr>
            <w:tcW w:w="5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43,586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28,888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14,698</w:t>
            </w: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50.9%</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(2,767)</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(47.8%)</w:t>
            </w:r>
          </w:p>
        </w:tc>
      </w:tr>
      <w:tr>
        <w:trPr>
          <w:trHeight w:val="20"/>
        </w:trPr>
        <w:tc>
          <w:tcPr>
            <w:tcW w:w="5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40,563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23,098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17,465</w:t>
            </w: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75.6%</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466</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
        </w:trPr>
        <w:tc>
          <w:tcPr>
            <w:tcW w:w="5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82" w:lineRule="exact"/>
              <w:rPr>
                <w:sz w:val="20"/>
                <w:szCs w:val="20"/>
                <w:color w:val="auto"/>
              </w:rPr>
            </w:pPr>
            <w:r>
              <w:rPr>
                <w:rFonts w:ascii="Arial" w:cs="Arial" w:eastAsia="Arial" w:hAnsi="Arial"/>
                <w:sz w:val="18"/>
                <w:szCs w:val="18"/>
                <w:color w:val="auto"/>
              </w:rPr>
              <w:t>Total comprehensive income</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41,064</w:t>
            </w:r>
          </w:p>
        </w:tc>
        <w:tc>
          <w:tcPr>
            <w:tcW w:w="140" w:type="dxa"/>
            <w:vAlign w:val="bottom"/>
          </w:tcPr>
          <w:p>
            <w:pPr>
              <w:spacing w:after="0"/>
              <w:rPr>
                <w:sz w:val="17"/>
                <w:szCs w:val="17"/>
                <w:color w:val="auto"/>
              </w:rPr>
            </w:pP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23,133</w:t>
            </w: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17,931</w:t>
            </w:r>
          </w:p>
        </w:tc>
        <w:tc>
          <w:tcPr>
            <w:tcW w:w="13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77.5%</w:t>
            </w: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sales for the 13-week period ended July 3, 2022 decreased $13.6 million, or 7.1%, to $179.4 million, as compared to $193.0 million for the 13-week period ended June 27, 2021. Non-comparable sales associated with acquisitions contributed $9.4 million, or 4.8% of year-over-year growth. The remaining comparable sales decreased by $23.0 million, or 11.9%, compared to the prior year quarter, offsetting the impact from the acquisitions. The decline in comparable sales was primarily driven by microchip shortages and other supply chain challenges that prevented us from building and shipping many of our most popular products, destocking from our resellers in response to the current economic environment as well as softening consumer demand, which resulted in a decrease of $37.0 million due to lower unit volume net of improved price realization of $14.0 million compared to the prior year period. Major categories driving the comparable year-over-year results include a decline of $16.3 million in electronic system sales (18.7% category decline), a decline of $1.1 million in mechanical system sales (2.6% category decline), and a decline of $0.5 million in safety product sales (2.7% category decline).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for the 13-week period ended July 3, 2022 decreased$7.7 million, or 6.9%, to $104.1 million, as compared to $111.8 million for the 13-week period ended June 27, 2021. The decrease in cost of goods sold during the 13-week period ended July 3, 2022 was in line with a corresponding decrease in product sales during such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13-week period ended July 3, 2022 decreased $5.9 million, or 7.3%, to $75.3 million, as compared to $81.2 million for the 13-week period ended June 27, 2021. The decrease in gross profit was driven by the decrease in sales. Gross margin for the 13-week period ended July 3, 2022 of 42.0% was stable compared to a gross margin of 42.1% for the 13-week period ended June 27, 2021.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Selling, general and administrative costs for the 13-week period ended July 3, 2022 increased $10.1 million, or 38.5%, to $36.3 million, as compared to $26.2 million for the 13-week period ended June 27, 2021. When expressed as a percentage of sales, selling, general and administrative costs increased to 20.2% of sales for the 13-week period ended July 3, 2022, as compared to 13.6% of sales in 2021. Recent acquisitions accounted for $1.4 million of the increase in selling, general and administrative costs. The increase in costs was also driven by a $3.4 million increase in compensation expense related to equity awards, a $2.3 million increase in personnel costs, reflecting company growth and the additional requirements of becoming a public company, and a $1.4 million increase in outbound shipping and handling costs related to domestic supply chain pressures</w:t>
      </w:r>
      <w:r>
        <w:rPr>
          <w:rFonts w:ascii="Arial" w:cs="Arial" w:eastAsia="Arial" w:hAnsi="Arial"/>
          <w:sz w:val="18"/>
          <w:szCs w:val="18"/>
          <w:color w:val="FF0000"/>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for the 13-week period ended July 3, 2022 increased $ 1.1 million, or 16.0%, to $8.2 million, as compared to $7.1 million for the 13-week period ended June 27, 2021. The increase in research and development costs was primarily due to headcount investments as we continue to pursue product innovation and new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Amortization of intangible assets for the 13-week period ended July 3, 2022 increased $0.2 million, or 4.6%, to $3.7 million, as compared to $3.5 million for the 13-week period ended June 27, 2021 due to recent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Acquisition and restructuring costs for the 13-week period ended July 3, 2022 decreased $1.0 million, or 36.8%, to $1.7 million, as compared to $2.7 million for the 13-week period ended June 27,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the Business Combination, the management services agreement with our private equity sponsor was terminated.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Related party acquisition and management fee costs for the 13-week period ended June 27, 2021 were $1.7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a result of factors described above, operating income for the 13-week period ended July 3, 2022 decreased $14.9 million, or 37.2%, to $25.2 million, as compared to $40.1 million for the 13-week period ended June 27,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13-week period ended July 3, 2022 we recognized a gain of $23.2 million from the change in fair value of the warrant liability. The warrant liability reflects the fair value of the warrants issued in connection with the Business Combination.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13-week period ended July 3, 2022 we recognized a gain of $4.2 million from the change in fair value of the earn-out liability. The earn-out liability reflects the fair value of the earn-out shares resulting from the Business Combination.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for the 13-week period ended July 3, 2022 decreased $2.2 million, or 19.8%, to $9.0 million, as compared to $11.2 million for the 13-week period ended June 27, 2021. The decrease was primarily due to a lower effective interest rate combined with the favorable impact of the $100 million paydown on our second lien note in July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8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As a result of factors described above, we recognized $43.6 million of income before income taxes for the 13-week period ended July 3, 2022, as compared to $28.9 million for the 13-week period ended June 27, 2021.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Income tax expense for the 13-week period ended July 3, 2022 decreased $2.8 million to $3.0 million, as compared to $5.8 million for the 13-week period ended June 27, 2021. The effective tax rate for the 13-week period ended July 3, 2022 was 6.9%. The difference between the effective tax rate and the federal statutory rate in 2022 was primarily due to permanent differences resulting from the change in fair value of the warrant and earn-out liabilities. The effective tax rate for the 13-week period ended June 27, 2021 was 20.0%. The difference between the effective tax rate and the federal statutory rate in 2021 was primarily due to permanent differences</w:t>
      </w:r>
      <w:r>
        <w:rPr>
          <w:rFonts w:ascii="Arial" w:cs="Arial" w:eastAsia="Arial" w:hAnsi="Arial"/>
          <w:sz w:val="18"/>
          <w:szCs w:val="18"/>
          <w:color w:val="CC0000"/>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income of $40.6 million for the 13-week period ended July 3, 2022, as compared to$23.1 million for the 13-week period ended June 27, 2021. Additionally, we recognized total comprehensive income of $41.1 million for the 13-week period ended July 3, 2022, as compared to $23.1 million for the 13-week period ended June 27, 2021. Comprehensive income includes the effect of foreign currency translation adjustments.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26-week period ended July 3, 2022 Compared With 26-week period ended June 27,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26-week periods ended July 3, 2022 and June 27, 2021 (dollars in thousands):</w:t>
      </w:r>
    </w:p>
    <w:p>
      <w:pPr>
        <w:spacing w:after="0" w:line="1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For the twenty-six weeks ended</w:t>
      </w:r>
    </w:p>
    <w:tbl>
      <w:tblPr>
        <w:tblLayout w:type="fixed"/>
        <w:tblInd w:w="0" w:type="dxa"/>
        <w:tblCellMar>
          <w:top w:w="0" w:type="dxa"/>
          <w:left w:w="0" w:type="dxa"/>
          <w:bottom w:w="0" w:type="dxa"/>
          <w:right w:w="0" w:type="dxa"/>
        </w:tblCellMar>
      </w:tblPr>
      <w:tr>
        <w:trPr>
          <w:trHeight w:val="177"/>
        </w:trPr>
        <w:tc>
          <w:tcPr>
            <w:tcW w:w="59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300"/>
              <w:spacing w:after="0" w:line="177" w:lineRule="exact"/>
              <w:rPr>
                <w:sz w:val="20"/>
                <w:szCs w:val="20"/>
                <w:color w:val="auto"/>
              </w:rPr>
            </w:pPr>
            <w:r>
              <w:rPr>
                <w:rFonts w:ascii="Arial" w:cs="Arial" w:eastAsia="Arial" w:hAnsi="Arial"/>
                <w:sz w:val="18"/>
                <w:szCs w:val="18"/>
                <w:color w:val="auto"/>
              </w:rPr>
              <w:t>June 27,</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21"/>
        </w:trPr>
        <w:tc>
          <w:tcPr>
            <w:tcW w:w="594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July 3, 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19"/>
                <w:szCs w:val="19"/>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379,475</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353,373</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26,102</w:t>
            </w: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7.4%</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221,466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206,494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14,972</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w:t>
            </w: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158,009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146,879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11,130</w:t>
            </w: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7.6%</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70,611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50,202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20,409</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40.7%</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3,323</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25.5%</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7,323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485</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21,509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(19,528)</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28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(2,539)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633</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(736.0%)</w:t>
            </w:r>
          </w:p>
        </w:tc>
      </w:tr>
      <w:tr>
        <w:trPr>
          <w:trHeight w:val="20"/>
        </w:trPr>
        <w:tc>
          <w:tcPr>
            <w:tcW w:w="5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61,190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52,843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8,347</w:t>
            </w: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15.8%</w:t>
            </w:r>
          </w:p>
        </w:tc>
      </w:tr>
      <w:tr>
        <w:trPr>
          <w:trHeight w:val="202"/>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(20,941)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(20,941)</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2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(1,853)</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21,245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(4,893)</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r>
      <w:tr>
        <w:trPr>
          <w:trHeight w:val="20"/>
        </w:trPr>
        <w:tc>
          <w:tcPr>
            <w:tcW w:w="5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67,632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31,598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36,034</w:t>
            </w: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114.0%</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10,556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(345)</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
        </w:trPr>
        <w:tc>
          <w:tcPr>
            <w:tcW w:w="5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57,421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21,042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36,379</w:t>
            </w: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172.9%</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723</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
        </w:trPr>
        <w:tc>
          <w:tcPr>
            <w:tcW w:w="5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82" w:lineRule="exact"/>
              <w:rPr>
                <w:sz w:val="20"/>
                <w:szCs w:val="20"/>
                <w:color w:val="auto"/>
              </w:rPr>
            </w:pPr>
            <w:r>
              <w:rPr>
                <w:rFonts w:ascii="Arial" w:cs="Arial" w:eastAsia="Arial" w:hAnsi="Arial"/>
                <w:sz w:val="18"/>
                <w:szCs w:val="18"/>
                <w:color w:val="auto"/>
              </w:rPr>
              <w:t>Total comprehensive income</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58,163</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21,061</w:t>
            </w: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37,102</w:t>
            </w:r>
          </w:p>
        </w:tc>
        <w:tc>
          <w:tcPr>
            <w:tcW w:w="13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176.2%</w:t>
            </w: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Net sales for the 26-week period ended July 3, 2022 </w:t>
      </w:r>
      <w:r>
        <w:rPr>
          <w:rFonts w:ascii="Arial" w:cs="Arial" w:eastAsia="Arial" w:hAnsi="Arial"/>
          <w:sz w:val="18"/>
          <w:szCs w:val="18"/>
          <w:color w:val="333333"/>
        </w:rPr>
        <w:t>increased</w:t>
      </w:r>
      <w:r>
        <w:rPr>
          <w:rFonts w:ascii="Arial" w:cs="Arial" w:eastAsia="Arial" w:hAnsi="Arial"/>
          <w:sz w:val="18"/>
          <w:szCs w:val="18"/>
          <w:color w:val="auto"/>
        </w:rPr>
        <w:t xml:space="preserve"> $26.1 million, or 7.4%, to $379.5 million, as compared to $353.4 million for the 26-week period ended June 27, 2021. Non-comparable sales associated with acquisitions contributed $27.4 million, or 7.8% of total year-over-year growth. The remaining comparable sales for the year-to-date period decreased by $1.3 million, or 0.4%. The comparable sales reflect a decrease of $32.0 million due to lower unit volume net of improved price realization of $30.7 million compared to the prior year period. Major categories driving the comparable year-over-year results include a decrease in electronic system sales of $5.6 million (3.5% category decline), mechanical system growth of $4.0 million (5.1% category growth), and safety product growth of $3.7 million (11.0% category growth).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for the 26-week period ended July 3, 2022 increased $15.0 million, or 7.3%, to $221.5 million, as compared to $206.5 million for the 26-week period ended June 27, 2021. The increase in cost of goods sold during the 26-week period ended July 3, 2022 was in line with a corresponding increase in product sales during such period.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Gross profit for the 26-week period ended July 3, 2022 </w:t>
      </w:r>
      <w:r>
        <w:rPr>
          <w:rFonts w:ascii="Arial" w:cs="Arial" w:eastAsia="Arial" w:hAnsi="Arial"/>
          <w:sz w:val="18"/>
          <w:szCs w:val="18"/>
          <w:color w:val="333333"/>
        </w:rPr>
        <w:t>increased</w:t>
      </w:r>
      <w:r>
        <w:rPr>
          <w:rFonts w:ascii="Arial" w:cs="Arial" w:eastAsia="Arial" w:hAnsi="Arial"/>
          <w:sz w:val="18"/>
          <w:szCs w:val="18"/>
          <w:color w:val="auto"/>
        </w:rPr>
        <w:t xml:space="preserve"> $11.1 million, or 7.6%, to $158.0 million, as compared to $ 146.9 million for the 26-week period ended June 27, 2021. The increase in gross profit was driven by the increase in sales. Gross margin for the 26-week period ended July 3, 2022 of 41.6% was comparable to gross margin of 41.6% for the 26-week period ended June 27,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Selling, general and administrative costs for the 26-week period ended July 3, 2022 </w:t>
      </w:r>
      <w:r>
        <w:rPr>
          <w:rFonts w:ascii="Arial" w:cs="Arial" w:eastAsia="Arial" w:hAnsi="Arial"/>
          <w:sz w:val="18"/>
          <w:szCs w:val="18"/>
          <w:color w:val="333333"/>
        </w:rPr>
        <w:t>increased</w:t>
      </w:r>
      <w:r>
        <w:rPr>
          <w:rFonts w:ascii="Arial" w:cs="Arial" w:eastAsia="Arial" w:hAnsi="Arial"/>
          <w:sz w:val="18"/>
          <w:szCs w:val="18"/>
          <w:color w:val="auto"/>
        </w:rPr>
        <w:t xml:space="preserve"> $20.4 million, or 40.7%, to $70.6 million, as compared to $ 50.2 million for the 26-week period ended June 27, 2021. When expressed as a percentage of sales, selling, general and administrative costs increased to 18.6% of sales for the 26-week period ended July 3, 2022, as compared to 14.2% of sales in 2021. Recent acquisitions accounted for $3.3 million of the increase in selling, general and administrative costs. The increase in costs was also driven by a $6.4 million increase in compensation expense related to equity awards, a $3.6 million increase in administrative and sales personnel costs, reflecting company growth and the additional requirements of becoming a public company, and a $2.3 million increase in outbound shipping and handling costs related to higher sales and domestic supply chain pressure.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Research and development costs for the 26-week period ended July 3, 2022 </w:t>
      </w:r>
      <w:r>
        <w:rPr>
          <w:rFonts w:ascii="Arial" w:cs="Arial" w:eastAsia="Arial" w:hAnsi="Arial"/>
          <w:sz w:val="18"/>
          <w:szCs w:val="18"/>
          <w:color w:val="333333"/>
        </w:rPr>
        <w:t>increased</w:t>
      </w:r>
      <w:r>
        <w:rPr>
          <w:rFonts w:ascii="Arial" w:cs="Arial" w:eastAsia="Arial" w:hAnsi="Arial"/>
          <w:sz w:val="18"/>
          <w:szCs w:val="18"/>
          <w:color w:val="auto"/>
        </w:rPr>
        <w:t xml:space="preserve"> $3.3 million, or 25.5%, to $16.4 million, as compared to $13.0 million for the 26-week period ended June 27, 2021. The increase in research and development costs were primarily due to headcount investments as we continue to pursue product innovation and new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Amortization of intangible assets for the 26-week period ended July 3, 2022 </w:t>
      </w:r>
      <w:r>
        <w:rPr>
          <w:rFonts w:ascii="Arial" w:cs="Arial" w:eastAsia="Arial" w:hAnsi="Arial"/>
          <w:sz w:val="18"/>
          <w:szCs w:val="18"/>
          <w:color w:val="333333"/>
        </w:rPr>
        <w:t>increased</w:t>
      </w:r>
      <w:r>
        <w:rPr>
          <w:rFonts w:ascii="Arial" w:cs="Arial" w:eastAsia="Arial" w:hAnsi="Arial"/>
          <w:sz w:val="18"/>
          <w:szCs w:val="18"/>
          <w:color w:val="auto"/>
        </w:rPr>
        <w:t xml:space="preserve"> $0.5 million, or 7.1%, to $7.3 million, as compared to $6.8 million for the 26-week period ended June 27, 2021 due to recent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Acquisition and restructuring costs for the 26-week period ended July 3, 2022 </w:t>
      </w:r>
      <w:r>
        <w:rPr>
          <w:rFonts w:ascii="Arial" w:cs="Arial" w:eastAsia="Arial" w:hAnsi="Arial"/>
          <w:sz w:val="18"/>
          <w:szCs w:val="18"/>
          <w:color w:val="333333"/>
        </w:rPr>
        <w:t>decreased</w:t>
      </w:r>
      <w:r>
        <w:rPr>
          <w:rFonts w:ascii="Arial" w:cs="Arial" w:eastAsia="Arial" w:hAnsi="Arial"/>
          <w:sz w:val="18"/>
          <w:szCs w:val="18"/>
          <w:color w:val="auto"/>
        </w:rPr>
        <w:t xml:space="preserve"> $19.5 million, or 90.8%, to $2.0 million, as compared to $21.5 million for the 26-week period ended June 27, 2021. The 26-week period ended June 27, 2021 included an adjustment of $17.2 million for contingent consideration payable for the acquisition of Simpson Performance Products ("Simpson").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the Business Combination, the management services agreement with our private equity sponsor was terminated.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Related party acquisition and management fee costs for the 26-week period ended June 27, 2021 were $2.5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a result of factors described above, operating income for the 26-week period ended July 3, 2022 increased $8.4 million, or 15.8%, to $61.2 million, as compared to $52.8 million for the 26-week period ended June 27,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26-week period ended July 3, 2022 we recognized a gain of $20.9 million from the change in fair value of the warrant liability. The warrant liability reflects the fair value of the warrants issued in connection with the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the 26-week period ended July 3, 2022 we recognized a gain of $1.9 million from the change in fair value of the earn-out liability. The earn-out liability reflects the fair value of the earn-out shares resulting from the Business Combination. During the first quarter of 2022, the first tranche, representing half of the Earn-Out Shares, met the required market share price criteria and were issued. This issuance of the Company's common stock resulted in a reduction of the earn-out liability of $14.7 million, representing the fair value of the earn-out shares on the vesting date, which was reclassified from liabilities to equity. At July 3, 2022, there are 1,093,750 potential future Earn-Out Shares remaining.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for the 26-week period ended July 3, 2022 decreased $4.9 million, or 23.0%, to $16.4 million, as compared to $21.3 million for the 26-week period ended June 27, 2021. The decrease was primarily due to a lower effective interest rate combined with the favorable impact of the $100 million paydown on our second lien note in July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As a result of factors described above, we recognized </w:t>
      </w:r>
      <w:r>
        <w:rPr>
          <w:rFonts w:ascii="Arial" w:cs="Arial" w:eastAsia="Arial" w:hAnsi="Arial"/>
          <w:sz w:val="18"/>
          <w:szCs w:val="18"/>
          <w:color w:val="333333"/>
        </w:rPr>
        <w:t>income before income taxes of</w:t>
      </w:r>
      <w:r>
        <w:rPr>
          <w:rFonts w:ascii="Arial" w:cs="Arial" w:eastAsia="Arial" w:hAnsi="Arial"/>
          <w:sz w:val="18"/>
          <w:szCs w:val="18"/>
          <w:color w:val="auto"/>
        </w:rPr>
        <w:t xml:space="preserve"> $67.6 million for the 26-week period ended July 3, 2022, as compared to $31.6 million for the 26-week period ended June 27,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Income tax expense of $10.2 million for the 26-week period ended July 3, 2022 decreased by $0.4 million compared to $10.6 million for the 26-week period ended June 27, 2021. The effective tax rate for the 26-week period ended July 3, 2022 was 15.1%. The difference between the effective tax rate and the federal statutory rate in 2022 was primarily due to permanent differences resulting from the change in fair value of the warrant and earn-out liabilities. The effective tax rate for the 26-week period ended June 27, 2021 was 33.4%. The difference between the effective tax rate and the federal statutory rate in 2021 was due to the permanent difference resulting from the adjustment to the Simpson earn-out liability during the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w:t>
      </w:r>
      <w:r>
        <w:rPr>
          <w:rFonts w:ascii="Arial" w:cs="Arial" w:eastAsia="Arial" w:hAnsi="Arial"/>
          <w:sz w:val="18"/>
          <w:szCs w:val="18"/>
          <w:color w:val="333333"/>
        </w:rPr>
        <w:t>d net income o</w:t>
      </w:r>
      <w:r>
        <w:rPr>
          <w:rFonts w:ascii="Arial" w:cs="Arial" w:eastAsia="Arial" w:hAnsi="Arial"/>
          <w:sz w:val="18"/>
          <w:szCs w:val="18"/>
          <w:color w:val="auto"/>
        </w:rPr>
        <w:t xml:space="preserve">f $57.4 million for the 26-week period ended July 3, 2022, as compared to $21.0 million for the 26-week period ended June 27, 2021. Additionally, we recognized </w:t>
      </w:r>
      <w:r>
        <w:rPr>
          <w:rFonts w:ascii="Arial" w:cs="Arial" w:eastAsia="Arial" w:hAnsi="Arial"/>
          <w:sz w:val="18"/>
          <w:szCs w:val="18"/>
          <w:color w:val="333333"/>
        </w:rPr>
        <w:t>total comprehensive income o</w:t>
      </w:r>
      <w:r>
        <w:rPr>
          <w:rFonts w:ascii="Arial" w:cs="Arial" w:eastAsia="Arial" w:hAnsi="Arial"/>
          <w:sz w:val="18"/>
          <w:szCs w:val="18"/>
          <w:color w:val="auto"/>
        </w:rPr>
        <w:t>f $58.2 million for the 26-week period ended July 3, 2022, as compared to $21.1 million for the 26-week period ended June 27, 2021. Comprehensive income includes the effect of foreign currency translation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Holley believes EBITDA and Adjusted EBITDA are useful to investors in evaluating the Company’s financial performance. In addition, Holley uses these measures internally to establish forecasts, budgets and operational goals to manage and monitor its business. Holley believes that these non-GAAP financial measures help to depict a more realistic representation of the performance of the underlying business, enabling the Company to evaluate and plan more effectively for the future. Holley believes that investors should have access to the same set of tools that its management uses in analyzing operating results.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Holley defines EBITDA as earnings before (a) interest expense, (b) income taxes and (c) depreciation and amortization. Holley defines Adjusted EBITDA as EBITDA plus (i) notable items that in 2022 consist primarily of non-cash adjustments related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2021 consist primarily of the amortization of the fair market value increase in inventory due to acquisitions, (ii) compensation expense related to equity awards (iii) acquisition and restructuring costs, which for the 13-week period ended March 28, 2021 includes a $17.2 million adjustment due to a change in the fair value of the Simpson acquisition contingent consideration payable, (iv) changes in the fair value of the warrant liability, (v) changes in the fair value of the earn-out liability, (vi) related party acquisition and management fee costs, and (vii) other expenses, which includes losses from disposal of fixed assets and foreign currency transactions. We have included within the definition of Adjusted EBITDA the changes in the fair value of the warrant liability and changes in the fair value of the earn-out liability, as management believes such matters, when they occur, do not directly reflect the performance of the underlying business.</w:t>
      </w:r>
    </w:p>
    <w:p>
      <w:pPr>
        <w:spacing w:after="0" w:line="3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EBITDA and Adjusted EBITDA are not prepared in accordance with accounting principles generally accepted in the United States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table presents the reconciliation of net income (loss), the most directly comparable GAAP measure, to EBITDA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13-week and 26-week periods ended July 3, 2022 and June 27, 2021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8"/>
                <w:szCs w:val="18"/>
                <w:color w:val="auto"/>
              </w:rPr>
              <w:t>For the twenty-six weeks</w:t>
            </w:r>
          </w:p>
        </w:tc>
      </w:tr>
      <w:tr>
        <w:trPr>
          <w:trHeight w:val="221"/>
        </w:trPr>
        <w:tc>
          <w:tcPr>
            <w:tcW w:w="5980" w:type="dxa"/>
            <w:vAlign w:val="bottom"/>
          </w:tcPr>
          <w:p>
            <w:pPr>
              <w:spacing w:after="0"/>
              <w:rPr>
                <w:sz w:val="19"/>
                <w:szCs w:val="19"/>
                <w:color w:val="auto"/>
              </w:rPr>
            </w:pPr>
          </w:p>
        </w:tc>
        <w:tc>
          <w:tcPr>
            <w:tcW w:w="2720" w:type="dxa"/>
            <w:vAlign w:val="bottom"/>
            <w:gridSpan w:val="6"/>
          </w:tcPr>
          <w:p>
            <w:pPr>
              <w:ind w:left="80"/>
              <w:spacing w:after="0"/>
              <w:rPr>
                <w:sz w:val="20"/>
                <w:szCs w:val="20"/>
                <w:color w:val="auto"/>
              </w:rPr>
            </w:pPr>
            <w:r>
              <w:rPr>
                <w:rFonts w:ascii="Arial" w:cs="Arial" w:eastAsia="Arial" w:hAnsi="Arial"/>
                <w:sz w:val="18"/>
                <w:szCs w:val="18"/>
                <w:color w:val="auto"/>
              </w:rPr>
              <w:t>For the thirteen weeks ended</w:t>
            </w:r>
          </w:p>
        </w:tc>
        <w:tc>
          <w:tcPr>
            <w:tcW w:w="1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59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70"/>
              <w:spacing w:after="0" w:line="177" w:lineRule="exact"/>
              <w:rPr>
                <w:sz w:val="20"/>
                <w:szCs w:val="20"/>
                <w:color w:val="auto"/>
              </w:rPr>
            </w:pPr>
            <w:r>
              <w:rPr>
                <w:rFonts w:ascii="Arial" w:cs="Arial" w:eastAsia="Arial" w:hAnsi="Arial"/>
                <w:sz w:val="18"/>
                <w:szCs w:val="18"/>
                <w:color w:val="auto"/>
                <w:w w:val="98"/>
              </w:rPr>
              <w:t>June 27,</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color w:val="auto"/>
              </w:rPr>
              <w:t>June 27,</w:t>
            </w:r>
          </w:p>
        </w:tc>
        <w:tc>
          <w:tcPr>
            <w:tcW w:w="100" w:type="dxa"/>
            <w:vAlign w:val="bottom"/>
          </w:tcPr>
          <w:p>
            <w:pPr>
              <w:spacing w:after="0"/>
              <w:rPr>
                <w:sz w:val="15"/>
                <w:szCs w:val="15"/>
                <w:color w:val="auto"/>
              </w:rPr>
            </w:pPr>
          </w:p>
        </w:tc>
      </w:tr>
      <w:tr>
        <w:trPr>
          <w:trHeight w:val="221"/>
        </w:trPr>
        <w:tc>
          <w:tcPr>
            <w:tcW w:w="5980" w:type="dxa"/>
            <w:vAlign w:val="bottom"/>
          </w:tcPr>
          <w:p>
            <w:pPr>
              <w:spacing w:after="0"/>
              <w:rPr>
                <w:sz w:val="19"/>
                <w:szCs w:val="19"/>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July 3, 2022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July 3, 2022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40,563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23,098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57,421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21,042</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2,523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2,201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4,663</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4,453</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3,662</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3,502</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7,323</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6,838</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8,961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11,174</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16,352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21,245</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3,023</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5,790</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10,211</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10,556</w:t>
            </w:r>
          </w:p>
        </w:tc>
      </w:tr>
      <w:tr>
        <w:trPr>
          <w:trHeight w:val="20"/>
        </w:trPr>
        <w:tc>
          <w:tcPr>
            <w:tcW w:w="5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58,732</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45,765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95,970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64,134</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Acquisition and restructuring costs</w:t>
            </w:r>
          </w:p>
        </w:tc>
        <w:tc>
          <w:tcPr>
            <w:tcW w:w="3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1,691</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2,676</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1,981</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21,509</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(23,168)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(20,941)</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30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(4,234)</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(1,853)</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3,483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6,645</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3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1,658</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2,539</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Notable items</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3,862</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9,575</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325</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547</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w:t>
            </w:r>
          </w:p>
        </w:tc>
      </w:tr>
      <w:tr>
        <w:trPr>
          <w:trHeight w:val="20"/>
        </w:trPr>
        <w:tc>
          <w:tcPr>
            <w:tcW w:w="5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37,207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54,139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83,233</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97,933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Holley’s primary cash needs are to support working capital, capital expenditures, acquisitions, and debt repayments. The Company has generally financed its historical needs with operating cash flows, capital contributions and borrowings under its credit facilities. These sources of liquidity may be impacted by various factors, including demand for Holley’s products, investments made in acquired businesses, plant and equipment and other capital expenditures, and expenditures on general infrastructure and information technology.</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July 3, 2022, the Company had cash of $30.6 million and availability of $123.8 million under its revolving credit facility. The Company has a senior secured revolving credit facility with $125 million in borrowing capacity. As of July 3, 2022, the Company had $1.2 million of letters of credit outstanding under the revolving credit facility.</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$4.4 million, including short term leases, due during the remainder of fiscal year 2022.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$14 million to $16 million in fiscal year 2022.</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elsewhere in this Quarterly Report on Form 10-Q for further detail of our credit facility and the timing of principal maturities. As of July 3, 2022, based on the then current weighted average interest rate of 5.2%, expected interest payments associated with outstanding debt totaled approximately $17.1 million for the remainder of fiscal year 2022.</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believes that its cash on hand, cash from operations and borrowings available under its revolving credit facility will be sufficient to satisfy its liquidity needs and capital expenditure requirements for at least the next twelve months and thereafter for the foreseeable future.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26-week period ended July 3, 2022 Compared With 26-week period ended June 27, 2021</w:t>
      </w:r>
    </w:p>
    <w:p>
      <w:pPr>
        <w:spacing w:after="0" w:line="196"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For the twenty-six weeks ended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flows used in investing activities</w:t>
      </w:r>
    </w:p>
    <w:p>
      <w:pPr>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right="3280"/>
        <w:spacing w:after="0" w:line="297" w:lineRule="auto"/>
        <w:rPr>
          <w:sz w:val="20"/>
          <w:szCs w:val="20"/>
          <w:color w:val="auto"/>
        </w:rPr>
      </w:pPr>
      <w:r>
        <w:rPr>
          <w:rFonts w:ascii="Arial" w:cs="Arial" w:eastAsia="Arial" w:hAnsi="Arial"/>
          <w:sz w:val="18"/>
          <w:szCs w:val="18"/>
          <w:color w:val="auto"/>
        </w:rPr>
        <w:t>Effect of foreign currency rate fluctuations on cash 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460"/>
              <w:spacing w:after="0" w:line="196" w:lineRule="exact"/>
              <w:rPr>
                <w:sz w:val="20"/>
                <w:szCs w:val="20"/>
                <w:color w:val="auto"/>
              </w:rPr>
            </w:pPr>
            <w:r>
              <w:rPr>
                <w:rFonts w:ascii="Arial" w:cs="Arial" w:eastAsia="Arial" w:hAnsi="Arial"/>
                <w:sz w:val="18"/>
                <w:szCs w:val="18"/>
                <w:color w:val="auto"/>
              </w:rPr>
              <w:t>July 3, 2022</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June 27, 2021</w:t>
            </w:r>
          </w:p>
        </w:tc>
        <w:tc>
          <w:tcPr>
            <w:tcW w:w="60" w:type="dxa"/>
            <w:vAlign w:val="bottom"/>
          </w:tcPr>
          <w:p>
            <w:pPr>
              <w:spacing w:after="0"/>
              <w:rPr>
                <w:sz w:val="17"/>
                <w:szCs w:val="17"/>
                <w:color w:val="auto"/>
              </w:rPr>
            </w:pPr>
          </w:p>
        </w:tc>
      </w:tr>
      <w:tr>
        <w:trPr>
          <w:trHeight w:val="177"/>
        </w:trPr>
        <w:tc>
          <w:tcPr>
            <w:tcW w:w="1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20,831</w:t>
            </w:r>
          </w:p>
        </w:tc>
        <w:tc>
          <w:tcPr>
            <w:tcW w:w="200" w:type="dxa"/>
            <w:vAlign w:val="bottom"/>
          </w:tcPr>
          <w:p>
            <w:pPr>
              <w:spacing w:after="0"/>
              <w:rPr>
                <w:sz w:val="15"/>
                <w:szCs w:val="15"/>
                <w:color w:val="auto"/>
              </w:rPr>
            </w:pPr>
          </w:p>
        </w:tc>
        <w:tc>
          <w:tcPr>
            <w:tcW w:w="1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46,397</w:t>
            </w:r>
          </w:p>
        </w:tc>
        <w:tc>
          <w:tcPr>
            <w:tcW w:w="60" w:type="dxa"/>
            <w:vAlign w:val="bottom"/>
          </w:tcPr>
          <w:p>
            <w:pPr>
              <w:spacing w:after="0"/>
              <w:rPr>
                <w:sz w:val="15"/>
                <w:szCs w:val="15"/>
                <w:color w:val="auto"/>
              </w:rPr>
            </w:pPr>
          </w:p>
        </w:tc>
      </w:tr>
      <w:tr>
        <w:trPr>
          <w:trHeight w:val="203"/>
        </w:trPr>
        <w:tc>
          <w:tcPr>
            <w:tcW w:w="180" w:type="dxa"/>
            <w:vAlign w:val="bottom"/>
          </w:tcPr>
          <w:p>
            <w:pPr>
              <w:spacing w:after="0"/>
              <w:rPr>
                <w:sz w:val="17"/>
                <w:szCs w:val="17"/>
                <w:color w:val="auto"/>
              </w:rPr>
            </w:pP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(23,442)</w:t>
            </w:r>
          </w:p>
        </w:tc>
        <w:tc>
          <w:tcPr>
            <w:tcW w:w="14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(60,867)</w:t>
            </w:r>
          </w:p>
        </w:tc>
      </w:tr>
      <w:tr>
        <w:trPr>
          <w:trHeight w:val="203"/>
        </w:trPr>
        <w:tc>
          <w:tcPr>
            <w:tcW w:w="180" w:type="dxa"/>
            <w:vAlign w:val="bottom"/>
          </w:tcPr>
          <w:p>
            <w:pPr>
              <w:spacing w:after="0"/>
              <w:rPr>
                <w:sz w:val="17"/>
                <w:szCs w:val="17"/>
                <w:color w:val="auto"/>
              </w:rPr>
            </w:pP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(2,716)</w:t>
            </w:r>
          </w:p>
        </w:tc>
        <w:tc>
          <w:tcPr>
            <w:tcW w:w="14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(1,539)</w:t>
            </w:r>
          </w:p>
        </w:tc>
      </w:tr>
      <w:tr>
        <w:trPr>
          <w:trHeight w:val="221"/>
        </w:trPr>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(5,770)</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(16,009)</w:t>
            </w:r>
          </w:p>
        </w:tc>
        <w:tc>
          <w:tcPr>
            <w:tcW w:w="60" w:type="dxa"/>
            <w:vAlign w:val="bottom"/>
          </w:tcPr>
          <w:p>
            <w:pPr>
              <w:spacing w:after="0"/>
              <w:rPr>
                <w:sz w:val="17"/>
                <w:szCs w:val="17"/>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spacing w:after="0" w:line="24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26-week period ended July 3, 2022 was $20.8 million compared to $46.4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26-week period ended June 27, 2021. Significant components of the year-over-year change in cash provided by operating activities included negative fluctuations from inventories and accounts payable of $28.8 million and $11.8 million, respectively. Offsetting these decreases were increases in cash provided by accounts receivable and prepaids and other current assets of $6.1 million and $6.1 million, respectively. The changes in inventory, accounts payable and accounts receivable reflect the fluctuations in sales during 2022 while accounts payable and accounts receivable are also impacted by the timing of payments.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26-week period ended July 3, 2022 was $23.4 million, which included $9.4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capital expenditures and $14.0 million relating to acquisitions. During the 26-week period ended June 27, 2021, cash used in investing activities was $60.9 million which included $54.0 million relating to acquisitions and $6.8 million due to capital expenditures.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26-week period ended July 3, 2022 was $ 2.7 million due to net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on long-term debt. Cash used in financing activities for the 26-week period ended June 27, 2021 reflected principal payments on long-term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2021, as filed with the SEC on March 15, 2022.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elsewhere in this Quarterly Report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Quarterly Report on Form 10-Q.</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The Company generally does not hedge its interest rate exposure. The Company had $655.5 million of debt outstanding as of July 3, 2022. A hypothetical 100 basis point increase or decrease in interest rates would result in an approximately $6.6 million change to Holley’s annual interest expense.</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July 3,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the Company’s cash and cash equivalents consisted of cash balances in non-interest bearing checking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July 3, 2022, the Company is exposed to changes in foreign currency exchange rates. While historically this</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to changes in foreign currency exchange rates has not had a 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July 3, 2022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not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2021, as filed with the SEC on March 15, 2022.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material changes in the Company's risk factors from those disclosed in Part I, Item 1A of the Company's Annual Report on Form 10-K as filed with the SEC on March 15, 2022, for the year ended December 31,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3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36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13"/>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2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80" w:type="dxa"/>
            <w:vAlign w:val="bottom"/>
            <w:tcBorders>
              <w:top w:val="single" w:sz="8" w:color="auto"/>
            </w:tcBorders>
            <w:gridSpan w:val="13"/>
          </w:tcPr>
          <w:p>
            <w:pPr>
              <w:spacing w:after="0" w:line="169" w:lineRule="exact"/>
              <w:rPr>
                <w:rFonts w:ascii="Arial" w:cs="Arial" w:eastAsia="Arial" w:hAnsi="Arial"/>
                <w:sz w:val="18"/>
                <w:szCs w:val="18"/>
                <w:color w:val="0000EE"/>
              </w:rPr>
            </w:pPr>
            <w:hyperlink r:id="rId51">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Empower Merger Sub II LLC and Holley Intermediate Holdings, Inc. (incorporated by reference to Exhibit 2.1 to the</w:t>
              </w:r>
            </w:hyperlink>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Company’s Current Report on Form 8-K, filed with the SEC on March 12, 2021).</w:t>
              </w:r>
            </w:hyperlink>
          </w:p>
        </w:tc>
        <w:tc>
          <w:tcPr>
            <w:tcW w:w="3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13"/>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Certificate of Incorporation of the Company, dated July 16, 2021 (incorporated by reference to Exhibit 3.1 of the Company’s</w:t>
              </w:r>
            </w:hyperlink>
          </w:p>
        </w:tc>
        <w:tc>
          <w:tcPr>
            <w:tcW w:w="0" w:type="dxa"/>
            <w:vAlign w:val="bottom"/>
          </w:tcPr>
          <w:p>
            <w:pPr>
              <w:spacing w:after="0"/>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Current Report on Form 8-K, filed with the SEC on July 21, 2021).</w:t>
              </w:r>
            </w:hyperlink>
          </w:p>
        </w:tc>
        <w:tc>
          <w:tcPr>
            <w:tcW w:w="4540" w:type="dxa"/>
            <w:vAlign w:val="bottom"/>
            <w:tcBorders>
              <w:top w:val="single" w:sz="8" w:color="0000EE"/>
            </w:tcBorders>
            <w:gridSpan w:val="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13"/>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Bylaws of the Company, dated July 16, 2021 (incorporated by reference to Exhibit 3.2 of the Company’s Current Report on</w:t>
              </w:r>
            </w:hyperlink>
          </w:p>
        </w:tc>
        <w:tc>
          <w:tcPr>
            <w:tcW w:w="0" w:type="dxa"/>
            <w:vAlign w:val="bottom"/>
          </w:tcPr>
          <w:p>
            <w:pPr>
              <w:spacing w:after="0"/>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Form 8-K, filed with the SEC on July 21, 2021).</w:t>
              </w:r>
            </w:hyperlink>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8"/>
              </w:rPr>
              <w:t>Certification of Chief Executive Officer pursuant</w:t>
            </w:r>
          </w:p>
        </w:tc>
        <w:tc>
          <w:tcPr>
            <w:tcW w:w="6140" w:type="dxa"/>
            <w:vAlign w:val="bottom"/>
            <w:gridSpan w:val="12"/>
          </w:tcPr>
          <w:p>
            <w:pPr>
              <w:ind w:left="80"/>
              <w:spacing w:after="0" w:line="182" w:lineRule="exact"/>
              <w:rPr>
                <w:sz w:val="20"/>
                <w:szCs w:val="20"/>
                <w:color w:val="auto"/>
              </w:rPr>
            </w:pPr>
            <w:r>
              <w:rPr>
                <w:rFonts w:ascii="Arial" w:cs="Arial" w:eastAsia="Arial" w:hAnsi="Arial"/>
                <w:sz w:val="18"/>
                <w:szCs w:val="18"/>
                <w:color w:val="0000EE"/>
              </w:rPr>
              <w:t>to Rules 13a-14(a) and 15d-14(a) of the Exchange Act</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16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Rules 13a-14(a) and 15d-14(a) of the Exchange Act</w:t>
            </w:r>
          </w:p>
        </w:tc>
        <w:tc>
          <w:tcPr>
            <w:tcW w:w="12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3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1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w:t>
            </w:r>
          </w:p>
        </w:tc>
        <w:tc>
          <w:tcPr>
            <w:tcW w:w="1760" w:type="dxa"/>
            <w:vAlign w:val="bottom"/>
            <w:gridSpan w:val="8"/>
          </w:tcPr>
          <w:p>
            <w:pPr>
              <w:spacing w:after="0" w:line="182" w:lineRule="exact"/>
              <w:rPr>
                <w:sz w:val="20"/>
                <w:szCs w:val="20"/>
                <w:color w:val="auto"/>
              </w:rPr>
            </w:pPr>
            <w:r>
              <w:rPr>
                <w:rFonts w:ascii="Arial" w:cs="Arial" w:eastAsia="Arial" w:hAnsi="Arial"/>
                <w:sz w:val="18"/>
                <w:szCs w:val="18"/>
                <w:color w:val="0000EE"/>
              </w:rPr>
              <w:t>1350, as adopted</w:t>
            </w:r>
          </w:p>
        </w:tc>
        <w:tc>
          <w:tcPr>
            <w:tcW w:w="0" w:type="dxa"/>
            <w:vAlign w:val="bottom"/>
          </w:tcPr>
          <w:p>
            <w:pPr>
              <w:spacing w:after="0"/>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0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pursuant to Section 906 of the Sarbanes-Oxley Act of 2002</w:t>
            </w:r>
          </w:p>
        </w:tc>
        <w:tc>
          <w:tcPr>
            <w:tcW w:w="3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 13a</w:t>
            </w:r>
          </w:p>
        </w:tc>
        <w:tc>
          <w:tcPr>
            <w:tcW w:w="5180" w:type="dxa"/>
            <w:vAlign w:val="bottom"/>
            <w:gridSpan w:val="11"/>
          </w:tcPr>
          <w:p>
            <w:pPr>
              <w:spacing w:after="0" w:line="182" w:lineRule="exact"/>
              <w:rPr>
                <w:sz w:val="20"/>
                <w:szCs w:val="20"/>
                <w:color w:val="auto"/>
              </w:rPr>
            </w:pPr>
            <w:r>
              <w:rPr>
                <w:rFonts w:ascii="Arial" w:cs="Arial" w:eastAsia="Arial" w:hAnsi="Arial"/>
                <w:sz w:val="18"/>
                <w:szCs w:val="18"/>
                <w:color w:val="0000EE"/>
              </w:rPr>
              <w:t>-14(b) of the Exchange Act and 18 U.S.C. 1350, as adopted</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4740" w:type="dxa"/>
            <w:vAlign w:val="bottom"/>
            <w:tcBorders>
              <w:top w:val="single" w:sz="8" w:color="0000EE"/>
            </w:tcBorders>
            <w:gridSpan w:val="6"/>
          </w:tcPr>
          <w:p>
            <w:pPr>
              <w:spacing w:after="0"/>
              <w:rPr>
                <w:sz w:val="15"/>
                <w:szCs w:val="15"/>
                <w:color w:val="auto"/>
              </w:rPr>
            </w:pPr>
          </w:p>
        </w:tc>
        <w:tc>
          <w:tcPr>
            <w:tcW w:w="4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6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13"/>
          </w:tcPr>
          <w:p>
            <w:pPr>
              <w:spacing w:after="0" w:line="191"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131"/>
        </w:trPr>
        <w:tc>
          <w:tcPr>
            <w:tcW w:w="1360" w:type="dxa"/>
            <w:vAlign w:val="bottom"/>
            <w:gridSpan w:val="3"/>
            <w:vMerge w:val="continue"/>
          </w:tcPr>
          <w:p>
            <w:pPr>
              <w:spacing w:after="0"/>
              <w:rPr>
                <w:sz w:val="11"/>
                <w:szCs w:val="11"/>
                <w:color w:val="auto"/>
              </w:rPr>
            </w:pPr>
          </w:p>
        </w:tc>
        <w:tc>
          <w:tcPr>
            <w:tcW w:w="9880" w:type="dxa"/>
            <w:vAlign w:val="bottom"/>
            <w:gridSpan w:val="13"/>
            <w:vMerge w:val="restart"/>
          </w:tcPr>
          <w:p>
            <w:pPr>
              <w:spacing w:after="0" w:line="202" w:lineRule="exact"/>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72"/>
        </w:trPr>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988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101.SCH</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101.CAL</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101.DEF</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101.LAB</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1"/>
        </w:trPr>
        <w:tc>
          <w:tcPr>
            <w:tcW w:w="13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360" w:hanging="1352"/>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19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Dominic Bardos</w:t>
      </w:r>
    </w:p>
    <w:p>
      <w:pPr>
        <w:ind w:left="67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(Duly Authorized Officer)</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1"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Tom Tomlinson, certify that:</w:t>
      </w:r>
    </w:p>
    <w:p>
      <w:pPr>
        <w:spacing w:after="0" w:line="198"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98"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sz w:val="20"/>
          <w:szCs w:val="20"/>
          <w:color w:val="auto"/>
        </w:rPr>
      </w:pPr>
    </w:p>
    <w:p>
      <w:pPr>
        <w:jc w:val="both"/>
        <w:ind w:right="20" w:firstLine="8"/>
        <w:spacing w:after="0" w:line="253" w:lineRule="auto"/>
        <w:tabs>
          <w:tab w:leader="none" w:pos="2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firstLine="8"/>
        <w:spacing w:after="0" w:line="253" w:lineRule="auto"/>
        <w:tabs>
          <w:tab w:leader="none" w:pos="2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sz w:val="20"/>
          <w:szCs w:val="20"/>
          <w:color w:val="auto"/>
        </w:rPr>
      </w:pPr>
    </w:p>
    <w:p>
      <w:pPr>
        <w:jc w:val="both"/>
        <w:ind w:firstLine="8"/>
        <w:spacing w:after="0" w:line="253" w:lineRule="auto"/>
        <w:tabs>
          <w:tab w:leader="none" w:pos="2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sz w:val="20"/>
          <w:szCs w:val="20"/>
          <w:color w:val="auto"/>
        </w:rPr>
      </w:pPr>
    </w:p>
    <w:p>
      <w:pPr>
        <w:ind w:right="20" w:firstLine="8"/>
        <w:spacing w:after="0" w:line="271" w:lineRule="auto"/>
        <w:tabs>
          <w:tab w:leader="none" w:pos="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8890</wp:posOffset>
            </wp:positionV>
            <wp:extent cx="30600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Tom Tomlinson</w:t>
      </w:r>
    </w:p>
    <w:p>
      <w:pPr>
        <w:ind w:left="6420"/>
        <w:spacing w:after="0"/>
        <w:rPr>
          <w:sz w:val="20"/>
          <w:szCs w:val="20"/>
          <w:color w:val="auto"/>
        </w:rPr>
      </w:pPr>
      <w:r>
        <w:rPr>
          <w:rFonts w:ascii="Arial" w:cs="Arial" w:eastAsia="Arial" w:hAnsi="Arial"/>
          <w:sz w:val="18"/>
          <w:szCs w:val="18"/>
          <w:color w:val="auto"/>
        </w:rPr>
        <w:t>Director and Chief Executive Officer</w:t>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August 11, 2022</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Dominic Bardos, certify that:</w:t>
      </w:r>
    </w:p>
    <w:p>
      <w:pPr>
        <w:spacing w:after="0" w:line="198"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98"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sz w:val="20"/>
          <w:szCs w:val="20"/>
          <w:color w:val="auto"/>
        </w:rPr>
      </w:pPr>
    </w:p>
    <w:p>
      <w:pPr>
        <w:jc w:val="both"/>
        <w:ind w:right="20" w:firstLine="8"/>
        <w:spacing w:after="0" w:line="253" w:lineRule="auto"/>
        <w:tabs>
          <w:tab w:leader="none" w:pos="2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firstLine="8"/>
        <w:spacing w:after="0" w:line="253" w:lineRule="auto"/>
        <w:tabs>
          <w:tab w:leader="none" w:pos="2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sz w:val="20"/>
          <w:szCs w:val="20"/>
          <w:color w:val="auto"/>
        </w:rPr>
      </w:pPr>
    </w:p>
    <w:p>
      <w:pPr>
        <w:jc w:val="both"/>
        <w:ind w:firstLine="8"/>
        <w:spacing w:after="0" w:line="253" w:lineRule="auto"/>
        <w:tabs>
          <w:tab w:leader="none" w:pos="2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sz w:val="20"/>
          <w:szCs w:val="20"/>
          <w:color w:val="auto"/>
        </w:rPr>
      </w:pPr>
    </w:p>
    <w:p>
      <w:pPr>
        <w:ind w:right="20" w:firstLine="8"/>
        <w:spacing w:after="0" w:line="271"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Dominic Bardos</w:t>
      </w:r>
    </w:p>
    <w:p>
      <w:pPr>
        <w:ind w:left="620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August 11, 2022</w:t>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on Form 10-Q of Holley Inc. (the "Company") for the quarter ended July 3, 2022, as filed with the Securities and Exchange Commission (the "Report"), Tom Tomlinson, Director and Chief Executive Officer of the Company, does hereby certify, pursuant to § 906 of the Sarbanes-Oxley Act of 2002 (18 U.S.C. § 1350), that to his knowledge:</w:t>
      </w:r>
    </w:p>
    <w:p>
      <w:pPr>
        <w:spacing w:after="0" w:line="155"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8890</wp:posOffset>
            </wp:positionV>
            <wp:extent cx="3060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Tom Tomlinson</w:t>
      </w:r>
    </w:p>
    <w:p>
      <w:pPr>
        <w:ind w:left="6420"/>
        <w:spacing w:after="0"/>
        <w:rPr>
          <w:sz w:val="20"/>
          <w:szCs w:val="20"/>
          <w:color w:val="auto"/>
        </w:rPr>
      </w:pPr>
      <w:r>
        <w:rPr>
          <w:rFonts w:ascii="Arial" w:cs="Arial" w:eastAsia="Arial" w:hAnsi="Arial"/>
          <w:sz w:val="18"/>
          <w:szCs w:val="18"/>
          <w:color w:val="auto"/>
        </w:rPr>
        <w:t>Director and Chief Executive Officer</w:t>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on Form 10-Q of Holley Inc. (the "Company") for the quarter ended July 3, 2022, as filed with the Securities and Exchange Commission (the "Report"), Dominic Bardos, Chief Financial Officer of the Company, does hereby certify, pursuant to § 906 of the Sarbanes-Oxley Act of 2002 (18 U.S.C. § 1350), that to his knowledge:</w:t>
      </w:r>
    </w:p>
    <w:p>
      <w:pPr>
        <w:spacing w:after="0" w:line="155"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Dominic Bardos</w:t>
      </w:r>
    </w:p>
    <w:p>
      <w:pPr>
        <w:ind w:left="620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decimal"/>
      <w:start w:val="4"/>
    </w:lvl>
  </w:abstractNum>
  <w:abstractNum w:abstractNumId="8">
    <w:nsid w:val="721DA317"/>
    <w:multiLevelType w:val="hybridMultilevel"/>
    <w:lvl w:ilvl="0">
      <w:lvlJc w:val="left"/>
      <w:lvlText w:val="%1."/>
      <w:numFmt w:val="decimal"/>
      <w:start w:val="5"/>
    </w:lvl>
    <w:lvl w:ilvl="1">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6"/>
    </w:lvl>
  </w:abstractNum>
  <w:abstractNum w:abstractNumId="12">
    <w:nsid w:val="75A2A8D4"/>
    <w:multiLevelType w:val="hybridMultilevel"/>
    <w:lvl w:ilvl="0">
      <w:lvlJc w:val="left"/>
      <w:lvlText w:val="%1."/>
      <w:numFmt w:val="decimal"/>
      <w:start w:val="7"/>
    </w:lvl>
  </w:abstractNum>
  <w:abstractNum w:abstractNumId="13">
    <w:nsid w:val="8EDBDAB"/>
    <w:multiLevelType w:val="hybridMultilevel"/>
    <w:lvl w:ilvl="0">
      <w:lvlJc w:val="left"/>
      <w:lvlText w:val="%1."/>
      <w:numFmt w:val="decimal"/>
      <w:start w:val="8"/>
    </w:lvl>
  </w:abstractNum>
  <w:abstractNum w:abstractNumId="14">
    <w:nsid w:val="79838CB2"/>
    <w:multiLevelType w:val="hybridMultilevel"/>
    <w:lvl w:ilvl="0">
      <w:lvlJc w:val="left"/>
      <w:lvlText w:val="%1."/>
      <w:numFmt w:val="decimal"/>
      <w:start w:val="9"/>
    </w:lvl>
  </w:abstractNum>
  <w:abstractNum w:abstractNumId="15">
    <w:nsid w:val="4353D0CD"/>
    <w:multiLevelType w:val="hybridMultilevel"/>
    <w:lvl w:ilvl="0">
      <w:lvlJc w:val="left"/>
      <w:lvlText w:val="%1."/>
      <w:numFmt w:val="decimal"/>
      <w:start w:val="11"/>
    </w:lvl>
  </w:abstractNum>
  <w:abstractNum w:abstractNumId="16">
    <w:nsid w:val="B03E0C6"/>
    <w:multiLevelType w:val="hybridMultilevel"/>
    <w:lvl w:ilvl="0">
      <w:lvlJc w:val="left"/>
      <w:lvlText w:val="%1."/>
      <w:numFmt w:val="decimal"/>
      <w:start w:val="12"/>
    </w:lvl>
  </w:abstractNum>
  <w:abstractNum w:abstractNumId="17">
    <w:nsid w:val="189A769B"/>
    <w:multiLevelType w:val="hybridMultilevel"/>
    <w:lvl w:ilvl="0">
      <w:lvlJc w:val="left"/>
      <w:lvlText w:val="%1."/>
      <w:numFmt w:val="decimal"/>
      <w:start w:val="13"/>
    </w:lvl>
  </w:abstractNum>
  <w:abstractNum w:abstractNumId="18">
    <w:nsid w:val="54E49EB4"/>
    <w:multiLevelType w:val="hybridMultilevel"/>
    <w:lvl w:ilvl="0">
      <w:lvlJc w:val="left"/>
      <w:lvlText w:val="%1."/>
      <w:numFmt w:val="decimal"/>
      <w:start w:val="1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5"/>
    </w:lvl>
  </w:abstractNum>
  <w:abstractNum w:abstractNumId="21">
    <w:nsid w:val="836C40E"/>
    <w:multiLevelType w:val="hybridMultilevel"/>
    <w:lvl w:ilvl="0">
      <w:lvlJc w:val="left"/>
      <w:lvlText w:val="%1"/>
      <w:numFmt w:val="decimal"/>
      <w:start w:val="1"/>
    </w:lvl>
    <w:lvl w:ilvl="1">
      <w:lvlJc w:val="left"/>
      <w:lvlText w:val="(%2)"/>
      <w:numFmt w:val="decimal"/>
      <w:start w:val="1"/>
    </w:lvl>
  </w:abstractNum>
  <w:abstractNum w:abstractNumId="22">
    <w:nsid w:val="2901D82"/>
    <w:multiLevelType w:val="hybridMultilevel"/>
    <w:lvl w:ilvl="0">
      <w:lvlJc w:val="left"/>
      <w:lvlText w:val="%1."/>
      <w:numFmt w:val="decimal"/>
      <w:start w:val="16"/>
    </w:lvl>
    <w:lvl w:ilvl="1">
      <w:lvlJc w:val="left"/>
      <w:lvlText w:val="%2"/>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04"/>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51" Type="http://schemas.openxmlformats.org/officeDocument/2006/relationships/hyperlink" Target="http://www.sec.gov/Archives/edgar/data/1822928/000121390021015000/ea137482ex2_1empower.htm" TargetMode="External"/><Relationship Id="rId52" Type="http://schemas.openxmlformats.org/officeDocument/2006/relationships/hyperlink" Target="http://www.sec.gov/Archives/edgar/data/1822928/000119312521220722/d185405dex31.htm" TargetMode="External"/><Relationship Id="rId53" Type="http://schemas.openxmlformats.org/officeDocument/2006/relationships/hyperlink" Target="http://www.sec.gov/Archives/edgar/data/1822928/000119312521220722/d18540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2022-08-11T06:41:22Z</dcterms:created>
  <dcterms:modified xsi:type="dcterms:W3CDTF">2022-08-11T06:41:22Z</dcterms:modified>
</cp:coreProperties>
</file>