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jc w:val="center"/>
        <w:spacing w:after="0" w:line="238" w:lineRule="auto"/>
        <w:rPr>
          <w:sz w:val="20"/>
          <w:szCs w:val="20"/>
          <w:color w:val="auto"/>
        </w:rPr>
      </w:pPr>
      <w:r>
        <w:rPr>
          <w:rFonts w:ascii="Arial" w:cs="Arial" w:eastAsia="Arial" w:hAnsi="Arial"/>
          <w:sz w:val="22"/>
          <w:szCs w:val="22"/>
          <w:b w:val="1"/>
          <w:bCs w:val="1"/>
          <w:color w:val="auto"/>
        </w:rPr>
        <w:t>UNITED STATES</w:t>
      </w:r>
    </w:p>
    <w:p>
      <w:pPr>
        <w:jc w:val="center"/>
        <w:spacing w:after="0" w:line="230"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7" w:lineRule="exact"/>
        <w:rPr>
          <w:sz w:val="24"/>
          <w:szCs w:val="24"/>
          <w:color w:val="auto"/>
        </w:rPr>
      </w:pPr>
    </w:p>
    <w:p>
      <w:pPr>
        <w:ind w:left="3860" w:right="2360" w:hanging="3852"/>
        <w:spacing w:after="0" w:line="561" w:lineRule="auto"/>
        <w:tabs>
          <w:tab w:leader="none" w:pos="58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2024</w:t>
      </w:r>
    </w:p>
    <w:p>
      <w:pPr>
        <w:spacing w:after="0" w:line="274" w:lineRule="exact"/>
        <w:rPr>
          <w:sz w:val="24"/>
          <w:szCs w:val="24"/>
          <w:color w:val="auto"/>
        </w:rPr>
      </w:pPr>
    </w:p>
    <w:p>
      <w:pPr>
        <w:ind w:left="3480" w:right="2360" w:hanging="3472"/>
        <w:spacing w:after="0" w:line="510" w:lineRule="auto"/>
        <w:tabs>
          <w:tab w:leader="none" w:pos="56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__________to__________</w:t>
      </w:r>
    </w:p>
    <w:p>
      <w:pPr>
        <w:spacing w:after="0" w:line="1" w:lineRule="exact"/>
        <w:rPr>
          <w:rFonts w:ascii="MS PGothic" w:cs="MS PGothic" w:eastAsia="MS PGothic" w:hAnsi="MS PGothic"/>
          <w:sz w:val="16"/>
          <w:szCs w:val="16"/>
          <w:color w:val="auto"/>
        </w:rPr>
      </w:pPr>
    </w:p>
    <w:p>
      <w:pPr>
        <w:ind w:left="42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001-39599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HOLLEY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192"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87-1727560</w:t>
      </w:r>
    </w:p>
    <w:p>
      <w:pPr>
        <w:spacing w:after="0" w:line="35" w:lineRule="exact"/>
        <w:rPr>
          <w:sz w:val="24"/>
          <w:szCs w:val="24"/>
          <w:color w:val="auto"/>
        </w:rPr>
      </w:pPr>
    </w:p>
    <w:p>
      <w:pPr>
        <w:sectPr>
          <w:pgSz w:w="11900" w:h="16838" w:orient="portrait"/>
          <w:cols w:equalWidth="0" w:num="2">
            <w:col w:w="7280" w:space="720"/>
            <w:col w:w="3240"/>
          </w:cols>
          <w:pgMar w:left="320" w:top="472" w:right="339" w:bottom="1440" w:gutter="0" w:footer="0" w:header="0"/>
          <w:type w:val="continuous"/>
        </w:sectPr>
      </w:pPr>
    </w:p>
    <w:p>
      <w:pPr>
        <w:ind w:left="104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9" w:lineRule="exact"/>
        <w:rPr>
          <w:sz w:val="24"/>
          <w:szCs w:val="24"/>
          <w:color w:val="auto"/>
        </w:rPr>
      </w:pPr>
    </w:p>
    <w:p>
      <w:pPr>
        <w:sectPr>
          <w:pgSz w:w="11900" w:h="16838" w:orient="portrait"/>
          <w:cols w:equalWidth="0" w:num="2">
            <w:col w:w="6680" w:space="720"/>
            <w:col w:w="3840"/>
          </w:cols>
          <w:pgMar w:left="320" w:top="472"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1801 Russellville Road, Bowling Green, KY 42101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(270) 782-2900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w:t>
      </w:r>
      <w:r>
        <w:rPr>
          <w:rFonts w:ascii="Arial" w:cs="Arial" w:eastAsia="Arial" w:hAnsi="Arial"/>
          <w:sz w:val="13"/>
          <w:szCs w:val="13"/>
          <w:color w:val="auto"/>
        </w:rPr>
        <w:t>’</w:t>
      </w:r>
      <w:r>
        <w:rPr>
          <w:rFonts w:ascii="Arial" w:cs="Arial" w:eastAsia="Arial" w:hAnsi="Arial"/>
          <w:sz w:val="13"/>
          <w:szCs w:val="13"/>
          <w:b w:val="1"/>
          <w:bCs w:val="1"/>
          <w:color w:val="auto"/>
        </w:rPr>
        <w:t>s telephone number, including area code)</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N/A</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0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0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7"/>
                <w:szCs w:val="17"/>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7"/>
                <w:szCs w:val="17"/>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68"/>
        </w:trPr>
        <w:tc>
          <w:tcPr>
            <w:tcW w:w="3720" w:type="dxa"/>
            <w:vAlign w:val="bottom"/>
          </w:tcPr>
          <w:p>
            <w:pPr>
              <w:jc w:val="center"/>
              <w:spacing w:after="0" w:line="168" w:lineRule="exact"/>
              <w:rPr>
                <w:sz w:val="20"/>
                <w:szCs w:val="20"/>
                <w:color w:val="auto"/>
              </w:rPr>
            </w:pPr>
            <w:r>
              <w:rPr>
                <w:rFonts w:ascii="Arial" w:cs="Arial" w:eastAsia="Arial" w:hAnsi="Arial"/>
                <w:sz w:val="16"/>
                <w:szCs w:val="16"/>
                <w:color w:val="auto"/>
              </w:rPr>
              <w:t>Common Stock, par value $0.0001</w:t>
            </w:r>
          </w:p>
        </w:tc>
        <w:tc>
          <w:tcPr>
            <w:tcW w:w="120" w:type="dxa"/>
            <w:vAlign w:val="bottom"/>
          </w:tcPr>
          <w:p>
            <w:pPr>
              <w:spacing w:after="0"/>
              <w:rPr>
                <w:sz w:val="14"/>
                <w:szCs w:val="14"/>
                <w:color w:val="auto"/>
              </w:rPr>
            </w:pPr>
          </w:p>
        </w:tc>
        <w:tc>
          <w:tcPr>
            <w:tcW w:w="3600" w:type="dxa"/>
            <w:vAlign w:val="bottom"/>
          </w:tcPr>
          <w:p>
            <w:pPr>
              <w:jc w:val="center"/>
              <w:spacing w:after="0" w:line="168" w:lineRule="exact"/>
              <w:rPr>
                <w:sz w:val="20"/>
                <w:szCs w:val="20"/>
                <w:color w:val="auto"/>
              </w:rPr>
            </w:pPr>
            <w:r>
              <w:rPr>
                <w:rFonts w:ascii="Arial" w:cs="Arial" w:eastAsia="Arial" w:hAnsi="Arial"/>
                <w:sz w:val="16"/>
                <w:szCs w:val="16"/>
                <w:color w:val="auto"/>
                <w:w w:val="99"/>
              </w:rPr>
              <w:t>HLLY</w:t>
            </w:r>
          </w:p>
        </w:tc>
        <w:tc>
          <w:tcPr>
            <w:tcW w:w="100" w:type="dxa"/>
            <w:vAlign w:val="bottom"/>
          </w:tcPr>
          <w:p>
            <w:pPr>
              <w:spacing w:after="0"/>
              <w:rPr>
                <w:sz w:val="14"/>
                <w:szCs w:val="14"/>
                <w:color w:val="auto"/>
              </w:rPr>
            </w:pPr>
          </w:p>
        </w:tc>
        <w:tc>
          <w:tcPr>
            <w:tcW w:w="3700" w:type="dxa"/>
            <w:vAlign w:val="bottom"/>
          </w:tcPr>
          <w:p>
            <w:pPr>
              <w:jc w:val="center"/>
              <w:spacing w:after="0" w:line="168" w:lineRule="exact"/>
              <w:rPr>
                <w:sz w:val="20"/>
                <w:szCs w:val="20"/>
                <w:color w:val="auto"/>
              </w:rPr>
            </w:pPr>
            <w:r>
              <w:rPr>
                <w:rFonts w:ascii="Arial" w:cs="Arial" w:eastAsia="Arial" w:hAnsi="Arial"/>
                <w:sz w:val="16"/>
                <w:szCs w:val="16"/>
                <w:color w:val="auto"/>
              </w:rPr>
              <w:t>New York Stock Exchange</w:t>
            </w:r>
          </w:p>
        </w:tc>
      </w:tr>
      <w:tr>
        <w:trPr>
          <w:trHeight w:val="215"/>
        </w:trPr>
        <w:tc>
          <w:tcPr>
            <w:tcW w:w="3720" w:type="dxa"/>
            <w:vAlign w:val="bottom"/>
          </w:tcPr>
          <w:p>
            <w:pPr>
              <w:jc w:val="center"/>
              <w:spacing w:after="0"/>
              <w:rPr>
                <w:sz w:val="20"/>
                <w:szCs w:val="20"/>
                <w:color w:val="auto"/>
              </w:rPr>
            </w:pPr>
            <w:r>
              <w:rPr>
                <w:rFonts w:ascii="Arial" w:cs="Arial" w:eastAsia="Arial" w:hAnsi="Arial"/>
                <w:sz w:val="16"/>
                <w:szCs w:val="16"/>
                <w:color w:val="auto"/>
              </w:rPr>
              <w:t>Warrants to purchase common stock</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HLLY WS</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77"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340" w:type="dxa"/>
        <w:tblCellMar>
          <w:top w:w="0" w:type="dxa"/>
          <w:left w:w="0" w:type="dxa"/>
          <w:bottom w:w="0" w:type="dxa"/>
          <w:right w:w="0" w:type="dxa"/>
        </w:tblCellMar>
      </w:tblPr>
      <w:tr>
        <w:trPr>
          <w:trHeight w:val="272"/>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4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27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4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20" w:type="dxa"/>
            <w:vAlign w:val="bottom"/>
          </w:tcPr>
          <w:p>
            <w:pPr>
              <w:ind w:left="204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0"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There were 119,311,341 shares of Common Stock, including 1,093,750 restricted earn-out shares, par value $0.0001 per share, issued and outstanding as of May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60" w:type="dxa"/>
            <w:vAlign w:val="bottom"/>
            <w:gridSpan w:val="16"/>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3"/>
        </w:trPr>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6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860" w:type="dxa"/>
            <w:vAlign w:val="bottom"/>
            <w:gridSpan w:val="16"/>
          </w:tcPr>
          <w:p>
            <w:pPr>
              <w:spacing w:after="0"/>
              <w:rPr>
                <w:sz w:val="20"/>
                <w:szCs w:val="20"/>
                <w:color w:val="auto"/>
              </w:rPr>
            </w:pPr>
            <w:r>
              <w:rPr>
                <w:rFonts w:ascii="Arial" w:cs="Arial" w:eastAsia="Arial" w:hAnsi="Arial"/>
                <w:sz w:val="18"/>
                <w:szCs w:val="18"/>
                <w:color w:val="0000EE"/>
              </w:rPr>
              <w:t>PART I – FINANCIAL INFORMATION</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EE"/>
              </w:rPr>
              <w:t>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34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Item 1. Financial Statements.</w:t>
            </w:r>
          </w:p>
        </w:tc>
        <w:tc>
          <w:tcPr>
            <w:tcW w:w="660" w:type="dxa"/>
            <w:vAlign w:val="bottom"/>
            <w:tcBorders>
              <w:top w:val="single" w:sz="8" w:color="0000EE"/>
            </w:tcBorders>
            <w:gridSpan w:val="3"/>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40" w:type="dxa"/>
            <w:vAlign w:val="bottom"/>
            <w:gridSpan w:val="15"/>
          </w:tcPr>
          <w:p>
            <w:pPr>
              <w:spacing w:after="0"/>
              <w:rPr>
                <w:sz w:val="20"/>
                <w:szCs w:val="20"/>
                <w:color w:val="auto"/>
              </w:rPr>
            </w:pPr>
            <w:r>
              <w:rPr>
                <w:rFonts w:ascii="Arial" w:cs="Arial" w:eastAsia="Arial" w:hAnsi="Arial"/>
                <w:sz w:val="18"/>
                <w:szCs w:val="18"/>
                <w:color w:val="0000EE"/>
                <w:w w:val="99"/>
              </w:rPr>
              <w:t>Item 2. Management’s Discussion and Analysis of Financial Condition and Results of Operations.</w:t>
            </w:r>
          </w:p>
        </w:tc>
        <w:tc>
          <w:tcPr>
            <w:tcW w:w="312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24</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40" w:type="dxa"/>
            <w:vAlign w:val="bottom"/>
            <w:gridSpan w:val="15"/>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312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32</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40" w:type="dxa"/>
            <w:vAlign w:val="bottom"/>
            <w:gridSpan w:val="9"/>
          </w:tcPr>
          <w:p>
            <w:pPr>
              <w:spacing w:after="0"/>
              <w:rPr>
                <w:sz w:val="20"/>
                <w:szCs w:val="20"/>
                <w:color w:val="auto"/>
              </w:rPr>
            </w:pPr>
            <w:r>
              <w:rPr>
                <w:rFonts w:ascii="Arial" w:cs="Arial" w:eastAsia="Arial" w:hAnsi="Arial"/>
                <w:sz w:val="18"/>
                <w:szCs w:val="18"/>
                <w:color w:val="0000EE"/>
                <w:w w:val="96"/>
              </w:rPr>
              <w:t>Item 4. Controls and Procedures</w:t>
            </w:r>
          </w:p>
        </w:tc>
        <w:tc>
          <w:tcPr>
            <w:tcW w:w="2820" w:type="dxa"/>
            <w:vAlign w:val="bottom"/>
            <w:gridSpan w:val="4"/>
          </w:tcPr>
          <w:p>
            <w:pPr>
              <w:spacing w:after="0"/>
              <w:rPr>
                <w:sz w:val="24"/>
                <w:szCs w:val="24"/>
                <w:color w:val="auto"/>
              </w:rPr>
            </w:pPr>
          </w:p>
        </w:tc>
        <w:tc>
          <w:tcPr>
            <w:tcW w:w="5500" w:type="dxa"/>
            <w:vAlign w:val="bottom"/>
            <w:gridSpan w:val="3"/>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32</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860" w:type="dxa"/>
            <w:vAlign w:val="bottom"/>
            <w:gridSpan w:val="16"/>
          </w:tcPr>
          <w:p>
            <w:pPr>
              <w:spacing w:after="0"/>
              <w:rPr>
                <w:sz w:val="20"/>
                <w:szCs w:val="20"/>
                <w:color w:val="auto"/>
              </w:rPr>
            </w:pPr>
            <w:r>
              <w:rPr>
                <w:rFonts w:ascii="Arial" w:cs="Arial" w:eastAsia="Arial" w:hAnsi="Arial"/>
                <w:sz w:val="18"/>
                <w:szCs w:val="18"/>
                <w:color w:val="0000EE"/>
              </w:rPr>
              <w:t>PART II – OTHER INFORMATION</w:t>
            </w:r>
          </w:p>
        </w:tc>
        <w:tc>
          <w:tcPr>
            <w:tcW w:w="380" w:type="dxa"/>
            <w:vAlign w:val="bottom"/>
            <w:gridSpan w:val="3"/>
            <w:vMerge w:val="restart"/>
          </w:tcPr>
          <w:p>
            <w:pPr>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183"/>
        </w:trPr>
        <w:tc>
          <w:tcPr>
            <w:tcW w:w="27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1. Legal Proceedings.</w:t>
            </w:r>
          </w:p>
        </w:tc>
        <w:tc>
          <w:tcPr>
            <w:tcW w:w="460" w:type="dxa"/>
            <w:vAlign w:val="bottom"/>
            <w:gridSpan w:val="2"/>
          </w:tcPr>
          <w:p>
            <w:pPr>
              <w:spacing w:after="0"/>
              <w:rPr>
                <w:sz w:val="15"/>
                <w:szCs w:val="15"/>
                <w:color w:val="auto"/>
              </w:rPr>
            </w:pPr>
          </w:p>
        </w:tc>
        <w:tc>
          <w:tcPr>
            <w:tcW w:w="2300" w:type="dxa"/>
            <w:vAlign w:val="bottom"/>
            <w:gridSpan w:val="2"/>
          </w:tcPr>
          <w:p>
            <w:pPr>
              <w:spacing w:after="0"/>
              <w:rPr>
                <w:sz w:val="15"/>
                <w:szCs w:val="15"/>
                <w:color w:val="auto"/>
              </w:rPr>
            </w:pPr>
          </w:p>
        </w:tc>
        <w:tc>
          <w:tcPr>
            <w:tcW w:w="5360" w:type="dxa"/>
            <w:vAlign w:val="bottom"/>
            <w:gridSpan w:val="2"/>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80" w:type="dxa"/>
            <w:vAlign w:val="bottom"/>
            <w:gridSpan w:val="5"/>
          </w:tcPr>
          <w:p>
            <w:pPr>
              <w:spacing w:after="0"/>
              <w:rPr>
                <w:sz w:val="20"/>
                <w:szCs w:val="20"/>
                <w:color w:val="auto"/>
              </w:rPr>
            </w:pPr>
            <w:r>
              <w:rPr>
                <w:rFonts w:ascii="Arial" w:cs="Arial" w:eastAsia="Arial" w:hAnsi="Arial"/>
                <w:sz w:val="18"/>
                <w:szCs w:val="18"/>
                <w:color w:val="0000EE"/>
                <w:w w:val="99"/>
              </w:rPr>
              <w:t>Item 1A. Risk Factors.</w:t>
            </w:r>
          </w:p>
        </w:tc>
        <w:tc>
          <w:tcPr>
            <w:tcW w:w="360" w:type="dxa"/>
            <w:vAlign w:val="bottom"/>
            <w:gridSpan w:val="2"/>
          </w:tcPr>
          <w:p>
            <w:pPr>
              <w:spacing w:after="0"/>
              <w:rPr>
                <w:sz w:val="24"/>
                <w:szCs w:val="24"/>
                <w:color w:val="auto"/>
              </w:rPr>
            </w:pPr>
          </w:p>
        </w:tc>
        <w:tc>
          <w:tcPr>
            <w:tcW w:w="8720" w:type="dxa"/>
            <w:vAlign w:val="bottom"/>
            <w:gridSpan w:val="9"/>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6"/>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380" w:type="dxa"/>
            <w:vAlign w:val="bottom"/>
            <w:gridSpan w:val="3"/>
          </w:tcPr>
          <w:p>
            <w:pPr>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3.</w:t>
            </w:r>
          </w:p>
        </w:tc>
        <w:tc>
          <w:tcPr>
            <w:tcW w:w="4920" w:type="dxa"/>
            <w:vAlign w:val="bottom"/>
            <w:gridSpan w:val="13"/>
          </w:tcPr>
          <w:p>
            <w:pPr>
              <w:ind w:left="20"/>
              <w:spacing w:after="0"/>
              <w:rPr>
                <w:sz w:val="20"/>
                <w:szCs w:val="20"/>
                <w:color w:val="auto"/>
              </w:rPr>
            </w:pPr>
            <w:r>
              <w:rPr>
                <w:rFonts w:ascii="Arial" w:cs="Arial" w:eastAsia="Arial" w:hAnsi="Arial"/>
                <w:sz w:val="18"/>
                <w:szCs w:val="18"/>
                <w:color w:val="0000EE"/>
              </w:rPr>
              <w:t>Defaults Upon Senior Securities.</w:t>
            </w:r>
          </w:p>
        </w:tc>
        <w:tc>
          <w:tcPr>
            <w:tcW w:w="5360" w:type="dxa"/>
            <w:vAlign w:val="bottom"/>
            <w:gridSpan w:val="2"/>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4.</w:t>
            </w:r>
          </w:p>
        </w:tc>
        <w:tc>
          <w:tcPr>
            <w:tcW w:w="1960" w:type="dxa"/>
            <w:vAlign w:val="bottom"/>
            <w:gridSpan w:val="8"/>
          </w:tcPr>
          <w:p>
            <w:pPr>
              <w:ind w:left="20"/>
              <w:spacing w:after="0"/>
              <w:rPr>
                <w:sz w:val="20"/>
                <w:szCs w:val="20"/>
                <w:color w:val="auto"/>
              </w:rPr>
            </w:pPr>
            <w:r>
              <w:rPr>
                <w:rFonts w:ascii="Arial" w:cs="Arial" w:eastAsia="Arial" w:hAnsi="Arial"/>
                <w:sz w:val="18"/>
                <w:szCs w:val="18"/>
                <w:color w:val="0000EE"/>
                <w:w w:val="98"/>
              </w:rPr>
              <w:t>Mine Safety Disclosures</w:t>
            </w:r>
          </w:p>
        </w:tc>
        <w:tc>
          <w:tcPr>
            <w:tcW w:w="660" w:type="dxa"/>
            <w:vAlign w:val="bottom"/>
            <w:gridSpan w:val="3"/>
          </w:tcPr>
          <w:p>
            <w:pPr>
              <w:spacing w:after="0"/>
              <w:rPr>
                <w:sz w:val="24"/>
                <w:szCs w:val="24"/>
                <w:color w:val="auto"/>
              </w:rPr>
            </w:pPr>
          </w:p>
        </w:tc>
        <w:tc>
          <w:tcPr>
            <w:tcW w:w="7660" w:type="dxa"/>
            <w:vAlign w:val="bottom"/>
            <w:gridSpan w:val="4"/>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5.</w:t>
            </w:r>
          </w:p>
        </w:tc>
        <w:tc>
          <w:tcPr>
            <w:tcW w:w="1480" w:type="dxa"/>
            <w:vAlign w:val="bottom"/>
            <w:gridSpan w:val="5"/>
          </w:tcPr>
          <w:p>
            <w:pPr>
              <w:ind w:left="20"/>
              <w:spacing w:after="0"/>
              <w:rPr>
                <w:sz w:val="20"/>
                <w:szCs w:val="20"/>
                <w:color w:val="auto"/>
              </w:rPr>
            </w:pPr>
            <w:r>
              <w:rPr>
                <w:rFonts w:ascii="Arial" w:cs="Arial" w:eastAsia="Arial" w:hAnsi="Arial"/>
                <w:sz w:val="18"/>
                <w:szCs w:val="18"/>
                <w:color w:val="0000EE"/>
                <w:w w:val="99"/>
              </w:rPr>
              <w:t>Other Information.</w:t>
            </w:r>
          </w:p>
        </w:tc>
        <w:tc>
          <w:tcPr>
            <w:tcW w:w="480" w:type="dxa"/>
            <w:vAlign w:val="bottom"/>
            <w:gridSpan w:val="3"/>
          </w:tcPr>
          <w:p>
            <w:pPr>
              <w:spacing w:after="0"/>
              <w:rPr>
                <w:sz w:val="24"/>
                <w:szCs w:val="24"/>
                <w:color w:val="auto"/>
              </w:rPr>
            </w:pPr>
          </w:p>
        </w:tc>
        <w:tc>
          <w:tcPr>
            <w:tcW w:w="8320" w:type="dxa"/>
            <w:vAlign w:val="bottom"/>
            <w:gridSpan w:val="7"/>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800" w:type="dxa"/>
            <w:vAlign w:val="bottom"/>
            <w:gridSpan w:val="10"/>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6.</w:t>
            </w:r>
          </w:p>
        </w:tc>
        <w:tc>
          <w:tcPr>
            <w:tcW w:w="1480" w:type="dxa"/>
            <w:vAlign w:val="bottom"/>
            <w:gridSpan w:val="5"/>
          </w:tcPr>
          <w:p>
            <w:pPr>
              <w:ind w:left="20"/>
              <w:spacing w:after="0"/>
              <w:rPr>
                <w:sz w:val="20"/>
                <w:szCs w:val="20"/>
                <w:color w:val="auto"/>
              </w:rPr>
            </w:pPr>
            <w:r>
              <w:rPr>
                <w:rFonts w:ascii="Arial" w:cs="Arial" w:eastAsia="Arial" w:hAnsi="Arial"/>
                <w:sz w:val="18"/>
                <w:szCs w:val="18"/>
                <w:color w:val="0000EE"/>
              </w:rPr>
              <w:t>Exhibits.</w:t>
            </w:r>
          </w:p>
        </w:tc>
        <w:tc>
          <w:tcPr>
            <w:tcW w:w="8800" w:type="dxa"/>
            <w:vAlign w:val="bottom"/>
            <w:gridSpan w:val="10"/>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34</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580" w:type="dxa"/>
            <w:vAlign w:val="bottom"/>
            <w:gridSpan w:val="1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gridSpan w:val="3"/>
          </w:tcPr>
          <w:p>
            <w:pPr>
              <w:spacing w:after="0"/>
              <w:rPr>
                <w:sz w:val="20"/>
                <w:szCs w:val="20"/>
                <w:color w:val="auto"/>
              </w:rPr>
            </w:pPr>
            <w:r>
              <w:rPr>
                <w:rFonts w:ascii="Arial" w:cs="Arial" w:eastAsia="Arial" w:hAnsi="Arial"/>
                <w:sz w:val="18"/>
                <w:szCs w:val="18"/>
                <w:color w:val="0000EE"/>
              </w:rPr>
              <w:t>SIGNATURE</w:t>
            </w:r>
          </w:p>
        </w:tc>
        <w:tc>
          <w:tcPr>
            <w:tcW w:w="9580" w:type="dxa"/>
            <w:vAlign w:val="bottom"/>
            <w:gridSpan w:val="13"/>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430"/>
        </w:trPr>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700" w:type="dxa"/>
            <w:vAlign w:val="bottom"/>
            <w:gridSpan w:val="13"/>
          </w:tcPr>
          <w:p>
            <w:pPr>
              <w:jc w:val="right"/>
              <w:ind w:right="2060"/>
              <w:spacing w:after="0"/>
              <w:rPr>
                <w:sz w:val="20"/>
                <w:szCs w:val="20"/>
                <w:color w:val="auto"/>
              </w:rPr>
            </w:pPr>
            <w:r>
              <w:rPr>
                <w:rFonts w:ascii="Arial" w:cs="Arial" w:eastAsia="Arial" w:hAnsi="Arial"/>
                <w:sz w:val="18"/>
                <w:szCs w:val="18"/>
                <w:color w:val="auto"/>
              </w:rPr>
              <w:t>2</w:t>
            </w:r>
          </w:p>
        </w:tc>
        <w:tc>
          <w:tcPr>
            <w:tcW w:w="31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Actual results could differ materially due to numerous factors, including but not limited to the Company’s ability to do any of the following:</w:t>
      </w:r>
    </w:p>
    <w:p>
      <w:pPr>
        <w:spacing w:after="0" w:line="170" w:lineRule="exact"/>
        <w:rPr>
          <w:sz w:val="20"/>
          <w:szCs w:val="20"/>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disruptions and higher costs in manufacturing, supply chain, logistical operations, and shortages of certain company products in distribution channels;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supply shortages of key component parts used in our products and the need to shift the mix of products offered in response thereto;</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the impact of geopolitical events, including military conflicts (including the conflict in Ukraine, the conflict in the Middle East, the possible expansion of such conflicts and potential geopolitical consequences), the interruption from catastrophic events and problems such as terrorism, and public health crises;</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the impact of elevated interest rate levels, which cause the cost of capital to increase, as well as respond to inflationary pressures;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future operating and financial results, whether through anticipated organic or external growth initiatives or through the implementation of cost savings initiatives;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increased constraints in consumer demand and/or shifts in the mix of products sold;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and retain qualified employees and key personnel;</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and enhance the Company’s corporate reputation and brand awareness;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goodwill and other intangible asset impairment charges;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 store, process and use personal and payment information and other consumer data;</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privacy and data protection laws and other legal obligations related to privacy, information security, and data protection;</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the impact of any security breaches, cyber-attacks, or other cybersecurity threats or incidents, or the failure of any key information technology systems;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additional capital, including through the sale of equity or debt securities;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 to finance operations on an economically viable basis;</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Holley’s New York Stock Exchange (“NYSE”) listing of its common stock (“Common Stock”) and warrants to purchase Common Stock ("Warrants");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existing and/or future laws and regulations applicable to our business, including laws and regulations related to environmental health and safety and the recently issued required climate-related disclosures;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litigation, complaints, product liability claims and/or adverse publicity;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the impact of changes in U.S. tax laws and regulations, including the impact on deferred tax assets;</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time during which we will be an emerging growth company under the Jumpstart Our Business Startups Act of 2012 (the “JOBS Act”);</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and demographic trends; and</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other risks and factors, listed under the caption “Risk Factors” included in our Annual Report on Form 10-K for the year ended December 31, 2023, as filed with the U.S. Securities and Exchange Commission (the "SEC") on March 14, 2024, and/or as disclosed in any subsequent filings with the SEC.</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Forward-looking statements are based on information available as of the date of this Quarterly Report on Form 10-Q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400" w:type="dxa"/>
            <w:vAlign w:val="bottom"/>
          </w:tcPr>
          <w:p>
            <w:pPr>
              <w:spacing w:after="0"/>
              <w:rPr>
                <w:sz w:val="24"/>
                <w:szCs w:val="24"/>
                <w:color w:val="auto"/>
              </w:rPr>
            </w:pPr>
          </w:p>
        </w:tc>
        <w:tc>
          <w:tcPr>
            <w:tcW w:w="66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HOLLEY INC.</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400" w:type="dxa"/>
            <w:vAlign w:val="bottom"/>
          </w:tcPr>
          <w:p>
            <w:pPr>
              <w:spacing w:after="0"/>
              <w:rPr>
                <w:sz w:val="17"/>
                <w:szCs w:val="17"/>
                <w:color w:val="auto"/>
              </w:rPr>
            </w:pPr>
          </w:p>
        </w:tc>
        <w:tc>
          <w:tcPr>
            <w:tcW w:w="6600" w:type="dxa"/>
            <w:vAlign w:val="bottom"/>
          </w:tcPr>
          <w:p>
            <w:pPr>
              <w:jc w:val="center"/>
              <w:ind w:left="1750"/>
              <w:spacing w:after="0" w:line="202" w:lineRule="exact"/>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00" w:type="dxa"/>
            <w:vAlign w:val="bottom"/>
          </w:tcPr>
          <w:p>
            <w:pPr>
              <w:spacing w:after="0"/>
              <w:rPr>
                <w:sz w:val="17"/>
                <w:szCs w:val="17"/>
                <w:color w:val="auto"/>
              </w:rPr>
            </w:pPr>
          </w:p>
        </w:tc>
        <w:tc>
          <w:tcPr>
            <w:tcW w:w="6600" w:type="dxa"/>
            <w:vAlign w:val="bottom"/>
          </w:tcPr>
          <w:p>
            <w:pPr>
              <w:jc w:val="center"/>
              <w:ind w:left="1750"/>
              <w:spacing w:after="0" w:line="202" w:lineRule="exact"/>
              <w:rPr>
                <w:sz w:val="20"/>
                <w:szCs w:val="20"/>
                <w:color w:val="auto"/>
              </w:rPr>
            </w:pPr>
            <w:r>
              <w:rPr>
                <w:rFonts w:ascii="Arial" w:cs="Arial" w:eastAsia="Arial" w:hAnsi="Arial"/>
                <w:sz w:val="18"/>
                <w:szCs w:val="18"/>
                <w:color w:val="auto"/>
              </w:rPr>
              <w:t>(in thousands, except share data)</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400" w:type="dxa"/>
            <w:vAlign w:val="bottom"/>
          </w:tcPr>
          <w:p>
            <w:pPr>
              <w:spacing w:after="0"/>
              <w:rPr>
                <w:sz w:val="20"/>
                <w:szCs w:val="20"/>
                <w:color w:val="auto"/>
              </w:rPr>
            </w:pPr>
          </w:p>
        </w:tc>
        <w:tc>
          <w:tcPr>
            <w:tcW w:w="6600" w:type="dxa"/>
            <w:vAlign w:val="bottom"/>
          </w:tcPr>
          <w:p>
            <w:pPr>
              <w:jc w:val="center"/>
              <w:ind w:left="175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14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As of</w:t>
            </w: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140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70"/>
              <w:spacing w:after="0" w:line="177"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5"/>
                <w:szCs w:val="15"/>
                <w:color w:val="auto"/>
              </w:rPr>
            </w:pPr>
          </w:p>
        </w:tc>
      </w:tr>
      <w:tr>
        <w:trPr>
          <w:trHeight w:val="221"/>
        </w:trPr>
        <w:tc>
          <w:tcPr>
            <w:tcW w:w="140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March 31, 2024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1400" w:type="dxa"/>
            <w:vAlign w:val="bottom"/>
            <w:shd w:val="clear" w:color="auto" w:fill="CCEEFF"/>
          </w:tcPr>
          <w:p>
            <w:pPr>
              <w:spacing w:after="0"/>
              <w:rPr>
                <w:sz w:val="17"/>
                <w:szCs w:val="17"/>
                <w:color w:val="auto"/>
              </w:rPr>
            </w:pPr>
          </w:p>
        </w:tc>
        <w:tc>
          <w:tcPr>
            <w:tcW w:w="6600" w:type="dxa"/>
            <w:vAlign w:val="bottom"/>
            <w:shd w:val="clear" w:color="auto" w:fill="CCEEFF"/>
          </w:tcPr>
          <w:p>
            <w:pPr>
              <w:jc w:val="center"/>
              <w:ind w:right="1430"/>
              <w:spacing w:after="0" w:line="196" w:lineRule="exact"/>
              <w:rPr>
                <w:sz w:val="20"/>
                <w:szCs w:val="20"/>
                <w:color w:val="auto"/>
              </w:rPr>
            </w:pPr>
            <w:r>
              <w:rPr>
                <w:rFonts w:ascii="Arial" w:cs="Arial" w:eastAsia="Arial" w:hAnsi="Arial"/>
                <w:sz w:val="18"/>
                <w:szCs w:val="18"/>
                <w:b w:val="1"/>
                <w:bCs w:val="1"/>
                <w:color w:val="auto"/>
                <w:w w:val="99"/>
              </w:rPr>
              <w:t>ASSETS</w:t>
            </w: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41,127</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41,081</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less allowance for credit losses of $1,368 and $1,577 respectively</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48,721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48,360</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184,016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192,260</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Prepaids and other current assets</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15,944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15,665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289,808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297,366</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46,376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47,206</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419,056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419,056</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intangibles assets, net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406,896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410,465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Right-of-use assets</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28,481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29,250</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1,191,734</w:t>
            </w: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1,203,343</w:t>
            </w:r>
          </w:p>
        </w:tc>
      </w:tr>
      <w:tr>
        <w:trPr>
          <w:trHeight w:val="20"/>
        </w:trPr>
        <w:tc>
          <w:tcPr>
            <w:tcW w:w="1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400" w:type="dxa"/>
            <w:vAlign w:val="bottom"/>
            <w:shd w:val="clear" w:color="auto" w:fill="CCEEFF"/>
          </w:tcPr>
          <w:p>
            <w:pPr>
              <w:spacing w:after="0"/>
              <w:rPr>
                <w:sz w:val="15"/>
                <w:szCs w:val="15"/>
                <w:color w:val="auto"/>
              </w:rPr>
            </w:pPr>
          </w:p>
        </w:tc>
        <w:tc>
          <w:tcPr>
            <w:tcW w:w="6600" w:type="dxa"/>
            <w:vAlign w:val="bottom"/>
            <w:shd w:val="clear" w:color="auto" w:fill="CCEEFF"/>
          </w:tcPr>
          <w:p>
            <w:pPr>
              <w:jc w:val="center"/>
              <w:ind w:right="143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50,258</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43,692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43,580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42,129</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101,724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93,737</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560,112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576,710</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5,256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8,383</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Earn-out liability</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3,479</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51,631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53,542</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25,266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26,341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746,819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762,192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(Refer to Note 15 - Commitments and Contingencies)</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8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Preferred stock, $0.0001 par value, 5,000,000 shares authorized, none issued and outstanding on</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31, 2024 and December 31, 2023</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84"/>
        </w:trPr>
        <w:tc>
          <w:tcPr>
            <w:tcW w:w="8000" w:type="dxa"/>
            <w:vAlign w:val="bottom"/>
            <w:gridSpan w:val="2"/>
          </w:tcPr>
          <w:p>
            <w:pPr>
              <w:spacing w:after="0" w:line="183" w:lineRule="exact"/>
              <w:rPr>
                <w:sz w:val="20"/>
                <w:szCs w:val="20"/>
                <w:color w:val="auto"/>
              </w:rPr>
            </w:pPr>
            <w:r>
              <w:rPr>
                <w:rFonts w:ascii="Arial" w:cs="Arial" w:eastAsia="Arial" w:hAnsi="Arial"/>
                <w:sz w:val="18"/>
                <w:szCs w:val="18"/>
                <w:color w:val="auto"/>
              </w:rPr>
              <w:t>Common stock, $0.0001 par value, 550,000,000 shares authorized, 118,311,341 and 117,707,280</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shares issued and outstanding on March 31, 2024 and December 31, 2023, respectively</w:t>
            </w:r>
          </w:p>
        </w:tc>
        <w:tc>
          <w:tcPr>
            <w:tcW w:w="1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374,089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373,869</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(710)</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71,710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67,980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444,915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441,151</w:t>
            </w:r>
          </w:p>
        </w:tc>
        <w:tc>
          <w:tcPr>
            <w:tcW w:w="100" w:type="dxa"/>
            <w:vAlign w:val="bottom"/>
          </w:tcPr>
          <w:p>
            <w:pPr>
              <w:spacing w:after="0"/>
              <w:rPr>
                <w:sz w:val="17"/>
                <w:szCs w:val="17"/>
                <w:color w:val="auto"/>
              </w:rPr>
            </w:pPr>
          </w:p>
        </w:tc>
      </w:tr>
      <w:tr>
        <w:trPr>
          <w:trHeight w:val="236"/>
        </w:trPr>
        <w:tc>
          <w:tcPr>
            <w:tcW w:w="8000" w:type="dxa"/>
            <w:vAlign w:val="bottom"/>
            <w:tcBorders>
              <w:bottom w:val="single" w:sz="8" w:color="CCEEFF"/>
            </w:tcBorders>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1,191,734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1,203,343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4"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7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6"/>
        </w:trPr>
        <w:tc>
          <w:tcPr>
            <w:tcW w:w="140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3340" w:type="dxa"/>
            <w:vAlign w:val="bottom"/>
            <w:gridSpan w:val="2"/>
          </w:tcPr>
          <w:p>
            <w:pPr>
              <w:jc w:val="right"/>
              <w:ind w:right="1810"/>
              <w:spacing w:after="0"/>
              <w:rPr>
                <w:sz w:val="20"/>
                <w:szCs w:val="20"/>
                <w:color w:val="auto"/>
              </w:rPr>
            </w:pPr>
            <w:r>
              <w:rPr>
                <w:rFonts w:ascii="Arial" w:cs="Arial" w:eastAsia="Arial" w:hAnsi="Arial"/>
                <w:sz w:val="18"/>
                <w:szCs w:val="18"/>
                <w:b w:val="1"/>
                <w:bCs w:val="1"/>
                <w:color w:val="auto"/>
              </w:rPr>
              <w:t>HOLLEY INC.</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400" w:type="dxa"/>
            <w:vAlign w:val="bottom"/>
          </w:tcPr>
          <w:p>
            <w:pPr>
              <w:spacing w:after="0"/>
              <w:rPr>
                <w:sz w:val="17"/>
                <w:szCs w:val="17"/>
                <w:color w:val="auto"/>
              </w:rPr>
            </w:pPr>
          </w:p>
        </w:tc>
        <w:tc>
          <w:tcPr>
            <w:tcW w:w="8200" w:type="dxa"/>
            <w:vAlign w:val="bottom"/>
            <w:gridSpan w:val="5"/>
          </w:tcPr>
          <w:p>
            <w:pPr>
              <w:jc w:val="center"/>
              <w:ind w:left="250"/>
              <w:spacing w:after="0" w:line="202" w:lineRule="exact"/>
              <w:rPr>
                <w:sz w:val="20"/>
                <w:szCs w:val="20"/>
                <w:color w:val="auto"/>
              </w:rPr>
            </w:pPr>
            <w:r>
              <w:rPr>
                <w:rFonts w:ascii="Arial" w:cs="Arial" w:eastAsia="Arial" w:hAnsi="Arial"/>
                <w:sz w:val="18"/>
                <w:szCs w:val="18"/>
                <w:b w:val="1"/>
                <w:bCs w:val="1"/>
                <w:color w:val="auto"/>
                <w:w w:val="99"/>
              </w:rPr>
              <w:t>CONDENSED CONSOLIDATED STATEMENTS OF COMPREHENSIVE INCOME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340" w:type="dxa"/>
            <w:vAlign w:val="bottom"/>
            <w:gridSpan w:val="2"/>
          </w:tcPr>
          <w:p>
            <w:pPr>
              <w:jc w:val="center"/>
              <w:ind w:right="1430"/>
              <w:spacing w:after="0" w:line="202" w:lineRule="exact"/>
              <w:rPr>
                <w:sz w:val="20"/>
                <w:szCs w:val="20"/>
                <w:color w:val="auto"/>
              </w:rPr>
            </w:pPr>
            <w:r>
              <w:rPr>
                <w:rFonts w:ascii="Arial" w:cs="Arial" w:eastAsia="Arial" w:hAnsi="Arial"/>
                <w:sz w:val="18"/>
                <w:szCs w:val="18"/>
                <w:color w:val="auto"/>
                <w:w w:val="99"/>
              </w:rPr>
              <w:t>(in thousands)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340" w:type="dxa"/>
            <w:vAlign w:val="bottom"/>
            <w:gridSpan w:val="2"/>
          </w:tcPr>
          <w:p>
            <w:pPr>
              <w:jc w:val="center"/>
              <w:ind w:right="1430"/>
              <w:spacing w:after="0"/>
              <w:rPr>
                <w:sz w:val="20"/>
                <w:szCs w:val="20"/>
                <w:color w:val="auto"/>
              </w:rPr>
            </w:pPr>
            <w:r>
              <w:rPr>
                <w:rFonts w:ascii="Arial" w:cs="Arial" w:eastAsia="Arial" w:hAnsi="Arial"/>
                <w:sz w:val="18"/>
                <w:szCs w:val="18"/>
                <w:color w:val="auto"/>
                <w:w w:val="98"/>
              </w:rPr>
              <w:t>(unaudited)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1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6"/>
          </w:tcPr>
          <w:p>
            <w:pPr>
              <w:jc w:val="right"/>
              <w:ind w:right="50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14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31, 2024</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April 2, 2023</w:t>
            </w:r>
          </w:p>
        </w:tc>
        <w:tc>
          <w:tcPr>
            <w:tcW w:w="100" w:type="dxa"/>
            <w:vAlign w:val="bottom"/>
          </w:tcPr>
          <w:p>
            <w:pPr>
              <w:spacing w:after="0"/>
              <w:rPr>
                <w:sz w:val="17"/>
                <w:szCs w:val="17"/>
                <w:color w:val="auto"/>
              </w:rPr>
            </w:pPr>
          </w:p>
        </w:tc>
      </w:tr>
      <w:tr>
        <w:trPr>
          <w:trHeight w:val="196"/>
        </w:trPr>
        <w:tc>
          <w:tcPr>
            <w:tcW w:w="4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158,636</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172,205</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3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106,577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104,492</w:t>
            </w:r>
          </w:p>
        </w:tc>
        <w:tc>
          <w:tcPr>
            <w:tcW w:w="100" w:type="dxa"/>
            <w:vAlign w:val="bottom"/>
          </w:tcPr>
          <w:p>
            <w:pPr>
              <w:spacing w:after="0"/>
              <w:rPr>
                <w:sz w:val="17"/>
                <w:szCs w:val="17"/>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52,059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67,713</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32,996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30,017</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6,653</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3,679</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1,339</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Other operating expense (income)</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w:t>
            </w:r>
          </w:p>
        </w:tc>
      </w:tr>
      <w:tr>
        <w:trPr>
          <w:trHeight w:val="196"/>
        </w:trPr>
        <w:tc>
          <w:tcPr>
            <w:tcW w:w="476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operating expense</w:t>
            </w:r>
          </w:p>
        </w:tc>
        <w:tc>
          <w:tcPr>
            <w:tcW w:w="3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41,851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41,739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Operating income</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10,208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25,974</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1,435</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428</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3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18,298</w:t>
            </w:r>
          </w:p>
        </w:tc>
        <w:tc>
          <w:tcPr>
            <w:tcW w:w="100" w:type="dxa"/>
            <w:vAlign w:val="bottom"/>
          </w:tcPr>
          <w:p>
            <w:pPr>
              <w:spacing w:after="0"/>
              <w:rPr>
                <w:sz w:val="17"/>
                <w:szCs w:val="17"/>
                <w:color w:val="auto"/>
              </w:rPr>
            </w:pPr>
          </w:p>
        </w:tc>
      </w:tr>
      <w:tr>
        <w:trPr>
          <w:trHeight w:val="196"/>
        </w:trPr>
        <w:tc>
          <w:tcPr>
            <w:tcW w:w="476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non-operating expense</w:t>
            </w:r>
          </w:p>
        </w:tc>
        <w:tc>
          <w:tcPr>
            <w:tcW w:w="3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7,369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20,161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Income before income taxes</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2,839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5,813</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1,566</w:t>
            </w:r>
          </w:p>
        </w:tc>
      </w:tr>
      <w:tr>
        <w:trPr>
          <w:trHeight w:val="196"/>
        </w:trPr>
        <w:tc>
          <w:tcPr>
            <w:tcW w:w="4760" w:type="dxa"/>
            <w:vAlign w:val="bottom"/>
            <w:tcBorders>
              <w:top w:val="single" w:sz="8" w:color="CCEEFF"/>
            </w:tcBorders>
            <w:gridSpan w:val="2"/>
          </w:tcPr>
          <w:p>
            <w:pPr>
              <w:ind w:left="340"/>
              <w:spacing w:after="0" w:line="196" w:lineRule="exact"/>
              <w:rPr>
                <w:sz w:val="20"/>
                <w:szCs w:val="20"/>
                <w:color w:val="auto"/>
              </w:rPr>
            </w:pPr>
            <w:r>
              <w:rPr>
                <w:rFonts w:ascii="Arial" w:cs="Arial" w:eastAsia="Arial" w:hAnsi="Arial"/>
                <w:sz w:val="18"/>
                <w:szCs w:val="18"/>
                <w:b w:val="1"/>
                <w:bCs w:val="1"/>
                <w:color w:val="auto"/>
              </w:rPr>
              <w:t>Net income</w:t>
            </w:r>
          </w:p>
        </w:tc>
        <w:tc>
          <w:tcPr>
            <w:tcW w:w="3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3,730</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4,247</w:t>
            </w:r>
          </w:p>
        </w:tc>
        <w:tc>
          <w:tcPr>
            <w:tcW w:w="100" w:type="dxa"/>
            <w:vAlign w:val="bottom"/>
            <w:tcBorders>
              <w:top w:val="single" w:sz="8" w:color="CCEEFF"/>
            </w:tcBorders>
          </w:tcPr>
          <w:p>
            <w:pPr>
              <w:spacing w:after="0"/>
              <w:rPr>
                <w:sz w:val="17"/>
                <w:szCs w:val="17"/>
                <w:color w:val="auto"/>
              </w:rPr>
            </w:pP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Comprehensive income:</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 adjustment</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(199)</w:t>
            </w:r>
          </w:p>
        </w:tc>
      </w:tr>
      <w:tr>
        <w:trPr>
          <w:trHeight w:val="236"/>
        </w:trPr>
        <w:tc>
          <w:tcPr>
            <w:tcW w:w="4760" w:type="dxa"/>
            <w:vAlign w:val="bottom"/>
            <w:tcBorders>
              <w:bottom w:val="single" w:sz="8" w:color="CCEEFF"/>
            </w:tcBorders>
            <w:gridSpan w:val="2"/>
            <w:shd w:val="clear" w:color="auto" w:fill="CCEEFF"/>
          </w:tcPr>
          <w:p>
            <w:pPr>
              <w:ind w:left="340"/>
              <w:spacing w:after="0" w:line="182" w:lineRule="exact"/>
              <w:rPr>
                <w:sz w:val="20"/>
                <w:szCs w:val="20"/>
                <w:color w:val="auto"/>
              </w:rPr>
            </w:pPr>
            <w:r>
              <w:rPr>
                <w:rFonts w:ascii="Arial" w:cs="Arial" w:eastAsia="Arial" w:hAnsi="Arial"/>
                <w:sz w:val="18"/>
                <w:szCs w:val="18"/>
                <w:b w:val="1"/>
                <w:bCs w:val="1"/>
                <w:color w:val="auto"/>
              </w:rPr>
              <w:t>Total comprehensive income</w:t>
            </w:r>
          </w:p>
        </w:tc>
        <w:tc>
          <w:tcPr>
            <w:tcW w:w="3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3,544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4,048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3"/>
        </w:trPr>
        <w:tc>
          <w:tcPr>
            <w:tcW w:w="4760" w:type="dxa"/>
            <w:vAlign w:val="bottom"/>
            <w:gridSpan w:val="2"/>
          </w:tcPr>
          <w:p>
            <w:pPr>
              <w:spacing w:after="0" w:line="183" w:lineRule="exact"/>
              <w:rPr>
                <w:sz w:val="20"/>
                <w:szCs w:val="20"/>
                <w:color w:val="auto"/>
              </w:rPr>
            </w:pPr>
            <w:r>
              <w:rPr>
                <w:rFonts w:ascii="Arial" w:cs="Arial" w:eastAsia="Arial" w:hAnsi="Arial"/>
                <w:sz w:val="18"/>
                <w:szCs w:val="18"/>
                <w:b w:val="1"/>
                <w:bCs w:val="1"/>
                <w:color w:val="auto"/>
              </w:rPr>
              <w:t>Common Share Data:</w:t>
            </w: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117,871,829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117,153,525</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 - diluted</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119,505,330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117,244,762</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Basic net income per share</w:t>
            </w:r>
          </w:p>
        </w:tc>
        <w:tc>
          <w:tcPr>
            <w:tcW w:w="3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0.04</w:t>
            </w:r>
          </w:p>
        </w:tc>
      </w:tr>
      <w:tr>
        <w:trPr>
          <w:trHeight w:val="239"/>
        </w:trPr>
        <w:tc>
          <w:tcPr>
            <w:tcW w:w="4760" w:type="dxa"/>
            <w:vAlign w:val="bottom"/>
            <w:gridSpan w:val="2"/>
          </w:tcPr>
          <w:p>
            <w:pPr>
              <w:spacing w:after="0"/>
              <w:rPr>
                <w:sz w:val="20"/>
                <w:szCs w:val="20"/>
                <w:color w:val="auto"/>
              </w:rPr>
            </w:pPr>
            <w:r>
              <w:rPr>
                <w:rFonts w:ascii="Arial" w:cs="Arial" w:eastAsia="Arial" w:hAnsi="Arial"/>
                <w:sz w:val="18"/>
                <w:szCs w:val="18"/>
                <w:color w:val="auto"/>
              </w:rPr>
              <w:t>Diluted net income per share</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bl>
    <w:p>
      <w:pPr>
        <w:spacing w:after="0" w:line="147"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6"/>
        </w:trPr>
        <w:tc>
          <w:tcPr>
            <w:tcW w:w="140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center"/>
              <w:ind w:right="660"/>
              <w:spacing w:after="0"/>
              <w:rPr>
                <w:sz w:val="20"/>
                <w:szCs w:val="20"/>
                <w:color w:val="auto"/>
              </w:rPr>
            </w:pPr>
            <w:r>
              <w:rPr>
                <w:rFonts w:ascii="Arial" w:cs="Arial" w:eastAsia="Arial" w:hAnsi="Arial"/>
                <w:sz w:val="18"/>
                <w:szCs w:val="18"/>
                <w:b w:val="1"/>
                <w:bCs w:val="1"/>
                <w:color w:val="auto"/>
                <w:w w:val="99"/>
              </w:rPr>
              <w:t>HOLLEY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8620" w:type="dxa"/>
            <w:vAlign w:val="bottom"/>
            <w:gridSpan w:val="18"/>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CONDENSED CONSOLIDATED STATEMENTS OF CHANGES IN STOCKHOLDERS'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gridSpan w:val="10"/>
          </w:tcPr>
          <w:p>
            <w:pPr>
              <w:jc w:val="center"/>
              <w:ind w:left="730"/>
              <w:spacing w:after="0" w:line="202" w:lineRule="exact"/>
              <w:rPr>
                <w:sz w:val="20"/>
                <w:szCs w:val="20"/>
                <w:color w:val="auto"/>
              </w:rPr>
            </w:pPr>
            <w:r>
              <w:rPr>
                <w:rFonts w:ascii="Arial" w:cs="Arial" w:eastAsia="Arial" w:hAnsi="Arial"/>
                <w:sz w:val="18"/>
                <w:szCs w:val="18"/>
                <w:color w:val="auto"/>
              </w:rPr>
              <w:t>(in thousands, except share data)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6"/>
          </w:tcPr>
          <w:p>
            <w:pPr>
              <w:jc w:val="center"/>
              <w:ind w:right="68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1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540" w:type="dxa"/>
            <w:vAlign w:val="bottom"/>
            <w:gridSpan w:val="6"/>
          </w:tcPr>
          <w:p>
            <w:pPr>
              <w:ind w:left="6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Accumulated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line="177" w:lineRule="exact"/>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320"/>
              <w:spacing w:after="0" w:line="177" w:lineRule="exact"/>
              <w:rPr>
                <w:sz w:val="20"/>
                <w:szCs w:val="20"/>
                <w:color w:val="auto"/>
              </w:rPr>
            </w:pPr>
            <w:r>
              <w:rPr>
                <w:rFonts w:ascii="Arial" w:cs="Arial" w:eastAsia="Arial" w:hAnsi="Arial"/>
                <w:sz w:val="18"/>
                <w:szCs w:val="18"/>
                <w:color w:val="auto"/>
                <w:w w:val="97"/>
              </w:rPr>
              <w:t>Other</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Paid-In</w:t>
            </w:r>
          </w:p>
        </w:tc>
        <w:tc>
          <w:tcPr>
            <w:tcW w:w="154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Comprehensive</w:t>
            </w:r>
          </w:p>
        </w:tc>
        <w:tc>
          <w:tcPr>
            <w:tcW w:w="14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Retained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Loss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2022</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117,147,997</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368,122</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(944)</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48,800</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415,990</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4,247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(199)</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24,219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April 2, 2023</w:t>
            </w:r>
          </w:p>
        </w:tc>
        <w:tc>
          <w:tcPr>
            <w:tcW w:w="12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117,172,216</w:t>
            </w:r>
          </w:p>
        </w:tc>
        <w:tc>
          <w:tcPr>
            <w:tcW w:w="2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368,482</w:t>
            </w:r>
          </w:p>
        </w:tc>
        <w:tc>
          <w:tcPr>
            <w:tcW w:w="1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(1,143)</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53,047</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420,398</w:t>
            </w:r>
          </w:p>
        </w:tc>
        <w:tc>
          <w:tcPr>
            <w:tcW w:w="0" w:type="dxa"/>
            <w:vAlign w:val="bottom"/>
          </w:tcPr>
          <w:p>
            <w:pPr>
              <w:spacing w:after="0"/>
              <w:rPr>
                <w:sz w:val="1"/>
                <w:szCs w:val="1"/>
                <w:color w:val="auto"/>
              </w:rPr>
            </w:pPr>
          </w:p>
        </w:tc>
      </w:tr>
      <w:tr>
        <w:trPr>
          <w:trHeight w:val="183"/>
        </w:trPr>
        <w:tc>
          <w:tcPr>
            <w:tcW w:w="1400" w:type="dxa"/>
            <w:vAlign w:val="bottom"/>
            <w:tcBorders>
              <w:top w:val="single" w:sz="8" w:color="CCEEFF"/>
            </w:tcBorders>
          </w:tcPr>
          <w:p>
            <w:pPr>
              <w:spacing w:after="0"/>
              <w:rPr>
                <w:sz w:val="15"/>
                <w:szCs w:val="15"/>
                <w:color w:val="auto"/>
              </w:rPr>
            </w:pPr>
          </w:p>
        </w:tc>
        <w:tc>
          <w:tcPr>
            <w:tcW w:w="186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2023</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117,707,280</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373,869</w:t>
            </w: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(710)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67,980</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441,151</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3,730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3"/>
        </w:trPr>
        <w:tc>
          <w:tcPr>
            <w:tcW w:w="32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(186)</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604,061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March 31, 2024</w:t>
            </w:r>
          </w:p>
        </w:tc>
        <w:tc>
          <w:tcPr>
            <w:tcW w:w="12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118,311,341</w:t>
            </w:r>
          </w:p>
        </w:tc>
        <w:tc>
          <w:tcPr>
            <w:tcW w:w="2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374,089</w:t>
            </w:r>
          </w:p>
        </w:tc>
        <w:tc>
          <w:tcPr>
            <w:tcW w:w="1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71,710</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444,915</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6"/>
        </w:trPr>
        <w:tc>
          <w:tcPr>
            <w:tcW w:w="1400" w:type="dxa"/>
            <w:vAlign w:val="bottom"/>
            <w:tcBorders>
              <w:top w:val="single" w:sz="8" w:color="0000EE"/>
            </w:tcBorders>
          </w:tcPr>
          <w:p>
            <w:pPr>
              <w:spacing w:after="0"/>
              <w:rPr>
                <w:sz w:val="24"/>
                <w:szCs w:val="24"/>
                <w:color w:val="auto"/>
              </w:rPr>
            </w:pPr>
          </w:p>
        </w:tc>
        <w:tc>
          <w:tcPr>
            <w:tcW w:w="66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HOLLEY INC.</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8200" w:type="dxa"/>
            <w:vAlign w:val="bottom"/>
            <w:gridSpan w:val="4"/>
          </w:tcPr>
          <w:p>
            <w:pPr>
              <w:jc w:val="center"/>
              <w:ind w:left="170"/>
              <w:spacing w:after="0" w:line="202" w:lineRule="exact"/>
              <w:rPr>
                <w:sz w:val="20"/>
                <w:szCs w:val="20"/>
                <w:color w:val="auto"/>
              </w:rPr>
            </w:pPr>
            <w:r>
              <w:rPr>
                <w:rFonts w:ascii="Arial" w:cs="Arial" w:eastAsia="Arial" w:hAnsi="Arial"/>
                <w:sz w:val="18"/>
                <w:szCs w:val="18"/>
                <w:b w:val="1"/>
                <w:bCs w:val="1"/>
                <w:color w:val="auto"/>
                <w:w w:val="99"/>
              </w:rPr>
              <w:t>CONDENSED CONSOLIDATED STATEMENTS OF CASH FLOWS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6600" w:type="dxa"/>
            <w:vAlign w:val="bottom"/>
          </w:tcPr>
          <w:p>
            <w:pPr>
              <w:jc w:val="center"/>
              <w:ind w:left="1770"/>
              <w:spacing w:after="0" w:line="202" w:lineRule="exact"/>
              <w:rPr>
                <w:sz w:val="20"/>
                <w:szCs w:val="20"/>
                <w:color w:val="auto"/>
              </w:rPr>
            </w:pPr>
            <w:r>
              <w:rPr>
                <w:rFonts w:ascii="Arial" w:cs="Arial" w:eastAsia="Arial" w:hAnsi="Arial"/>
                <w:sz w:val="18"/>
                <w:szCs w:val="18"/>
                <w:color w:val="auto"/>
                <w:w w:val="99"/>
              </w:rPr>
              <w:t>(in thousands)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600" w:type="dxa"/>
            <w:vAlign w:val="bottom"/>
          </w:tcPr>
          <w:p>
            <w:pPr>
              <w:jc w:val="center"/>
              <w:ind w:left="175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0"/>
                <w:szCs w:val="20"/>
                <w:color w:val="auto"/>
              </w:rPr>
            </w:pPr>
          </w:p>
        </w:tc>
        <w:tc>
          <w:tcPr>
            <w:tcW w:w="3140" w:type="dxa"/>
            <w:vAlign w:val="bottom"/>
            <w:gridSpan w:val="6"/>
            <w:vMerge w:val="restart"/>
          </w:tcPr>
          <w:p>
            <w:pPr>
              <w:jc w:val="right"/>
              <w:ind w:right="500"/>
              <w:spacing w:after="0"/>
              <w:rPr>
                <w:sz w:val="20"/>
                <w:szCs w:val="20"/>
                <w:color w:val="auto"/>
              </w:rPr>
            </w:pPr>
            <w:r>
              <w:rPr>
                <w:rFonts w:ascii="Arial" w:cs="Arial" w:eastAsia="Arial" w:hAnsi="Arial"/>
                <w:sz w:val="18"/>
                <w:szCs w:val="18"/>
                <w:color w:val="auto"/>
              </w:rPr>
              <w:t>For the thirteen weeks ended</w:t>
            </w:r>
          </w:p>
        </w:tc>
        <w:tc>
          <w:tcPr>
            <w:tcW w:w="0" w:type="dxa"/>
            <w:vAlign w:val="bottom"/>
          </w:tcPr>
          <w:p>
            <w:pPr>
              <w:spacing w:after="0"/>
              <w:rPr>
                <w:sz w:val="1"/>
                <w:szCs w:val="1"/>
                <w:color w:val="auto"/>
              </w:rPr>
            </w:pPr>
          </w:p>
        </w:tc>
      </w:tr>
      <w:tr>
        <w:trPr>
          <w:trHeight w:val="185"/>
        </w:trPr>
        <w:tc>
          <w:tcPr>
            <w:tcW w:w="14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240"/>
              <w:spacing w:after="0" w:line="196" w:lineRule="exact"/>
              <w:rPr>
                <w:sz w:val="20"/>
                <w:szCs w:val="20"/>
                <w:color w:val="auto"/>
              </w:rPr>
            </w:pPr>
            <w:r>
              <w:rPr>
                <w:rFonts w:ascii="Arial" w:cs="Arial" w:eastAsia="Arial" w:hAnsi="Arial"/>
                <w:sz w:val="18"/>
                <w:szCs w:val="18"/>
                <w:color w:val="auto"/>
                <w:w w:val="99"/>
              </w:rPr>
              <w:t>March 31, 2024</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April 2, 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3,730</w:t>
            </w:r>
          </w:p>
        </w:tc>
        <w:tc>
          <w:tcPr>
            <w:tcW w:w="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Adjustments to reconcile net income to net cash from operating activities:</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2,464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3,436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Amortization of deferred loan costs</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right of use assets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Fair value adjustments to warrant liability</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Fair value adjustments to earn-out liability</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Fair value adjustments to interest rate collar</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Equity compensation</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Change in deferred taxes</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Loss on early extinguishment of long-term debt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Gain on disposal of property, plant and equipment</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inventory reserves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Provision for credit losses</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operating assets and liabilities:</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Prepaids and other current assets</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6,599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8000" w:type="dxa"/>
            <w:vAlign w:val="bottom"/>
            <w:tcBorders>
              <w:bottom w:val="single" w:sz="8" w:color="CCEEFF"/>
            </w:tcBorders>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Accrued and other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18,843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03"/>
        </w:trPr>
        <w:tc>
          <w:tcPr>
            <w:tcW w:w="800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(1,091)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(16,748)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(7,284)</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financing fees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Payments from stock-based award activities</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(17,669)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0"/>
        </w:trPr>
        <w:tc>
          <w:tcPr>
            <w:tcW w:w="140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Effect of foreign currency rate fluctuations on cash</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41,081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26,150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2"/>
          </w:tcPr>
          <w:p>
            <w:pPr>
              <w:spacing w:after="0" w:line="182" w:lineRule="exact"/>
              <w:rPr>
                <w:sz w:val="20"/>
                <w:szCs w:val="20"/>
                <w:color w:val="auto"/>
              </w:rPr>
            </w:pPr>
            <w:r>
              <w:rPr>
                <w:rFonts w:ascii="Arial" w:cs="Arial" w:eastAsia="Arial" w:hAnsi="Arial"/>
                <w:sz w:val="18"/>
                <w:szCs w:val="18"/>
                <w:color w:val="auto"/>
              </w:rPr>
              <w:t>End of period</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41,127</w:t>
            </w:r>
          </w:p>
        </w:tc>
        <w:tc>
          <w:tcPr>
            <w:tcW w:w="2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20,816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13,307</w:t>
            </w:r>
          </w:p>
        </w:tc>
        <w:tc>
          <w:tcPr>
            <w:tcW w:w="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14,919</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w:t>
      </w:r>
    </w:p>
    <w:p>
      <w:pPr>
        <w:spacing w:after="0" w:line="198"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Holley Inc., a Delaware corporation headquartered in Bowling Green, Kentucky, conducts operations through its wholly owned subsidiaries. These operating subsidiaries are comprised of Holley Performance Products Inc., Hot Rod Brands, Inc., Simpson Safety Solutions, Inc., B&amp;M Racing and Performance Products, Inc., and Speedshop.com, Inc. When used in these notes, the terms the “Company” or “Holley” mean Holley, Inc. and all entities included in its consolidated financial statements.</w:t>
      </w:r>
    </w:p>
    <w:p>
      <w:pPr>
        <w:spacing w:after="0" w:line="160"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designs, manufactures and distributes high-performance automotive products to car and truck enthusiasts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the United States, Canada, Italy and China.</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 Status</w:t>
      </w:r>
    </w:p>
    <w:p>
      <w:pPr>
        <w:spacing w:after="0" w:line="198"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6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98"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The Company's business and results of operations, financial condition, and liquidity are impacted by broad economic conditions, as well as by geopolitical events, including the conflict in Ukraine, the conflict in the Middle East, and the possible expansion of such conflicts and potential geopolitical consequences. The Company's business is impacted by various economic factors that affect both consumers and the automotive aftermarket industry, including by not limited to inflation, fuel costs, wage rates, supply chain disruptions, hiring, and other economic conditions. In response to inflationary impacts and supply chain disruptions, the Company has attempted to minimize potential adverse impacts on its business with cost savings initiatives, price increases to customers, and increased attention to maintaining appropriate inventory levels in the distribution channel. The Company's profitability has been, and may continue to be, adversely affected by constrained consumer demand, a shift in sales to lower-margin products, and demands on our performance that increase our costs.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198"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or “GAAP”) and applicable rules and regulations of the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Company's audited consolidated financial statements and notes thereto for the year ended December 31, 2023, as filed with the SEC on March 14, 2024, in the Company’s annual report on Form 10-K.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Company operates on a fiscal year that ends on December 31. The three-month periods ended March 31, 2024 and April 2, 2023 each included 13 weeks.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Principles of Consolidation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unaudited condensed consolidated financial statements include the accounts of the Company and its wholly owned subsidiaries.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intercompany transactions and accounts have been eliminated in consolidation.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October 2023,</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2023</w:t>
      </w:r>
      <w:r>
        <w:rPr>
          <w:rFonts w:ascii="Arial" w:cs="Arial" w:eastAsia="Arial" w:hAnsi="Arial"/>
          <w:sz w:val="18"/>
          <w:szCs w:val="18"/>
          <w:color w:val="auto"/>
        </w:rPr>
        <w:t>-</w:t>
      </w:r>
      <w:r>
        <w:rPr>
          <w:rFonts w:ascii="Arial" w:cs="Arial" w:eastAsia="Arial" w:hAnsi="Arial"/>
          <w:sz w:val="18"/>
          <w:szCs w:val="18"/>
          <w:i w:val="1"/>
          <w:iCs w:val="1"/>
          <w:color w:val="auto"/>
        </w:rPr>
        <w:t>06, Disclosure Improvements: Codification Amendments in Response to SEC's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Update and Simplification Initiative. </w:t>
      </w:r>
      <w:r>
        <w:rPr>
          <w:rFonts w:ascii="Arial" w:cs="Arial" w:eastAsia="Arial" w:hAnsi="Arial"/>
          <w:sz w:val="18"/>
          <w:szCs w:val="18"/>
          <w:color w:val="auto"/>
        </w:rPr>
        <w:t>This ASU amends the disclosure or presentation requirements related to various subtopics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FASB Accounting Standards Codification. The effective date for each amendment will be the date on which the SEC's removal of that related disclosure from Regulation S-</w:t>
      </w:r>
      <w:r>
        <w:rPr>
          <w:rFonts w:ascii="Arial" w:cs="Arial" w:eastAsia="Arial" w:hAnsi="Arial"/>
          <w:sz w:val="18"/>
          <w:szCs w:val="18"/>
          <w:i w:val="1"/>
          <w:iCs w:val="1"/>
          <w:color w:val="auto"/>
        </w:rPr>
        <w:t>X</w:t>
      </w:r>
      <w:r>
        <w:rPr>
          <w:rFonts w:ascii="Arial" w:cs="Arial" w:eastAsia="Arial" w:hAnsi="Arial"/>
          <w:sz w:val="18"/>
          <w:szCs w:val="18"/>
          <w:color w:val="auto"/>
        </w:rPr>
        <w:t xml:space="preserve"> or Regulation S-K becomes effective, with early adoption prohibited. The Company will monitor the removal of various requirements from the current regulations in order to determine when to adopt the related amendments, but it does not anticipate that the adoption of the new guidance will have a material impact on the Company’s consolidated financial statements and related disclosures. The Company will continue to evaluate the impact of this guidance on its consolidated financial statements.</w:t>
      </w:r>
    </w:p>
    <w:p>
      <w:pPr>
        <w:spacing w:after="0" w:line="167"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November 2023,</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2023</w:t>
      </w:r>
      <w:r>
        <w:rPr>
          <w:rFonts w:ascii="Arial" w:cs="Arial" w:eastAsia="Arial" w:hAnsi="Arial"/>
          <w:sz w:val="18"/>
          <w:szCs w:val="18"/>
          <w:color w:val="auto"/>
        </w:rPr>
        <w:t>-</w:t>
      </w:r>
      <w:r>
        <w:rPr>
          <w:rFonts w:ascii="Arial" w:cs="Arial" w:eastAsia="Arial" w:hAnsi="Arial"/>
          <w:sz w:val="18"/>
          <w:szCs w:val="18"/>
          <w:i w:val="1"/>
          <w:iCs w:val="1"/>
          <w:color w:val="auto"/>
        </w:rPr>
        <w:t>07, Segment Reporting (Topic 280): Improvements to Reportable Segment Disclosures</w:t>
      </w:r>
      <w:r>
        <w:rPr>
          <w:rFonts w:ascii="Arial" w:cs="Arial" w:eastAsia="Arial" w:hAnsi="Arial"/>
          <w:sz w:val="18"/>
          <w:szCs w:val="18"/>
          <w:color w:val="auto"/>
        </w:rPr>
        <w:t xml:space="preserve">. This ASU expands reportable segment disclosure requirements, primarily through enhanced disclosures about significant segment expenses. The standard requires interim and annual disclosure of significant segment expenses that are regularly provided to the chief operating decision-maker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This ASU is effective for fiscal years beginning after December 15, 2023 and interim periods within fiscal years beginning after </w:t>
      </w:r>
      <w:r>
        <w:rPr>
          <w:rFonts w:ascii="Arial" w:cs="Arial" w:eastAsia="Arial" w:hAnsi="Arial"/>
          <w:sz w:val="18"/>
          <w:szCs w:val="18"/>
          <w:i w:val="1"/>
          <w:iCs w:val="1"/>
          <w:color w:val="auto"/>
        </w:rPr>
        <w:t>December 15, 2024,</w:t>
      </w:r>
      <w:r>
        <w:rPr>
          <w:rFonts w:ascii="Arial" w:cs="Arial" w:eastAsia="Arial" w:hAnsi="Arial"/>
          <w:sz w:val="18"/>
          <w:szCs w:val="18"/>
          <w:color w:val="auto"/>
        </w:rPr>
        <w:t xml:space="preserve"> with early adoption permitted. The Company is currently evaluating the effect of this new guidance on its consolidated financial statements and related disclosures.</w:t>
      </w:r>
    </w:p>
    <w:p>
      <w:pPr>
        <w:spacing w:after="0" w:line="170"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December 2023,</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2023</w:t>
      </w:r>
      <w:r>
        <w:rPr>
          <w:rFonts w:ascii="Arial" w:cs="Arial" w:eastAsia="Arial" w:hAnsi="Arial"/>
          <w:sz w:val="18"/>
          <w:szCs w:val="18"/>
          <w:color w:val="auto"/>
        </w:rPr>
        <w:t>-</w:t>
      </w:r>
      <w:r>
        <w:rPr>
          <w:rFonts w:ascii="Arial" w:cs="Arial" w:eastAsia="Arial" w:hAnsi="Arial"/>
          <w:sz w:val="18"/>
          <w:szCs w:val="18"/>
          <w:i w:val="1"/>
          <w:iCs w:val="1"/>
          <w:color w:val="auto"/>
        </w:rPr>
        <w:t>09, Income Taxes (Topic 740): Improvements to Income Tax Disclosures.</w:t>
      </w:r>
      <w:r>
        <w:rPr>
          <w:rFonts w:ascii="Arial" w:cs="Arial" w:eastAsia="Arial" w:hAnsi="Arial"/>
          <w:sz w:val="18"/>
          <w:szCs w:val="18"/>
          <w:color w:val="auto"/>
        </w:rPr>
        <w:t xml:space="preserve"> This ASU requires additional disclosures of various income tax components that affect the rate reconciliation based on the applicable taxing jurisdictions, as well as the qualitative and quantitative aspects of those components. The standard also requires information pertaining to taxes paid to be disaggregated for federal, state and foreign taxes, and contains other disclosure requirements. This ASU is effective for fiscal years beginning after December 15, 2024 and interim periods within fiscal years beginning after </w:t>
      </w:r>
      <w:r>
        <w:rPr>
          <w:rFonts w:ascii="Arial" w:cs="Arial" w:eastAsia="Arial" w:hAnsi="Arial"/>
          <w:sz w:val="18"/>
          <w:szCs w:val="18"/>
          <w:i w:val="1"/>
          <w:iCs w:val="1"/>
          <w:color w:val="auto"/>
        </w:rPr>
        <w:t>December 15, 2025,</w:t>
      </w:r>
      <w:r>
        <w:rPr>
          <w:rFonts w:ascii="Arial" w:cs="Arial" w:eastAsia="Arial" w:hAnsi="Arial"/>
          <w:sz w:val="18"/>
          <w:szCs w:val="18"/>
          <w:color w:val="auto"/>
        </w:rPr>
        <w:t xml:space="preserve"> with early adoption permitted. The Company is currently evaluating the effect of this new guidance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7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21"/>
        </w:trPr>
        <w:tc>
          <w:tcPr>
            <w:tcW w:w="7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March 31, 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57,416</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63,552</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22,619</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120,455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106,089</w:t>
            </w:r>
          </w:p>
        </w:tc>
      </w:tr>
      <w:tr>
        <w:trPr>
          <w:trHeight w:val="20"/>
        </w:trPr>
        <w:tc>
          <w:tcPr>
            <w:tcW w:w="7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184,016</w:t>
            </w:r>
          </w:p>
        </w:tc>
        <w:tc>
          <w:tcPr>
            <w:tcW w:w="100" w:type="dxa"/>
            <w:vAlign w:val="bottom"/>
          </w:tcPr>
          <w:p>
            <w:pPr>
              <w:spacing w:after="0"/>
              <w:rPr>
                <w:sz w:val="17"/>
                <w:szCs w:val="17"/>
                <w:color w:val="auto"/>
              </w:rPr>
            </w:pP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192,260</w:t>
            </w:r>
          </w:p>
        </w:tc>
      </w:tr>
      <w:tr>
        <w:trPr>
          <w:trHeight w:val="20"/>
        </w:trPr>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During the 13-week period ended March 31, 2024, the Company recognized inventory charges of $9,713, primarily due to product rationalization initiatives aimed at eliminating unprofitable or slow-moving stock keeping units.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21"/>
        </w:trPr>
        <w:tc>
          <w:tcPr>
            <w:tcW w:w="7400" w:type="dxa"/>
            <w:vAlign w:val="bottom"/>
          </w:tcPr>
          <w:p>
            <w:pPr>
              <w:spacing w:after="0"/>
              <w:rPr>
                <w:sz w:val="19"/>
                <w:szCs w:val="19"/>
                <w:color w:val="auto"/>
              </w:rPr>
            </w:pPr>
          </w:p>
        </w:tc>
        <w:tc>
          <w:tcPr>
            <w:tcW w:w="14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March 31, 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9"/>
                <w:szCs w:val="19"/>
                <w:color w:val="auto"/>
              </w:rPr>
            </w:pPr>
          </w:p>
        </w:tc>
      </w:tr>
      <w:tr>
        <w:trPr>
          <w:trHeight w:val="196"/>
        </w:trPr>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3,326</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3,326</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11,576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11,404</w:t>
            </w:r>
          </w:p>
        </w:tc>
      </w:tr>
      <w:tr>
        <w:trPr>
          <w:trHeight w:val="203"/>
        </w:trPr>
        <w:tc>
          <w:tcPr>
            <w:tcW w:w="74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73,774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73,332</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6,790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6,224</w:t>
            </w:r>
          </w:p>
        </w:tc>
      </w:tr>
      <w:tr>
        <w:trPr>
          <w:trHeight w:val="20"/>
        </w:trPr>
        <w:tc>
          <w:tcPr>
            <w:tcW w:w="7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property, plant and equipment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95,466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94,286</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49,090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47,080</w:t>
            </w:r>
          </w:p>
        </w:tc>
      </w:tr>
      <w:tr>
        <w:trPr>
          <w:trHeight w:val="20"/>
        </w:trPr>
        <w:tc>
          <w:tcPr>
            <w:tcW w:w="7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0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46,376</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47,206</w:t>
            </w:r>
          </w:p>
        </w:tc>
      </w:tr>
      <w:tr>
        <w:trPr>
          <w:trHeight w:val="403"/>
        </w:trPr>
        <w:tc>
          <w:tcPr>
            <w:tcW w:w="7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Company’s long-lived assets by geographic locations are as follows:</w:t>
            </w: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87"/>
        </w:trPr>
        <w:tc>
          <w:tcPr>
            <w:tcW w:w="7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21"/>
        </w:trPr>
        <w:tc>
          <w:tcPr>
            <w:tcW w:w="7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March 31, 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9"/>
                <w:szCs w:val="19"/>
                <w:color w:val="auto"/>
              </w:rPr>
            </w:pPr>
          </w:p>
        </w:tc>
      </w:tr>
      <w:tr>
        <w:trPr>
          <w:trHeight w:val="196"/>
        </w:trPr>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43,861</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44,931</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2,275</w:t>
            </w:r>
          </w:p>
        </w:tc>
      </w:tr>
      <w:tr>
        <w:trPr>
          <w:trHeight w:val="20"/>
        </w:trPr>
        <w:tc>
          <w:tcPr>
            <w:tcW w:w="7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40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property, plant and equipment, net</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46,376</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47,206</w:t>
            </w:r>
          </w:p>
        </w:tc>
      </w:tr>
      <w:tr>
        <w:trPr>
          <w:trHeight w:val="20"/>
        </w:trPr>
        <w:tc>
          <w:tcPr>
            <w:tcW w:w="7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98" w:lineRule="exact"/>
        <w:rPr>
          <w:rFonts w:ascii="Arial" w:cs="Arial" w:eastAsia="Arial" w:hAnsi="Arial"/>
          <w:sz w:val="18"/>
          <w:szCs w:val="18"/>
          <w:b w:val="1"/>
          <w:bCs w:val="1"/>
          <w:color w:val="auto"/>
        </w:rPr>
      </w:pPr>
    </w:p>
    <w:p>
      <w:pPr>
        <w:ind w:left="340"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There were no changes to goodwill during the 13-week period ended March 31, 2024.</w:t>
      </w:r>
    </w:p>
    <w:p>
      <w:pPr>
        <w:spacing w:after="0" w:line="140"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No goodwill impairment charges were incurred during the 13-week period ended March 31, 2024 and April 2, 2023. Potential changes in the Company's costs and operating structure, the implementation of synergies, and overall performance in the automotive aftermarket industry, could negatively impact near-term cash-flow projections and could trigger a potential impairment of the Company's goodwill and</w:t>
      </w:r>
    </w:p>
    <w:p>
      <w:pPr>
        <w:spacing w:after="0" w:line="2" w:lineRule="exact"/>
        <w:rPr>
          <w:sz w:val="20"/>
          <w:szCs w:val="20"/>
          <w:color w:val="auto"/>
        </w:rPr>
      </w:pPr>
    </w:p>
    <w:p>
      <w:pPr>
        <w:ind w:left="340" w:hanging="8"/>
        <w:spacing w:after="0" w:line="250" w:lineRule="auto"/>
        <w:tabs>
          <w:tab w:leader="none" w:pos="471" w:val="left"/>
        </w:tabs>
        <w:numPr>
          <w:ilvl w:val="0"/>
          <w:numId w:val="9"/>
        </w:numPr>
        <w:rPr>
          <w:rFonts w:ascii="Arial" w:cs="Arial" w:eastAsia="Arial" w:hAnsi="Arial"/>
          <w:sz w:val="18"/>
          <w:szCs w:val="18"/>
          <w:color w:val="auto"/>
        </w:rPr>
      </w:pPr>
      <w:r>
        <w:rPr>
          <w:rFonts w:ascii="Arial" w:cs="Arial" w:eastAsia="Arial" w:hAnsi="Arial"/>
          <w:sz w:val="18"/>
          <w:szCs w:val="18"/>
          <w:color w:val="auto"/>
        </w:rPr>
        <w:t>or indefinite-lived intangible assets. In addition, failure to execute the Company's strategic plans as well as increases in weighted average costs of capital could negatively impact the fair value of the reporting unit and increase the risk of future impairment charges.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560" w:type="dxa"/>
            <w:vAlign w:val="bottom"/>
          </w:tcPr>
          <w:p>
            <w:pPr>
              <w:spacing w:after="0"/>
              <w:rPr>
                <w:sz w:val="20"/>
                <w:szCs w:val="20"/>
                <w:color w:val="auto"/>
              </w:rPr>
            </w:pPr>
            <w:r>
              <w:rPr>
                <w:rFonts w:ascii="Arial" w:cs="Arial" w:eastAsia="Arial" w:hAnsi="Arial"/>
                <w:sz w:val="18"/>
                <w:szCs w:val="18"/>
                <w:color w:val="auto"/>
              </w:rPr>
              <w:t>Intangible assets consisted of the following:</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4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March 31, 2024</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line="177" w:lineRule="exact"/>
              <w:rPr>
                <w:sz w:val="20"/>
                <w:szCs w:val="20"/>
                <w:color w:val="auto"/>
              </w:rPr>
            </w:pPr>
            <w:r>
              <w:rPr>
                <w:rFonts w:ascii="Arial" w:cs="Arial" w:eastAsia="Arial" w:hAnsi="Arial"/>
                <w:sz w:val="18"/>
                <w:szCs w:val="18"/>
                <w:color w:val="auto"/>
                <w:w w:val="99"/>
              </w:rPr>
              <w:t>Gross Carrying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40"/>
              <w:spacing w:after="0" w:line="177"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21"/>
        </w:trPr>
        <w:tc>
          <w:tcPr>
            <w:tcW w:w="4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269,950</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(58,620)</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211,330</w:t>
            </w: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(5,750)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8,025</w:t>
            </w: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(14,167)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12,509</w:t>
            </w:r>
          </w:p>
        </w:tc>
      </w:tr>
      <w:tr>
        <w:trPr>
          <w:trHeight w:val="20"/>
        </w:trPr>
        <w:tc>
          <w:tcPr>
            <w:tcW w:w="4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310,401</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(78,537)</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231,864</w:t>
            </w:r>
          </w:p>
        </w:tc>
      </w:tr>
      <w:tr>
        <w:trPr>
          <w:trHeight w:val="203"/>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456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175,032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175,032</w:t>
            </w:r>
          </w:p>
        </w:tc>
      </w:tr>
      <w:tr>
        <w:trPr>
          <w:trHeight w:val="369"/>
        </w:trPr>
        <w:tc>
          <w:tcPr>
            <w:tcW w:w="4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December 31, 2023</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line="177" w:lineRule="exact"/>
              <w:rPr>
                <w:sz w:val="20"/>
                <w:szCs w:val="20"/>
                <w:color w:val="auto"/>
              </w:rPr>
            </w:pPr>
            <w:r>
              <w:rPr>
                <w:rFonts w:ascii="Arial" w:cs="Arial" w:eastAsia="Arial" w:hAnsi="Arial"/>
                <w:sz w:val="18"/>
                <w:szCs w:val="18"/>
                <w:color w:val="auto"/>
                <w:w w:val="99"/>
              </w:rPr>
              <w:t>Gross Carrying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40"/>
              <w:spacing w:after="0" w:line="177"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21"/>
        </w:trPr>
        <w:tc>
          <w:tcPr>
            <w:tcW w:w="4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269,950</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(55,732)</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214,218</w:t>
            </w:r>
          </w:p>
        </w:tc>
      </w:tr>
      <w:tr>
        <w:trPr>
          <w:trHeight w:val="202"/>
        </w:trPr>
        <w:tc>
          <w:tcPr>
            <w:tcW w:w="4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(5,569)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8,206</w:t>
            </w: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(13,800)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12,876</w:t>
            </w:r>
          </w:p>
        </w:tc>
      </w:tr>
      <w:tr>
        <w:trPr>
          <w:trHeight w:val="20"/>
        </w:trPr>
        <w:tc>
          <w:tcPr>
            <w:tcW w:w="4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310,401</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(75,101)</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235,300</w:t>
            </w:r>
          </w:p>
        </w:tc>
      </w:tr>
      <w:tr>
        <w:trPr>
          <w:trHeight w:val="203"/>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456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175,165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175,165</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outlines the estimated future amortization expense related to intangible assets held as of March 31, 2024:</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2024 (excluding the thirteen weeks ended March 31, 2024)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10,307</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13,713</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13,608</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13,602</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13,602</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167,032</w:t>
            </w:r>
          </w:p>
        </w:tc>
      </w:tr>
      <w:tr>
        <w:trPr>
          <w:trHeight w:val="20"/>
        </w:trPr>
        <w:tc>
          <w:tcPr>
            <w:tcW w:w="9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231,864</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of the Company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77"/>
        </w:trPr>
        <w:tc>
          <w:tcPr>
            <w:tcW w:w="3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31, 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freight</w:t>
            </w:r>
          </w:p>
        </w:tc>
        <w:tc>
          <w:tcPr>
            <w:tcW w:w="3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6,010</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5,654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Accrued employee compensation and benefits</w:t>
            </w: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11,696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returns and allowances</w:t>
            </w: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12,072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11,267</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Accrued taxes</w:t>
            </w: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1,475</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4,948</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Accrued other</w:t>
            </w: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7,089</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4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accrued liabilities</w:t>
            </w:r>
          </w:p>
        </w:tc>
        <w:tc>
          <w:tcPr>
            <w:tcW w:w="29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43,580</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42,129</w:t>
            </w:r>
          </w:p>
        </w:tc>
        <w:tc>
          <w:tcPr>
            <w:tcW w:w="240" w:type="dxa"/>
            <w:vAlign w:val="bottom"/>
          </w:tcPr>
          <w:p>
            <w:pPr>
              <w:spacing w:after="0"/>
              <w:rPr>
                <w:sz w:val="20"/>
                <w:szCs w:val="20"/>
                <w:color w:val="auto"/>
              </w:rPr>
            </w:pPr>
          </w:p>
        </w:tc>
      </w:tr>
      <w:tr>
        <w:trPr>
          <w:trHeight w:val="403"/>
        </w:trPr>
        <w:tc>
          <w:tcPr>
            <w:tcW w:w="340" w:type="dxa"/>
            <w:vAlign w:val="bottom"/>
          </w:tcPr>
          <w:p>
            <w:pPr>
              <w:spacing w:after="0"/>
              <w:rPr>
                <w:sz w:val="24"/>
                <w:szCs w:val="24"/>
                <w:color w:val="auto"/>
              </w:rPr>
            </w:pPr>
          </w:p>
        </w:tc>
        <w:tc>
          <w:tcPr>
            <w:tcW w:w="4440" w:type="dxa"/>
            <w:vAlign w:val="bottom"/>
            <w:tcBorders>
              <w:top w:val="single" w:sz="8" w:color="CCEEFF"/>
            </w:tcBorders>
          </w:tcPr>
          <w:p>
            <w:pPr>
              <w:spacing w:after="0"/>
              <w:rPr>
                <w:sz w:val="24"/>
                <w:szCs w:val="24"/>
                <w:color w:val="auto"/>
              </w:rPr>
            </w:pPr>
          </w:p>
        </w:tc>
        <w:tc>
          <w:tcPr>
            <w:tcW w:w="2960" w:type="dxa"/>
            <w:vAlign w:val="bottom"/>
            <w:tcBorders>
              <w:top w:val="single" w:sz="8" w:color="CCEEFF"/>
            </w:tcBorders>
          </w:tcPr>
          <w:p>
            <w:pPr>
              <w:jc w:val="right"/>
              <w:ind w:right="193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Debt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7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21"/>
        </w:trPr>
        <w:tc>
          <w:tcPr>
            <w:tcW w:w="7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March 31, 2024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lien term loan due November 17, 2028</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575,862</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592,505</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Revolver</w:t>
            </w:r>
          </w:p>
        </w:tc>
        <w:tc>
          <w:tcPr>
            <w:tcW w:w="120" w:type="dxa"/>
            <w:vAlign w:val="bottom"/>
          </w:tcPr>
          <w:p>
            <w:pPr>
              <w:spacing w:after="0"/>
              <w:rPr>
                <w:sz w:val="17"/>
                <w:szCs w:val="17"/>
                <w:color w:val="auto"/>
              </w:rPr>
            </w:pP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1,974</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120" w:type="dxa"/>
            <w:vAlign w:val="bottom"/>
          </w:tcPr>
          <w:p>
            <w:pPr>
              <w:spacing w:after="0"/>
              <w:rPr>
                <w:sz w:val="17"/>
                <w:szCs w:val="17"/>
                <w:color w:val="auto"/>
              </w:rPr>
            </w:pP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(10,308)</w:t>
            </w:r>
          </w:p>
        </w:tc>
      </w:tr>
      <w:tr>
        <w:trPr>
          <w:trHeight w:val="20"/>
        </w:trPr>
        <w:tc>
          <w:tcPr>
            <w:tcW w:w="7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567,556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584,171</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120" w:type="dxa"/>
            <w:vAlign w:val="bottom"/>
          </w:tcPr>
          <w:p>
            <w:pPr>
              <w:spacing w:after="0"/>
              <w:rPr>
                <w:sz w:val="17"/>
                <w:szCs w:val="17"/>
                <w:color w:val="auto"/>
              </w:rPr>
            </w:pP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(7,461)</w:t>
            </w:r>
          </w:p>
        </w:tc>
      </w:tr>
      <w:tr>
        <w:trPr>
          <w:trHeight w:val="20"/>
        </w:trPr>
        <w:tc>
          <w:tcPr>
            <w:tcW w:w="7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560,112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576,710</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On November 18, 2021, the Company entered into a credit facility with a syndicate of lenders and Wells Fargo Bank, N.A., as administrative agent for the lenders, letter of credit issuer and swing line lender (the "Credit Agreement"). The financing consisted of a seven-year $600,000 first lien term loan, a five-year $125,000 revolving credit facility, and a $100,000 delayed draw term loan. The proceeds of delayed draw loans made after closing were available to the Company to finance acquisitions. Upon the expiration of the delayed draw term loan in May 2022, the Company had drawn $57,000, which is included in the amount outstanding under the first lien term loan due November 17, 2028. Proceeds from the credit facility were used to repay in full the Company’s obligations under its previously existing first lien and second lien notes and to pay $13,413 in deferred financing fees related to the refinancing.</w:t>
      </w:r>
    </w:p>
    <w:p>
      <w:pPr>
        <w:spacing w:after="0" w:line="17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revolving credit facility includes a letter of credit facility in the amount of $10,000, pursuant to which letters of credit may be issued as long as revolving loans may be advanced and subject to availability under the revolving credit facility. The Company had $1,728 in outstanding letters of credit on March 31, 2024.</w:t>
      </w:r>
    </w:p>
    <w:p>
      <w:pPr>
        <w:spacing w:after="0" w:line="155"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first lien term loan is to be repaid in quarterly payments of $1,643 through September 30, 2028 with the balance due upon maturity on November 17, 2028. The Company is required to make annual payments on the term loan in an amount equal to 50% of annual excess cash flow greater than $5,000, as defined in the Credit Agreement. This percentage requirement may decrease or be eliminated if certain leverage ratios are achieved. Based on the Company's results for 2023, no excess cash flow payment was required in 2024. Any such payments offset future mandatory quarterly payments. The Credit Agreement permits voluntary prepayments at any time, in whole or in part. The Company repurchased $15,000 outstanding principal on its first lien term loan at a discount to par during the 13-week period ended March 31, 2024.</w:t>
      </w:r>
    </w:p>
    <w:p>
      <w:pPr>
        <w:spacing w:after="0" w:line="171"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As of March 31, 2024, amounts outstanding under the credit facility accrue interest at a rate equal to either the Secured Overnight Financing Rate ("SOFR")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On March 31, 2024, the weighted average interest rate on the Company's borrowings under the credit facility was 9.2%.</w:t>
      </w:r>
    </w:p>
    <w:p>
      <w:pPr>
        <w:spacing w:after="0" w:line="163" w:lineRule="exact"/>
        <w:rPr>
          <w:sz w:val="20"/>
          <w:szCs w:val="20"/>
          <w:color w:val="auto"/>
        </w:rPr>
      </w:pPr>
    </w:p>
    <w:p>
      <w:pPr>
        <w:jc w:val="both"/>
        <w:ind w:left="340" w:right="20"/>
        <w:spacing w:after="0" w:line="271" w:lineRule="auto"/>
        <w:rPr>
          <w:sz w:val="20"/>
          <w:szCs w:val="20"/>
          <w:color w:val="auto"/>
        </w:rPr>
      </w:pPr>
      <w:r>
        <w:rPr>
          <w:rFonts w:ascii="Arial" w:cs="Arial" w:eastAsia="Arial" w:hAnsi="Arial"/>
          <w:sz w:val="18"/>
          <w:szCs w:val="18"/>
          <w:color w:val="auto"/>
        </w:rPr>
        <w:t xml:space="preserve">The Company has entered into an interest rate collar in the notional amount of $500,000 to hedge the Company's exposure to fluctuations in interest rates on its variable-rate debt. Refer to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additional information.</w:t>
      </w:r>
    </w:p>
    <w:p>
      <w:pPr>
        <w:spacing w:after="0" w:line="140"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Obligations under the Credit Agreement are secured by substantially all of the Company’s assets, including a secured interest in the Company's headquarter, with a carrying value of $5,947. The Credit Agreement includes representations and warranties and affirmative and negative covenants customary for financings of this type, including, but not limited to, limitations on restricted payments, additional borrowings, additional investments, and asset sales.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In February 2023, the Company entered into an amendment to the Credit Agreement which, among other things, increases the Total Leverage Ratio applicable under the Credit Agreement as of the quarter ending April 2, 2023 to initially 7.25:1.00, and provides for modified step-down levels for such covenant thereafter through the fiscal quarter ending March 31, 2024 (the “Covenant Relief Period”). As of March 31, 2024, the required Total Leverage Ratio was5.75:1.00.As an ongoing condition to the Covenant Relief Period, the Company also agreed to (i) a minimum liquidity test, (ii) an interest coverage test, (iii) an anti-cash hoarding test at any time revolving loans are outstanding, and (iv) additional reporting obligations. Under the amended Credit Agreement, the revolving credit facility contains a minimum liquidity financial covenant of $45,000, which includes unrestricted cash and any available borrowing capacity under the revolving credit facility. In April 2023, the Company entered into a second amendment to the Credit Agreement in which the interest rate on any outstanding borrowings under the Credit Agreement was changed from LIBOR to SOFR. In May 2023, the Company entered into a third amendment to the Credit Agreement in which certain defined terms were clarified. The Company incurred $1,427 of deferred financing fees related to these amendments. On March 31, 2024, the Company was in compliance with all financial covenants.</w:t>
      </w:r>
    </w:p>
    <w:p>
      <w:pPr>
        <w:spacing w:after="0" w:line="356"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8"/>
          <w:szCs w:val="18"/>
          <w:color w:val="auto"/>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maturities of long-term debt and amortization of debt issuance costs as of March 31, 2024 are as follows: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rPr>
              <w:t>Debt Issuance</w:t>
            </w:r>
          </w:p>
        </w:tc>
      </w:tr>
      <w:tr>
        <w:trPr>
          <w:trHeight w:val="221"/>
        </w:trPr>
        <w:tc>
          <w:tcPr>
            <w:tcW w:w="7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Costs</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2024 (excluding the thirteen weeks ended March 31, 2024)</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5,582</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1,307</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4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1,876</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2,034</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4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2,209</w:t>
            </w:r>
          </w:p>
        </w:tc>
      </w:tr>
      <w:tr>
        <w:trPr>
          <w:trHeight w:val="202"/>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551,219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2,192</w:t>
            </w:r>
          </w:p>
        </w:tc>
      </w:tr>
      <w:tr>
        <w:trPr>
          <w:trHeight w:val="20"/>
        </w:trPr>
        <w:tc>
          <w:tcPr>
            <w:tcW w:w="7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577,174</w:t>
            </w:r>
          </w:p>
        </w:tc>
        <w:tc>
          <w:tcPr>
            <w:tcW w:w="100" w:type="dxa"/>
            <w:vAlign w:val="bottom"/>
          </w:tcPr>
          <w:p>
            <w:pPr>
              <w:spacing w:after="0"/>
              <w:rPr>
                <w:sz w:val="17"/>
                <w:szCs w:val="17"/>
                <w:color w:val="auto"/>
              </w:rPr>
            </w:pP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9,618</w:t>
            </w: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 AND EARN-OUT LIABILITY</w:t>
      </w:r>
    </w:p>
    <w:p>
      <w:pPr>
        <w:spacing w:after="0" w:line="198"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consummated a business combination (the “Business Combination”) pursuant to that certain Agreement and Plan of Merger dated March 11, 2021 (the “Merger Agreement”), by and among Empower Ltd., (“Empower”), Empower Merger Sub I Inc., Empower Merger Sub II LLC, and Holley Intermediate Holdings, Inc. (“Holley Intermediate”) on July 16, 2021, (the “Closing” and such date, the “Closing Date”). Upon the Closing, there were 14,666,644 Warrants, consisting of 9,999,977 public warrants ("Public Warrants") and 4,666,667 private warrants ("Private Warrants" and together with the Public Warrants, the “Warrants”), outstanding to purchase shares of Common Stock that were issued by Empower prior to the Business Combination. Each Warrant entitles the registered holder to purchase one share of Common Stock at a price of $11.50 per share, subject to adjustments,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Common Stock. The Warrants expire on July 16, 2026, the date that is five years after the Closing Date, or earlier upon redemption or liquidation. Additionally, the Private Warrants will be non-redeemable and are exercisable on a cashless basis so long as they are held by Empower Sponsor Holdings, LLC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54" w:lineRule="auto"/>
        <w:rPr>
          <w:sz w:val="20"/>
          <w:szCs w:val="20"/>
          <w:color w:val="auto"/>
        </w:rPr>
      </w:pPr>
      <w:r>
        <w:rPr>
          <w:rFonts w:ascii="Arial" w:cs="Arial" w:eastAsia="Arial" w:hAnsi="Arial"/>
          <w:sz w:val="17"/>
          <w:szCs w:val="17"/>
          <w:color w:val="auto"/>
        </w:rPr>
        <w:t>The Company may redeem the Public Warrants at a price of $0.01 per warrant upon 30 days' notice if the closing price of Common Stock equals or exceeds $ 18.00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 Further, the Company may redeem the Public Warrants at a price of $ 0.10 per warrant upon 30 days' notice if the closing price of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Common Stock as determined by reference to a table in the warrant agreement.</w:t>
      </w:r>
    </w:p>
    <w:p>
      <w:pPr>
        <w:spacing w:after="0" w:line="159"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During any period when the Company has failed to maintain an effective registration statement, warrant holders may exercise Warrants on a cashless basis in accordance with Section 3(a)(9) of the Securities Act or another exemption, and the Company will use its commercially reasonable best efforts to register or qualify the shares under applicable blue-sky laws to the extent an exemption is not available.</w:t>
      </w:r>
    </w:p>
    <w:p>
      <w:pPr>
        <w:spacing w:after="0" w:line="160"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Company’s Warrants are accounted for as a liability in accordance with ASC 815-40 and are presented as a warrant liability on the balance sheet. The warrant liability was measured at fair value at inception and on a recurring basis, with changes in fair value recognized as non-operating expense. As of March 31, 2024 and December 31, 2023, a warrant liability with a fair value of $5,256 and $8,383, respectively, was reflected as a long-term liability in the condensed consolidated balance sheet. A decrease of $3,127 and an increase of $1,435 in the fair value of the warrant liability was reflected as change in fair value of warrant liability in the condensed consolidated statements of comprehensive income for the 13-week periods ended March 31, 2024 and April 2, 2023, respectively.</w:t>
      </w:r>
    </w:p>
    <w:p>
      <w:pPr>
        <w:spacing w:after="0" w:line="378"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Additionally, the Sponsor received 2,187,500 shares of Common Stock upon the Closing, which vest in two equal tranches upon achievement of certain market share price milestones during the earn-out period, as outlined in the Merger Agreement (the “Earn-Out Shares”). The first tranche of Earn-Out Shares vested during the first quarter of 2022. Upon vesting, the first tranche of 1,093,750 Earn-Out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unvested Earn-Out Shares are presented as an earn-out liability on the balance sheet and are remeasured at fair value with changes in fair value recognized as non-operating expense. As of March 31, 2024 and December 31, 2023, an earn-out liability with a fair value of $2,830 and $3,479, respectively, was reflected as a long-term liability in the condensed consolidated balance sheet. A decrease of $649 and an increase of $428 in the fair value of the earn-out liability was reflected as change in fair value of earn-out liability in the condensed consolidated statements of comprehensive income for the 13-week periods ended March 31, 2024 and April 2, 2023, respectively.</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198"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The Company from time to time enters into derivative financial instruments, such as interest rate collar agreements (each, a “Collar”), to manage its exposure to fluctuations in interest rates on the Company’s variable rate debt. On January 4, 2023, the Company entered into a Collar with Wells Fargo Bank, N.A. ("Wells Fargo") with a notional amount of $500,000 that expires on February 18, 2026. The Collar has a floor of 2.811% and a cap of 5% (based on three-month SOFR). The structure of this Collar is such that the Company receives an incremental amount if the Collar index exceeds the cap rate. Conversely, the Company pays an incremental amount to Wells Fargo if the Collar index falls below the floor rate. No payments are required if the Collar index falls between the cap and floor rates.</w:t>
      </w:r>
    </w:p>
    <w:p>
      <w:pPr>
        <w:spacing w:after="0" w:line="165"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As of March 31, 2024, the Company recognized a derivative asset of $1,117 for the Collar in other noncurrent assets on the condensed consolidated balance sheet. The Company recorded a net change in the fair value of the Collar as a decrease to interest expense of $2,281 and as an increase to interest expense of $3,020, for the 13-week periods ended March 31, 2024 and April 2, 2023, respectively. Cash receipts for the Collar totaled $469 for the 13-week period ended March 31, 2024.</w:t>
      </w:r>
    </w:p>
    <w:p>
      <w:pPr>
        <w:spacing w:after="0" w:line="160"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 xml:space="preserve">The fair value of the Collar is determined using observable market-based inputs and the impact of credit risk on the derivative’s fair value (the creditworthiness of the Company’s counterparty for assets and the creditworthiness of the Company for liabilities) (a Level 2 measurement, as described in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98"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0"/>
          </w:tcPr>
          <w:p>
            <w:pPr>
              <w:jc w:val="right"/>
              <w:ind w:right="130"/>
              <w:spacing w:after="0"/>
              <w:rPr>
                <w:sz w:val="20"/>
                <w:szCs w:val="20"/>
                <w:color w:val="auto"/>
              </w:rPr>
            </w:pPr>
            <w:r>
              <w:rPr>
                <w:rFonts w:ascii="Arial" w:cs="Arial" w:eastAsia="Arial" w:hAnsi="Arial"/>
                <w:sz w:val="18"/>
                <w:szCs w:val="18"/>
                <w:color w:val="auto"/>
              </w:rPr>
              <w:t>Fair Value Measured on March 31, 2024</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17"/>
                <w:szCs w:val="17"/>
                <w:color w:val="auto"/>
              </w:rPr>
            </w:pPr>
          </w:p>
        </w:tc>
        <w:tc>
          <w:tcPr>
            <w:tcW w:w="84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Interest rate collar</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1,117</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1,117</w:t>
            </w:r>
          </w:p>
        </w:tc>
      </w:tr>
      <w:tr>
        <w:trPr>
          <w:trHeight w:val="203"/>
        </w:trPr>
        <w:tc>
          <w:tcPr>
            <w:tcW w:w="5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3,488</w:t>
            </w:r>
          </w:p>
        </w:tc>
        <w:tc>
          <w:tcPr>
            <w:tcW w:w="3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3,488</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1,768</w:t>
            </w:r>
          </w:p>
        </w:tc>
        <w:tc>
          <w:tcPr>
            <w:tcW w:w="3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1,768</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2,830</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Total fair value liabilities</w:t>
            </w:r>
          </w:p>
        </w:tc>
        <w:tc>
          <w:tcPr>
            <w:tcW w:w="220" w:type="dxa"/>
            <w:vAlign w:val="bottom"/>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3,488</w:t>
            </w:r>
          </w:p>
        </w:tc>
        <w:tc>
          <w:tcPr>
            <w:tcW w:w="1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4,598</w:t>
            </w:r>
          </w:p>
        </w:tc>
        <w:tc>
          <w:tcPr>
            <w:tcW w:w="18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8,086</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color w:val="auto"/>
              </w:rPr>
              <w:t>Fair Value Measured on December 31, 2023</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17"/>
                <w:szCs w:val="17"/>
                <w:color w:val="auto"/>
              </w:rPr>
            </w:pPr>
          </w:p>
        </w:tc>
        <w:tc>
          <w:tcPr>
            <w:tcW w:w="84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5,480</w:t>
            </w: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5,480</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2,903</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2,903</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3,479</w:t>
            </w:r>
          </w:p>
        </w:tc>
        <w:tc>
          <w:tcPr>
            <w:tcW w:w="3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3,479</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collar liability</w:t>
            </w: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1,164</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Total fair value liabilities</w:t>
            </w:r>
          </w:p>
        </w:tc>
        <w:tc>
          <w:tcPr>
            <w:tcW w:w="220" w:type="dxa"/>
            <w:vAlign w:val="bottom"/>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5,480</w:t>
            </w:r>
          </w:p>
        </w:tc>
        <w:tc>
          <w:tcPr>
            <w:tcW w:w="1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1,164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6,382</w:t>
            </w:r>
          </w:p>
        </w:tc>
        <w:tc>
          <w:tcPr>
            <w:tcW w:w="18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13,026</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As of March 31, 2024, the Company's derivative liabilities for its Private and Public Warrants, earn-out liability, and derivative asset for its Collar are measured at fair value on a recurring basis (see Note 7, “</w:t>
      </w:r>
      <w:r>
        <w:rPr>
          <w:rFonts w:ascii="Arial" w:cs="Arial" w:eastAsia="Arial" w:hAnsi="Arial"/>
          <w:sz w:val="18"/>
          <w:szCs w:val="18"/>
          <w:i w:val="1"/>
          <w:iCs w:val="1"/>
          <w:color w:val="auto"/>
        </w:rPr>
        <w:t>Common Stock Warrants and Earn-Out Liability,</w:t>
      </w:r>
      <w:r>
        <w:rPr>
          <w:rFonts w:ascii="Arial" w:cs="Arial" w:eastAsia="Arial" w:hAnsi="Arial"/>
          <w:sz w:val="18"/>
          <w:szCs w:val="18"/>
          <w:color w:val="auto"/>
        </w:rPr>
        <w:t>” and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more details). The fair values of the Private Warrants and earn-out liability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Collar, which is included in other noncurrent assets on the condensed consolidated balance sheet, is determined based on models that reflect the contractual terms of the derivative, yield curves, and the credit quality of the counterparties. Inputs are generally observable and do not contain a high level of subjectivity (Level 2).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 Changes in the fair value of the Collar is recognized as an adjustment to interest expense in the condensed consolidated statements of comprehensive income. Changes in the fair value of the derivative liabilities related to Warrants and the earn-out liability and changes in the fair value of the Collar are recognized in net cash provided by operating activities on the condensed consolidated statements of cash flows.</w:t>
      </w:r>
    </w:p>
    <w:p>
      <w:pPr>
        <w:spacing w:after="0" w:line="174"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fair value of Private Warrants was estimated as of the measurement date using the Monte Carlo simulation model with the following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c>
          <w:tcPr>
            <w:tcW w:w="240" w:type="dxa"/>
            <w:vAlign w:val="bottom"/>
          </w:tcPr>
          <w:p>
            <w:pPr>
              <w:spacing w:after="0"/>
              <w:rPr>
                <w:sz w:val="18"/>
                <w:szCs w:val="18"/>
                <w:color w:val="auto"/>
              </w:rPr>
            </w:pPr>
          </w:p>
        </w:tc>
      </w:tr>
      <w:tr>
        <w:trPr>
          <w:trHeight w:val="221"/>
        </w:trPr>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March 31, 2024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38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4.46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4.87</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Strike price</w:t>
            </w:r>
          </w:p>
        </w:tc>
        <w:tc>
          <w:tcPr>
            <w:tcW w:w="3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11.50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11.50</w:t>
            </w:r>
          </w:p>
        </w:tc>
        <w:tc>
          <w:tcPr>
            <w:tcW w:w="24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life (in years)</w:t>
            </w:r>
          </w:p>
        </w:tc>
        <w:tc>
          <w:tcPr>
            <w:tcW w:w="3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Expected dividend</w:t>
            </w:r>
          </w:p>
        </w:tc>
        <w:tc>
          <w:tcPr>
            <w:tcW w:w="3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3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c>
          <w:tcPr>
            <w:tcW w:w="240" w:type="dxa"/>
            <w:vAlign w:val="bottom"/>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Price threshold</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18.00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20"/>
                <w:szCs w:val="20"/>
                <w:color w:val="auto"/>
              </w:rPr>
            </w:pPr>
          </w:p>
        </w:tc>
      </w:tr>
      <w:tr>
        <w:trPr>
          <w:trHeight w:val="386"/>
        </w:trPr>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00" w:type="dxa"/>
            <w:vAlign w:val="bottom"/>
          </w:tcPr>
          <w:p>
            <w:pPr>
              <w:jc w:val="right"/>
              <w:ind w:right="17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fair value of the earn-out liability was estimated as of the measurement date using the Monte Carlo simulation model with the following assumptions:</w:t>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r>
      <w:tr>
        <w:trPr>
          <w:trHeight w:val="221"/>
        </w:trPr>
        <w:tc>
          <w:tcPr>
            <w:tcW w:w="46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March 31, 2024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2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4.46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4.87</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4.29</w:t>
            </w:r>
          </w:p>
        </w:tc>
        <w:tc>
          <w:tcPr>
            <w:tcW w:w="14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4.54</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65.22%</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67.20%</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4.17%</w:t>
            </w:r>
          </w:p>
        </w:tc>
        <w:tc>
          <w:tcPr>
            <w:tcW w:w="14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3.79%</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Price hurdle</w:t>
            </w:r>
          </w:p>
        </w:tc>
        <w:tc>
          <w:tcPr>
            <w:tcW w:w="2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15.00</w:t>
            </w:r>
          </w:p>
        </w:tc>
      </w:tr>
    </w:tbl>
    <w:p>
      <w:pPr>
        <w:spacing w:after="0" w:line="184"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As of March 31, 2024 and December 31, 2023,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3 measurements.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changes in Level 3 liabilities during the 13-week periods ended March 31, 2024 and April 2, 2023 is as follows: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Private Warrants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Earn-Out Liability</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2022</w:t>
            </w:r>
          </w:p>
        </w:tc>
        <w:tc>
          <w:tcPr>
            <w:tcW w:w="2100" w:type="dxa"/>
            <w:vAlign w:val="bottom"/>
            <w:gridSpan w:val="2"/>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1,581</w:t>
            </w:r>
          </w:p>
        </w:tc>
        <w:tc>
          <w:tcPr>
            <w:tcW w:w="660" w:type="dxa"/>
            <w:vAlign w:val="bottom"/>
            <w:gridSpan w:val="2"/>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1,176</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2,757</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Losses included in earnings</w:t>
            </w:r>
          </w:p>
        </w:tc>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518</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428</w:t>
            </w: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946</w:t>
            </w:r>
          </w:p>
        </w:tc>
      </w:tr>
      <w:tr>
        <w:trPr>
          <w:trHeight w:val="20"/>
        </w:trPr>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1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April 2, 2023</w:t>
            </w:r>
          </w:p>
        </w:tc>
        <w:tc>
          <w:tcPr>
            <w:tcW w:w="15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2,099</w:t>
            </w:r>
          </w:p>
        </w:tc>
        <w:tc>
          <w:tcPr>
            <w:tcW w:w="660" w:type="dxa"/>
            <w:vAlign w:val="bottom"/>
            <w:gridSpan w:val="2"/>
            <w:shd w:val="clear" w:color="auto" w:fill="CCEEFF"/>
          </w:tcPr>
          <w:p>
            <w:pPr>
              <w:jc w:val="right"/>
              <w:ind w:right="390"/>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1,604</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3,703</w:t>
            </w:r>
          </w:p>
        </w:tc>
      </w:tr>
      <w:tr>
        <w:trPr>
          <w:trHeight w:val="183"/>
        </w:trPr>
        <w:tc>
          <w:tcPr>
            <w:tcW w:w="410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2023</w:t>
            </w:r>
          </w:p>
        </w:tc>
        <w:tc>
          <w:tcPr>
            <w:tcW w:w="2100" w:type="dxa"/>
            <w:vAlign w:val="bottom"/>
            <w:gridSpan w:val="2"/>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2,903</w:t>
            </w:r>
          </w:p>
        </w:tc>
        <w:tc>
          <w:tcPr>
            <w:tcW w:w="660" w:type="dxa"/>
            <w:vAlign w:val="bottom"/>
            <w:gridSpan w:val="2"/>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3,479</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6,382</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Gains included in earnings</w:t>
            </w:r>
          </w:p>
        </w:tc>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(1,135)</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(649)</w:t>
            </w: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(1,784)</w:t>
            </w:r>
          </w:p>
        </w:tc>
      </w:tr>
      <w:tr>
        <w:trPr>
          <w:trHeight w:val="20"/>
        </w:trPr>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March 31, 2024</w:t>
            </w:r>
          </w:p>
        </w:tc>
        <w:tc>
          <w:tcPr>
            <w:tcW w:w="1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1,768</w:t>
            </w:r>
          </w:p>
        </w:tc>
        <w:tc>
          <w:tcPr>
            <w:tcW w:w="660" w:type="dxa"/>
            <w:vAlign w:val="bottom"/>
            <w:gridSpan w:val="2"/>
            <w:shd w:val="clear" w:color="auto" w:fill="CCEEFF"/>
          </w:tcPr>
          <w:p>
            <w:pPr>
              <w:jc w:val="right"/>
              <w:ind w:right="390"/>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2,830</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4,598</w:t>
            </w:r>
          </w:p>
        </w:tc>
      </w:tr>
      <w:tr>
        <w:trPr>
          <w:trHeight w:val="20"/>
        </w:trPr>
        <w:tc>
          <w:tcPr>
            <w:tcW w:w="41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62"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69"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more information.</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360" w:type="dxa"/>
            <w:vAlign w:val="bottom"/>
          </w:tcPr>
          <w:p>
            <w:pPr>
              <w:spacing w:after="0"/>
              <w:rPr>
                <w:sz w:val="20"/>
                <w:szCs w:val="20"/>
                <w:color w:val="auto"/>
              </w:rPr>
            </w:pPr>
            <w:r>
              <w:rPr>
                <w:rFonts w:ascii="Arial" w:cs="Arial" w:eastAsia="Arial" w:hAnsi="Arial"/>
                <w:sz w:val="18"/>
                <w:szCs w:val="18"/>
                <w:color w:val="auto"/>
              </w:rPr>
              <w:t>The following table summarizes total revenue by product category.</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7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7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March 31, 2024</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April 2, 2023</w:t>
            </w:r>
          </w:p>
        </w:tc>
        <w:tc>
          <w:tcPr>
            <w:tcW w:w="100" w:type="dxa"/>
            <w:vAlign w:val="bottom"/>
          </w:tcPr>
          <w:p>
            <w:pPr>
              <w:spacing w:after="0"/>
              <w:rPr>
                <w:sz w:val="17"/>
                <w:szCs w:val="17"/>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Electronic systems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63,880</w:t>
            </w:r>
          </w:p>
        </w:tc>
        <w:tc>
          <w:tcPr>
            <w:tcW w:w="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68,751</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Mechanical systems</w:t>
            </w:r>
          </w:p>
        </w:tc>
        <w:tc>
          <w:tcPr>
            <w:tcW w:w="12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38,395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43,318</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Exhaust</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13,990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15,829</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Accessories</w:t>
            </w:r>
          </w:p>
        </w:tc>
        <w:tc>
          <w:tcPr>
            <w:tcW w:w="12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23,384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27,465</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Safety</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16,842</w:t>
            </w:r>
          </w:p>
        </w:tc>
      </w:tr>
      <w:tr>
        <w:trPr>
          <w:trHeight w:val="20"/>
        </w:trPr>
        <w:tc>
          <w:tcPr>
            <w:tcW w:w="7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line="182" w:lineRule="exact"/>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158,636</w:t>
            </w:r>
          </w:p>
        </w:tc>
        <w:tc>
          <w:tcPr>
            <w:tcW w:w="100" w:type="dxa"/>
            <w:vAlign w:val="bottom"/>
          </w:tcPr>
          <w:p>
            <w:pPr>
              <w:spacing w:after="0"/>
              <w:rPr>
                <w:sz w:val="17"/>
                <w:szCs w:val="17"/>
                <w:color w:val="auto"/>
              </w:rPr>
            </w:pPr>
          </w:p>
        </w:tc>
        <w:tc>
          <w:tcPr>
            <w:tcW w:w="2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172,205</w:t>
            </w:r>
          </w:p>
        </w:tc>
      </w:tr>
      <w:tr>
        <w:trPr>
          <w:trHeight w:val="20"/>
        </w:trPr>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7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March 31, 2024</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April 2, 2023</w:t>
            </w:r>
          </w:p>
        </w:tc>
        <w:tc>
          <w:tcPr>
            <w:tcW w:w="100" w:type="dxa"/>
            <w:vAlign w:val="bottom"/>
          </w:tcPr>
          <w:p>
            <w:pPr>
              <w:spacing w:after="0"/>
              <w:rPr>
                <w:sz w:val="17"/>
                <w:szCs w:val="17"/>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153,325</w:t>
            </w:r>
          </w:p>
        </w:tc>
        <w:tc>
          <w:tcPr>
            <w:tcW w:w="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166,418</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Italy</w:t>
            </w: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5,311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5,787</w:t>
            </w:r>
          </w:p>
        </w:tc>
      </w:tr>
      <w:tr>
        <w:trPr>
          <w:trHeight w:val="20"/>
        </w:trPr>
        <w:tc>
          <w:tcPr>
            <w:tcW w:w="7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158,636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172,205</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8"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 the expected effective income tax rate for the year. When this occurs, the Company adjusts the income tax provision during the quarter in which the change in estimate occurs so that the year-to-date provision reflects the expected income tax rate. Significant judgment is required in determining the effective tax rate and in evaluating tax positions.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gridSpan w:val="6"/>
          </w:tcPr>
          <w:p>
            <w:pPr>
              <w:jc w:val="right"/>
              <w:ind w:right="6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7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March 31, 2024</w:t>
            </w:r>
          </w:p>
        </w:tc>
        <w:tc>
          <w:tcPr>
            <w:tcW w:w="2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April 2, 2023</w:t>
            </w:r>
          </w:p>
        </w:tc>
        <w:tc>
          <w:tcPr>
            <w:tcW w:w="160" w:type="dxa"/>
            <w:vAlign w:val="bottom"/>
          </w:tcPr>
          <w:p>
            <w:pPr>
              <w:spacing w:after="0"/>
              <w:rPr>
                <w:sz w:val="17"/>
                <w:szCs w:val="17"/>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(891)</w:t>
            </w:r>
          </w:p>
        </w:tc>
        <w:tc>
          <w:tcPr>
            <w:tcW w:w="2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1,566</w:t>
            </w:r>
          </w:p>
        </w:tc>
      </w:tr>
      <w:tr>
        <w:trPr>
          <w:trHeight w:val="239"/>
        </w:trPr>
        <w:tc>
          <w:tcPr>
            <w:tcW w:w="7220" w:type="dxa"/>
            <w:vAlign w:val="bottom"/>
          </w:tcPr>
          <w:p>
            <w:pPr>
              <w:spacing w:after="0"/>
              <w:rPr>
                <w:sz w:val="20"/>
                <w:szCs w:val="20"/>
                <w:color w:val="auto"/>
              </w:rPr>
            </w:pPr>
            <w:r>
              <w:rPr>
                <w:rFonts w:ascii="Arial" w:cs="Arial" w:eastAsia="Arial" w:hAnsi="Arial"/>
                <w:sz w:val="18"/>
                <w:szCs w:val="18"/>
                <w:color w:val="auto"/>
              </w:rPr>
              <w:t>Effective tax rate</w:t>
            </w:r>
          </w:p>
        </w:tc>
        <w:tc>
          <w:tcPr>
            <w:tcW w:w="120" w:type="dxa"/>
            <w:vAlign w:val="bottom"/>
          </w:tcPr>
          <w:p>
            <w:pPr>
              <w:spacing w:after="0"/>
              <w:rPr>
                <w:sz w:val="20"/>
                <w:szCs w:val="20"/>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26.9%</w:t>
            </w:r>
          </w:p>
        </w:tc>
      </w:tr>
    </w:tbl>
    <w:p>
      <w:pPr>
        <w:spacing w:after="0" w:line="147"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For the 13-week period ended March 31, 2024, the Company's effective tax rate of -31.4% differed from the 21% federal statutory rate primarily due to permanent differences related to changes in fair value of the warrant and earn-out liabilities recognized during the period, federal research and development tax credits, and the impact of foreign taxes in higher tax rate jurisdictions. In addition, the Company incurred expenses related to product rationalization that were determined to be significant and infrequent in nature; therefore, the full tax benefit of these expenses were recorded during the quarter as a discrete adjustment. For the 13-week period ended April 2, 2023, the Company’s effective tax rate of 26.9% differed from the 21% federal statutory rate primarily due to permanent differences related to changes in the fair value of the warrant and earn-out liabilities recognized during the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per share:</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7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March 31, 2024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April 2, 2023</w:t>
            </w:r>
          </w:p>
        </w:tc>
        <w:tc>
          <w:tcPr>
            <w:tcW w:w="100" w:type="dxa"/>
            <w:vAlign w:val="bottom"/>
          </w:tcPr>
          <w:p>
            <w:pPr>
              <w:spacing w:after="0"/>
              <w:rPr>
                <w:sz w:val="17"/>
                <w:szCs w:val="17"/>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3,730</w:t>
            </w: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4,247</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2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117,871,829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117,153,525</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Dilutive effect of potential common shares from RSUs</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1,429,198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91,237</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Dilutive effect of potential common shares from PSUs</w:t>
            </w: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204,303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7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 diluted</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119,505,330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117,244,762</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b w:val="1"/>
                <w:bCs w:val="1"/>
                <w:color w:val="auto"/>
              </w:rPr>
              <w:t>Earnings per share:</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0.04</w:t>
            </w:r>
          </w:p>
        </w:tc>
      </w:tr>
      <w:tr>
        <w:trPr>
          <w:trHeight w:val="239"/>
        </w:trPr>
        <w:tc>
          <w:tcPr>
            <w:tcW w:w="736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bl>
    <w:p>
      <w:pPr>
        <w:spacing w:after="0" w:line="14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because their effect would have been anti-dilutive. Warrants to purchase shares of Common Stock having an exercise price greater than the average share market price are excluded from the calculation of diluted earnings per share.</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3300" w:type="dxa"/>
            <w:vAlign w:val="bottom"/>
            <w:gridSpan w:val="4"/>
          </w:tcPr>
          <w:p>
            <w:pPr>
              <w:jc w:val="right"/>
              <w:ind w:right="5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7360" w:type="dxa"/>
            <w:vAlign w:val="bottom"/>
          </w:tcPr>
          <w:p>
            <w:pPr>
              <w:spacing w:after="0"/>
              <w:rPr>
                <w:sz w:val="17"/>
                <w:szCs w:val="17"/>
                <w:color w:val="auto"/>
              </w:rPr>
            </w:pPr>
          </w:p>
        </w:tc>
        <w:tc>
          <w:tcPr>
            <w:tcW w:w="1720" w:type="dxa"/>
            <w:vAlign w:val="bottom"/>
            <w:tcBorders>
              <w:top w:val="single" w:sz="8" w:color="auto"/>
            </w:tcBorders>
            <w:gridSpan w:val="2"/>
          </w:tcPr>
          <w:p>
            <w:pPr>
              <w:jc w:val="right"/>
              <w:ind w:right="340"/>
              <w:spacing w:after="0" w:line="196" w:lineRule="exact"/>
              <w:rPr>
                <w:sz w:val="20"/>
                <w:szCs w:val="20"/>
                <w:color w:val="auto"/>
              </w:rPr>
            </w:pPr>
            <w:r>
              <w:rPr>
                <w:rFonts w:ascii="Arial" w:cs="Arial" w:eastAsia="Arial" w:hAnsi="Arial"/>
                <w:sz w:val="18"/>
                <w:szCs w:val="18"/>
                <w:color w:val="auto"/>
              </w:rPr>
              <w:t>March 31, 2024</w:t>
            </w:r>
          </w:p>
        </w:tc>
        <w:tc>
          <w:tcPr>
            <w:tcW w:w="148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April 2, 2023</w:t>
            </w:r>
          </w:p>
        </w:tc>
        <w:tc>
          <w:tcPr>
            <w:tcW w:w="100" w:type="dxa"/>
            <w:vAlign w:val="bottom"/>
          </w:tcPr>
          <w:p>
            <w:pPr>
              <w:spacing w:after="0"/>
              <w:rPr>
                <w:sz w:val="17"/>
                <w:szCs w:val="17"/>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Anti-dilutive shares excluded from calculation of diluted EPS:</w:t>
            </w:r>
          </w:p>
        </w:tc>
        <w:tc>
          <w:tcPr>
            <w:tcW w:w="1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Warrants</w:t>
            </w:r>
          </w:p>
        </w:tc>
        <w:tc>
          <w:tcPr>
            <w:tcW w:w="1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14,633,311</w:t>
            </w: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14,633,311</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Stock options</w:t>
            </w:r>
          </w:p>
        </w:tc>
        <w:tc>
          <w:tcPr>
            <w:tcW w:w="1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701,849</w:t>
            </w: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1,117,102</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Restricted stock units</w:t>
            </w:r>
          </w:p>
        </w:tc>
        <w:tc>
          <w:tcPr>
            <w:tcW w:w="1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61,470</w:t>
            </w: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429,948</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Performance stock units</w:t>
            </w:r>
          </w:p>
        </w:tc>
        <w:tc>
          <w:tcPr>
            <w:tcW w:w="1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797,879</w:t>
            </w: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949,412</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Unvested Earn-Out Shares</w:t>
            </w:r>
          </w:p>
        </w:tc>
        <w:tc>
          <w:tcPr>
            <w:tcW w:w="1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1,093,750</w:t>
            </w: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1,093,750</w:t>
            </w:r>
          </w:p>
        </w:tc>
      </w:tr>
      <w:tr>
        <w:trPr>
          <w:trHeight w:val="20"/>
        </w:trPr>
        <w:tc>
          <w:tcPr>
            <w:tcW w:w="7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anti-dilutive shares</w:t>
            </w:r>
          </w:p>
        </w:tc>
        <w:tc>
          <w:tcPr>
            <w:tcW w:w="17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17,288,259</w:t>
            </w:r>
          </w:p>
        </w:tc>
        <w:tc>
          <w:tcPr>
            <w:tcW w:w="15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18,223,523</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w:t>
      </w:r>
    </w:p>
    <w:p>
      <w:pPr>
        <w:spacing w:after="0" w:line="198"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In 2021, the Company adopted the 2021 Omnibus Incentive Plan (the “2021 Plan”), under which awards, including stock options, restricted stock units ("RSUs") and performance stock units ("PSUs") may be granted to employees and non-employee directors. The 2021 Plan authorized 8,850,000 shares of Common Stock to be available for award grants. As of March 31, 2024, 4,754,499 shares of Common Stock remained available for future issuance under the 2021 Plan. On June 6, 2023, the Company granted 1,000,000 RSUs and 1,520,000 PSUs to its new President and Chief Executive Officer. These awards were granted outside of the 2021 Plan as employment inducement awards and did not require shareholder approval under the rules of the NYSE or otherwise.</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Equity-based compensation expense included the following components: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7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March 31, 2024</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April 2, 2023</w:t>
            </w:r>
          </w:p>
        </w:tc>
        <w:tc>
          <w:tcPr>
            <w:tcW w:w="100" w:type="dxa"/>
            <w:vAlign w:val="bottom"/>
          </w:tcPr>
          <w:p>
            <w:pPr>
              <w:spacing w:after="0"/>
              <w:rPr>
                <w:sz w:val="17"/>
                <w:szCs w:val="17"/>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774</w:t>
            </w:r>
          </w:p>
        </w:tc>
        <w:tc>
          <w:tcPr>
            <w:tcW w:w="2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648</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Performance stock units</w:t>
            </w:r>
          </w:p>
        </w:tc>
        <w:tc>
          <w:tcPr>
            <w:tcW w:w="120" w:type="dxa"/>
            <w:vAlign w:val="bottom"/>
          </w:tcPr>
          <w:p>
            <w:pPr>
              <w:spacing w:after="0"/>
              <w:rPr>
                <w:sz w:val="17"/>
                <w:szCs w:val="17"/>
                <w:color w:val="auto"/>
              </w:rPr>
            </w:pP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(306)</w:t>
            </w:r>
          </w:p>
        </w:tc>
      </w:tr>
    </w:tbl>
    <w:p>
      <w:pPr>
        <w:spacing w:after="0" w:line="197"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All equity-based compensation expenses are recorded in selling, general and administrative costs in the condensed consolidated statements of comprehensive income.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RSUs and PSUs are collectively referred to as "Restricted Stock Awards". The Compensation Committee has awarded RSUs to select employees and non-employee directors and has awarded PSUs to select employees. The RSUs vest ratably over one to four years of continued employment. The grant date fair value of a time-based award or a performance-based award without a market condition is equal to the market price of Common Stock on the grant date and is recognized over the requisite service period. The grant date fair value of a performance-based award with a market condition is determined using a Monte Carlo simulation and is recognized over the requisite service period. On March 31, 2024, there was $8,977 of unrecognized compensation cost related to unvested Restricted Stock Awards that is expected to be recognized over a remaining weighted average period of 2.4 years.</w:t>
      </w:r>
    </w:p>
    <w:p>
      <w:pPr>
        <w:spacing w:after="0" w:line="17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weighted-average grant-date fair value of Restricted Stock Awards granted during the 13-week periods ended March 31, 2024 and April 2, 2023, was $4.25 and $2.11, respectively. The fair value of Restricted Stock Awards vested and converted to shares of Common Stock during the 13-week periods ended March 31, 2024 and April 2, 2023, was $3,364 and $146, respectively.</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Restricted Stock Award for the 13-week period ended March 31, 2024:</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3300" w:type="dxa"/>
            <w:vAlign w:val="bottom"/>
            <w:gridSpan w:val="5"/>
          </w:tcPr>
          <w:p>
            <w:pPr>
              <w:jc w:val="right"/>
              <w:ind w:right="320"/>
              <w:spacing w:after="0"/>
              <w:rPr>
                <w:sz w:val="20"/>
                <w:szCs w:val="20"/>
                <w:color w:val="auto"/>
              </w:rPr>
            </w:pPr>
            <w:r>
              <w:rPr>
                <w:rFonts w:ascii="Arial" w:cs="Arial" w:eastAsia="Arial" w:hAnsi="Arial"/>
                <w:sz w:val="18"/>
                <w:szCs w:val="18"/>
                <w:color w:val="auto"/>
              </w:rPr>
              <w:t>Unvested Restricted Stock Awards</w:t>
            </w:r>
          </w:p>
        </w:tc>
      </w:tr>
      <w:tr>
        <w:trPr>
          <w:trHeight w:val="177"/>
        </w:trPr>
        <w:tc>
          <w:tcPr>
            <w:tcW w:w="736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color w:val="auto"/>
              </w:rPr>
              <w:t>Weighted Average</w:t>
            </w:r>
          </w:p>
        </w:tc>
        <w:tc>
          <w:tcPr>
            <w:tcW w:w="100" w:type="dxa"/>
            <w:vAlign w:val="bottom"/>
          </w:tcPr>
          <w:p>
            <w:pPr>
              <w:spacing w:after="0"/>
              <w:rPr>
                <w:sz w:val="15"/>
                <w:szCs w:val="15"/>
                <w:color w:val="auto"/>
              </w:rPr>
            </w:pPr>
          </w:p>
        </w:tc>
      </w:tr>
      <w:tr>
        <w:trPr>
          <w:trHeight w:val="203"/>
        </w:trPr>
        <w:tc>
          <w:tcPr>
            <w:tcW w:w="7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9"/>
              </w:rPr>
              <w:t>Grant Date Fair</w:t>
            </w:r>
          </w:p>
        </w:tc>
      </w:tr>
      <w:tr>
        <w:trPr>
          <w:trHeight w:val="203"/>
        </w:trPr>
        <w:tc>
          <w:tcPr>
            <w:tcW w:w="7360" w:type="dxa"/>
            <w:vAlign w:val="bottom"/>
          </w:tcPr>
          <w:p>
            <w:pPr>
              <w:spacing w:after="0"/>
              <w:rPr>
                <w:sz w:val="17"/>
                <w:szCs w:val="17"/>
                <w:color w:val="auto"/>
              </w:rPr>
            </w:pPr>
          </w:p>
        </w:tc>
        <w:tc>
          <w:tcPr>
            <w:tcW w:w="1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Number of RSAs</w:t>
            </w:r>
          </w:p>
        </w:tc>
        <w:tc>
          <w:tcPr>
            <w:tcW w:w="180" w:type="dxa"/>
            <w:vAlign w:val="bottom"/>
          </w:tcPr>
          <w:p>
            <w:pPr>
              <w:spacing w:after="0"/>
              <w:rPr>
                <w:sz w:val="17"/>
                <w:szCs w:val="17"/>
                <w:color w:val="auto"/>
              </w:rPr>
            </w:pPr>
          </w:p>
        </w:tc>
        <w:tc>
          <w:tcPr>
            <w:tcW w:w="14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Value</w:t>
            </w:r>
          </w:p>
        </w:tc>
      </w:tr>
      <w:tr>
        <w:trPr>
          <w:trHeight w:val="221"/>
        </w:trPr>
        <w:tc>
          <w:tcPr>
            <w:tcW w:w="7360" w:type="dxa"/>
            <w:vAlign w:val="bottom"/>
          </w:tcPr>
          <w:p>
            <w:pPr>
              <w:spacing w:after="0"/>
              <w:rPr>
                <w:sz w:val="20"/>
                <w:szCs w:val="20"/>
                <w:color w:val="auto"/>
              </w:rPr>
            </w:pPr>
            <w:r>
              <w:rPr>
                <w:rFonts w:ascii="Arial" w:cs="Arial" w:eastAsia="Arial" w:hAnsi="Arial"/>
                <w:sz w:val="18"/>
                <w:szCs w:val="18"/>
                <w:color w:val="auto"/>
              </w:rPr>
              <w:t>Balance on December 31, 2023</w:t>
            </w:r>
          </w:p>
        </w:tc>
        <w:tc>
          <w:tcPr>
            <w:tcW w:w="1500" w:type="dxa"/>
            <w:vAlign w:val="bottom"/>
          </w:tcPr>
          <w:p>
            <w:pPr>
              <w:jc w:val="right"/>
              <w:spacing w:after="0"/>
              <w:rPr>
                <w:sz w:val="20"/>
                <w:szCs w:val="20"/>
                <w:color w:val="auto"/>
              </w:rPr>
            </w:pPr>
            <w:r>
              <w:rPr>
                <w:rFonts w:ascii="Arial" w:cs="Arial" w:eastAsia="Arial" w:hAnsi="Arial"/>
                <w:sz w:val="18"/>
                <w:szCs w:val="18"/>
                <w:color w:val="auto"/>
              </w:rPr>
              <w:t>4,904,801</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Granted</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803,080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4.25</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(819,876)</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2.61</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(478,261)</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3.13</w:t>
            </w:r>
          </w:p>
        </w:tc>
      </w:tr>
      <w:tr>
        <w:trPr>
          <w:trHeight w:val="196"/>
        </w:trPr>
        <w:tc>
          <w:tcPr>
            <w:tcW w:w="73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Balance on March 31, 2024</w:t>
            </w: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4,409,744</w:t>
            </w: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jc w:val="right"/>
              <w:spacing w:after="0" w:line="182" w:lineRule="exact"/>
              <w:rPr>
                <w:sz w:val="20"/>
                <w:szCs w:val="20"/>
                <w:color w:val="auto"/>
              </w:rPr>
            </w:pPr>
            <w:r>
              <w:rPr>
                <w:rFonts w:ascii="Arial" w:cs="Arial" w:eastAsia="Arial" w:hAnsi="Arial"/>
                <w:sz w:val="18"/>
                <w:szCs w:val="18"/>
                <w:color w:val="auto"/>
              </w:rPr>
              <w:t>$</w:t>
            </w:r>
          </w:p>
        </w:tc>
        <w:tc>
          <w:tcPr>
            <w:tcW w:w="1480" w:type="dxa"/>
            <w:vAlign w:val="bottom"/>
            <w:tcBorders>
              <w:top w:val="single" w:sz="8" w:color="CCEEFF"/>
            </w:tcBorders>
            <w:gridSpan w:val="2"/>
          </w:tcPr>
          <w:p>
            <w:pPr>
              <w:jc w:val="right"/>
              <w:ind w:right="100"/>
              <w:spacing w:after="0" w:line="182" w:lineRule="exact"/>
              <w:rPr>
                <w:sz w:val="20"/>
                <w:szCs w:val="20"/>
                <w:color w:val="auto"/>
              </w:rPr>
            </w:pPr>
            <w:r>
              <w:rPr>
                <w:rFonts w:ascii="Arial" w:cs="Arial" w:eastAsia="Arial" w:hAnsi="Arial"/>
                <w:sz w:val="18"/>
                <w:szCs w:val="18"/>
                <w:color w:val="auto"/>
              </w:rPr>
              <w:t>3.13</w:t>
            </w:r>
          </w:p>
        </w:tc>
      </w:tr>
      <w:tr>
        <w:trPr>
          <w:trHeight w:val="20"/>
        </w:trPr>
        <w:tc>
          <w:tcPr>
            <w:tcW w:w="7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96"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The PSUs granted under the 2021 Plan represent shares of Common Stock that are potentially issuable in the future based on a combination of performance and service requirements. On March 4, 2024, the Company granted 340,895 PSUs under the 2021 Plan to key employees with a grant date fair value of $4.22 and on March 18, 2024, the Company granted an additional 26,020 PSUs with a grant data fair value of $4.25. The PSUs granted to employees were based on salary and include annual net sales and adjusted EBITDA growth targets with threshold and stretch goals. The awards vest ratably over three years, subject to the employee’s continuous employment through the vesting date and the level of performance achieved. The number of PSUs granted reflects the target number able to be earned under a given award. Non-vested PSU compensation expense is based on the most recent performance assumption available and is adjusted as assumptions change. The fair value of a PSU at the grant date is equal to the market price of Common Stock on the grant date. The cost estimates for PSU grants represent initial target awards until the Company can reasonably forecast the financial performance of each PSU award grant. The actual number of shares of Common Stock to be issued at the end of each performance period will range from 0% to 150% of the initial target awards.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within 90 days of termination of service. Compensation expense for stock options is recorded based on straight-line amortization of the grant date fair value over the requisite service period. As of March 31, 2024, there was $364 of unrecognized compensation cost related to unvested stock options that is expected to be recognized over a remaining weighted-average period of 0.8 years.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13-week period ended March 31, 2024:</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Weighted</w:t>
            </w:r>
          </w:p>
        </w:tc>
      </w:tr>
      <w:tr>
        <w:trPr>
          <w:trHeight w:val="203"/>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8"/>
              </w:rPr>
              <w:t>Average</w:t>
            </w:r>
          </w:p>
        </w:tc>
      </w:tr>
      <w:tr>
        <w:trPr>
          <w:trHeight w:val="203"/>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Weighted</w:t>
            </w:r>
          </w:p>
        </w:tc>
        <w:tc>
          <w:tcPr>
            <w:tcW w:w="15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Remaining</w:t>
            </w:r>
          </w:p>
        </w:tc>
      </w:tr>
      <w:tr>
        <w:trPr>
          <w:trHeight w:val="203"/>
        </w:trPr>
        <w:tc>
          <w:tcPr>
            <w:tcW w:w="5640" w:type="dxa"/>
            <w:vAlign w:val="bottom"/>
          </w:tcPr>
          <w:p>
            <w:pPr>
              <w:spacing w:after="0"/>
              <w:rPr>
                <w:sz w:val="17"/>
                <w:szCs w:val="17"/>
                <w:color w:val="auto"/>
              </w:rPr>
            </w:pPr>
          </w:p>
        </w:tc>
        <w:tc>
          <w:tcPr>
            <w:tcW w:w="17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Number of</w:t>
            </w:r>
          </w:p>
        </w:tc>
        <w:tc>
          <w:tcPr>
            <w:tcW w:w="14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rPr>
              <w:t>Average</w:t>
            </w:r>
          </w:p>
        </w:tc>
        <w:tc>
          <w:tcPr>
            <w:tcW w:w="15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Contractual</w:t>
            </w:r>
          </w:p>
        </w:tc>
      </w:tr>
      <w:tr>
        <w:trPr>
          <w:trHeight w:val="221"/>
        </w:trPr>
        <w:tc>
          <w:tcPr>
            <w:tcW w:w="564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Stock Options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Exercise Price</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Term (years)</w:t>
            </w:r>
          </w:p>
        </w:tc>
        <w:tc>
          <w:tcPr>
            <w:tcW w:w="100" w:type="dxa"/>
            <w:vAlign w:val="bottom"/>
          </w:tcPr>
          <w:p>
            <w:pPr>
              <w:spacing w:after="0"/>
              <w:rPr>
                <w:sz w:val="19"/>
                <w:szCs w:val="19"/>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outstanding on December 31, 2023</w:t>
            </w:r>
          </w:p>
        </w:tc>
        <w:tc>
          <w:tcPr>
            <w:tcW w:w="17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886,046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10.97</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(134,066)</w:t>
            </w:r>
          </w:p>
        </w:tc>
        <w:tc>
          <w:tcPr>
            <w:tcW w:w="140" w:type="dxa"/>
            <w:vAlign w:val="bottom"/>
          </w:tcPr>
          <w:p>
            <w:pPr>
              <w:spacing w:after="0"/>
              <w:rPr>
                <w:sz w:val="17"/>
                <w:szCs w:val="17"/>
                <w:color w:val="auto"/>
              </w:rPr>
            </w:pPr>
          </w:p>
        </w:tc>
        <w:tc>
          <w:tcPr>
            <w:tcW w:w="1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11.03</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Expired</w:t>
            </w:r>
          </w:p>
        </w:tc>
        <w:tc>
          <w:tcPr>
            <w:tcW w:w="1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(50,131)</w:t>
            </w: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10.76</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56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640" w:type="dxa"/>
            <w:vAlign w:val="bottom"/>
          </w:tcPr>
          <w:p>
            <w:pPr>
              <w:spacing w:after="0" w:line="182" w:lineRule="exact"/>
              <w:rPr>
                <w:sz w:val="20"/>
                <w:szCs w:val="20"/>
                <w:color w:val="auto"/>
              </w:rPr>
            </w:pPr>
            <w:r>
              <w:rPr>
                <w:rFonts w:ascii="Arial" w:cs="Arial" w:eastAsia="Arial" w:hAnsi="Arial"/>
                <w:sz w:val="18"/>
                <w:szCs w:val="18"/>
                <w:color w:val="auto"/>
              </w:rPr>
              <w:t>Options outstanding on March 31, 2024</w:t>
            </w:r>
          </w:p>
        </w:tc>
        <w:tc>
          <w:tcPr>
            <w:tcW w:w="17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701,849</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10.98</w:t>
            </w:r>
          </w:p>
        </w:tc>
        <w:tc>
          <w:tcPr>
            <w:tcW w:w="15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4.95</w:t>
            </w:r>
          </w:p>
        </w:tc>
      </w:tr>
      <w:tr>
        <w:trPr>
          <w:trHeight w:val="20"/>
        </w:trPr>
        <w:tc>
          <w:tcPr>
            <w:tcW w:w="56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on March 31, 2024</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535,805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198"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leases retail stores, manufacturing, distribution, engineering, and research and development facilities, office space, equipment, and automobiles under operating lease agreements. Leases have remaining lease terms of one to 11 years, inclusive of renewal options that the Company is reasonably certain to exercise.</w:t>
      </w:r>
    </w:p>
    <w:p>
      <w:pPr>
        <w:spacing w:after="0" w:line="155"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operating lease assets and obligations, and provides information associated with the measurement of operating lease obligations.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As of</w:t>
            </w:r>
          </w:p>
        </w:tc>
        <w:tc>
          <w:tcPr>
            <w:tcW w:w="13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77"/>
        </w:trPr>
        <w:tc>
          <w:tcPr>
            <w:tcW w:w="5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90"/>
              <w:spacing w:after="0" w:line="177" w:lineRule="exact"/>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5"/>
                <w:szCs w:val="15"/>
                <w:color w:val="auto"/>
              </w:rPr>
            </w:pPr>
          </w:p>
        </w:tc>
      </w:tr>
      <w:tr>
        <w:trPr>
          <w:trHeight w:val="221"/>
        </w:trPr>
        <w:tc>
          <w:tcPr>
            <w:tcW w:w="5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March 31, 2024</w:t>
            </w:r>
          </w:p>
        </w:tc>
        <w:tc>
          <w:tcPr>
            <w:tcW w:w="14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Operating right of use assets</w:t>
            </w: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28,481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29,250</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Current operating lease liabilities - Accrued liabilities</w:t>
            </w: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4,476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4,948</w:t>
            </w:r>
          </w:p>
        </w:tc>
      </w:tr>
      <w:tr>
        <w:trPr>
          <w:trHeight w:val="203"/>
        </w:trPr>
        <w:tc>
          <w:tcPr>
            <w:tcW w:w="580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operating lease liabilities</w:t>
            </w:r>
          </w:p>
        </w:tc>
        <w:tc>
          <w:tcPr>
            <w:tcW w:w="1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25,266</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25,177</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580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15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29,742</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30,125</w:t>
            </w:r>
          </w:p>
        </w:tc>
      </w:tr>
      <w:tr>
        <w:trPr>
          <w:trHeight w:val="20"/>
        </w:trPr>
        <w:tc>
          <w:tcPr>
            <w:tcW w:w="5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58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Lease term and discount rate</w:t>
            </w: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7.2</w:t>
            </w:r>
          </w:p>
        </w:tc>
        <w:tc>
          <w:tcPr>
            <w:tcW w:w="14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7.2</w:t>
            </w:r>
          </w:p>
        </w:tc>
      </w:tr>
      <w:tr>
        <w:trPr>
          <w:trHeight w:val="203"/>
        </w:trPr>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Weighted average discount rate</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6.35%</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6.21%</w:t>
            </w:r>
          </w:p>
        </w:tc>
      </w:tr>
    </w:tbl>
    <w:p>
      <w:pPr>
        <w:spacing w:after="0" w:line="184"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following summarizes the components of operating lease expense and provides supplemental cash flow information for operating leases: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thirteen weeks ended</w:t>
            </w: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March 31, 2024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April 2, 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lease expense:</w:t>
            </w: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Operating lease expense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2,145</w:t>
            </w: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1,586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Short-term lease expense</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512</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Variable lease expense</w:t>
            </w: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152</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lease expense</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2,250</w:t>
            </w:r>
          </w:p>
        </w:tc>
        <w:tc>
          <w:tcPr>
            <w:tcW w:w="240" w:type="dxa"/>
            <w:vAlign w:val="bottom"/>
          </w:tcPr>
          <w:p>
            <w:pPr>
              <w:spacing w:after="0"/>
              <w:rPr>
                <w:sz w:val="20"/>
                <w:szCs w:val="20"/>
                <w:color w:val="auto"/>
              </w:rPr>
            </w:pPr>
          </w:p>
        </w:tc>
      </w:tr>
      <w:tr>
        <w:trPr>
          <w:trHeight w:val="183"/>
        </w:trPr>
        <w:tc>
          <w:tcPr>
            <w:tcW w:w="340" w:type="dxa"/>
            <w:vAlign w:val="bottom"/>
          </w:tcPr>
          <w:p>
            <w:pPr>
              <w:spacing w:after="0"/>
              <w:rPr>
                <w:sz w:val="15"/>
                <w:szCs w:val="15"/>
                <w:color w:val="auto"/>
              </w:rPr>
            </w:pPr>
          </w:p>
        </w:tc>
        <w:tc>
          <w:tcPr>
            <w:tcW w:w="7360" w:type="dxa"/>
            <w:vAlign w:val="bottom"/>
            <w:tcBorders>
              <w:top w:val="single" w:sz="8" w:color="CCEEFF"/>
            </w:tcBorders>
          </w:tcPr>
          <w:p>
            <w:pPr>
              <w:spacing w:after="0" w:line="183" w:lineRule="exact"/>
              <w:rPr>
                <w:sz w:val="20"/>
                <w:szCs w:val="20"/>
                <w:color w:val="auto"/>
              </w:rPr>
            </w:pPr>
            <w:r>
              <w:rPr>
                <w:rFonts w:ascii="Arial" w:cs="Arial" w:eastAsia="Arial" w:hAnsi="Arial"/>
                <w:sz w:val="18"/>
                <w:szCs w:val="18"/>
                <w:b w:val="1"/>
                <w:bCs w:val="1"/>
                <w:color w:val="auto"/>
              </w:rPr>
              <w:t>Supplemental cash flow information related to leases:</w:t>
            </w: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40" w:type="dxa"/>
            <w:vAlign w:val="bottom"/>
          </w:tcPr>
          <w:p>
            <w:pPr>
              <w:spacing w:after="0"/>
              <w:rPr>
                <w:sz w:val="17"/>
                <w:szCs w:val="17"/>
                <w:color w:val="auto"/>
              </w:rPr>
            </w:pPr>
          </w:p>
        </w:tc>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amounts included in measurement of operating lease liabilities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1,849</w:t>
            </w:r>
          </w:p>
        </w:tc>
        <w:tc>
          <w:tcPr>
            <w:tcW w:w="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1,751</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360" w:type="dxa"/>
            <w:vAlign w:val="bottom"/>
          </w:tcPr>
          <w:p>
            <w:pPr>
              <w:spacing w:after="0" w:line="202"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12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Decapitalization of right-of-use assets upon lease termination or modification</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423"/>
        </w:trPr>
        <w:tc>
          <w:tcPr>
            <w:tcW w:w="340" w:type="dxa"/>
            <w:vAlign w:val="bottom"/>
          </w:tcPr>
          <w:p>
            <w:pPr>
              <w:spacing w:after="0"/>
              <w:rPr>
                <w:sz w:val="24"/>
                <w:szCs w:val="24"/>
                <w:color w:val="auto"/>
              </w:rPr>
            </w:pPr>
          </w:p>
        </w:tc>
        <w:tc>
          <w:tcPr>
            <w:tcW w:w="7360" w:type="dxa"/>
            <w:vAlign w:val="bottom"/>
          </w:tcPr>
          <w:p>
            <w:pPr>
              <w:ind w:left="518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7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9060" w:type="dxa"/>
            <w:vAlign w:val="bottom"/>
          </w:tcPr>
          <w:p>
            <w:pPr>
              <w:spacing w:after="0"/>
              <w:rPr>
                <w:sz w:val="20"/>
                <w:szCs w:val="20"/>
                <w:color w:val="auto"/>
              </w:rPr>
            </w:pPr>
            <w:r>
              <w:rPr>
                <w:rFonts w:ascii="Arial" w:cs="Arial" w:eastAsia="Arial" w:hAnsi="Arial"/>
                <w:sz w:val="18"/>
                <w:szCs w:val="18"/>
                <w:color w:val="auto"/>
              </w:rPr>
              <w:t>The following table summarizes the maturities of the Company's operating lease liabilities as of March 31, 2024:</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5"/>
        </w:trPr>
        <w:tc>
          <w:tcPr>
            <w:tcW w:w="9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 (excluding the thirteen weeks ended March 31, 2024)</w:t>
            </w:r>
          </w:p>
        </w:tc>
        <w:tc>
          <w:tcPr>
            <w:tcW w:w="5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4,857</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5,289</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4,814</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4,807</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4,568</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12,896</w:t>
            </w:r>
          </w:p>
        </w:tc>
      </w:tr>
      <w:tr>
        <w:trPr>
          <w:trHeight w:val="20"/>
        </w:trPr>
        <w:tc>
          <w:tcPr>
            <w:tcW w:w="9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37,231</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(7,489)</w:t>
            </w:r>
          </w:p>
        </w:tc>
      </w:tr>
      <w:tr>
        <w:trPr>
          <w:trHeight w:val="20"/>
        </w:trPr>
        <w:tc>
          <w:tcPr>
            <w:tcW w:w="9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520" w:type="dxa"/>
            <w:vAlign w:val="bottom"/>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29,742</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right="7560" w:hanging="332"/>
        <w:spacing w:after="0" w:line="469" w:lineRule="auto"/>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as well as the putative securities class action described below. While the lawsuits and claims against the Company cannot be predicted with certainty, management believes that the ultimate resolution of such matters will not have a material effect on the consolidated financial position or liquidity of the Company; however, in light of the inherent uncertainties involved in such lawsuits and claims, some of which may be beyond the Company’s control, an adverse outcome in one or more of these matters could be material to the Company’s results of operations or cash flows for any particular reporting period. The Company has established loss provision for matters in which losses are probable and can be reasonably estimated. Although management will continue to reassess the estimated liability based on future developments, an objective assessment of such claims may not always be predictive of the outcome and actual results may vary from current estimates.</w:t>
      </w:r>
    </w:p>
    <w:p>
      <w:pPr>
        <w:spacing w:after="0" w:line="166"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 xml:space="preserve">A putative securities class action was filed on </w:t>
      </w:r>
      <w:r>
        <w:rPr>
          <w:rFonts w:ascii="Arial" w:cs="Arial" w:eastAsia="Arial" w:hAnsi="Arial"/>
          <w:sz w:val="18"/>
          <w:szCs w:val="18"/>
          <w:i w:val="1"/>
          <w:iCs w:val="1"/>
          <w:color w:val="auto"/>
        </w:rPr>
        <w:t>November 6, 2023,</w:t>
      </w:r>
      <w:r>
        <w:rPr>
          <w:rFonts w:ascii="Arial" w:cs="Arial" w:eastAsia="Arial" w:hAnsi="Arial"/>
          <w:sz w:val="18"/>
          <w:szCs w:val="18"/>
          <w:color w:val="auto"/>
        </w:rPr>
        <w:t xml:space="preserve"> against the Company, Tom Tomlinson (the Company’s former Director, President, and Chief Executive Officer), and Dominic Bardos (the Company’s former Chief Financial Officer) in the United States District Court for the Western District of Kentucky (the “Complaint”) and is captioned City of Fort Lauderdale General Employees’ Retirement System v. Holley, Inc., f/k/a Empower LTD., Tom Tomlinson, and Dominic Bardos, Civil Action </w:t>
      </w:r>
      <w:r>
        <w:rPr>
          <w:rFonts w:ascii="Arial" w:cs="Arial" w:eastAsia="Arial" w:hAnsi="Arial"/>
          <w:sz w:val="18"/>
          <w:szCs w:val="18"/>
          <w:i w:val="1"/>
          <w:iCs w:val="1"/>
          <w:color w:val="auto"/>
        </w:rPr>
        <w:t>No. 1:23</w:t>
      </w:r>
      <w:r>
        <w:rPr>
          <w:rFonts w:ascii="Arial" w:cs="Arial" w:eastAsia="Arial" w:hAnsi="Arial"/>
          <w:sz w:val="18"/>
          <w:szCs w:val="18"/>
          <w:color w:val="auto"/>
        </w:rPr>
        <w:t>-cv-</w:t>
      </w:r>
      <w:r>
        <w:rPr>
          <w:rFonts w:ascii="Arial" w:cs="Arial" w:eastAsia="Arial" w:hAnsi="Arial"/>
          <w:sz w:val="18"/>
          <w:szCs w:val="18"/>
          <w:i w:val="1"/>
          <w:iCs w:val="1"/>
          <w:color w:val="auto"/>
        </w:rPr>
        <w:t>148</w:t>
      </w:r>
      <w:r>
        <w:rPr>
          <w:rFonts w:ascii="Arial" w:cs="Arial" w:eastAsia="Arial" w:hAnsi="Arial"/>
          <w:sz w:val="18"/>
          <w:szCs w:val="18"/>
          <w:color w:val="auto"/>
        </w:rPr>
        <w:t>-S.</w:t>
      </w:r>
    </w:p>
    <w:p>
      <w:pPr>
        <w:spacing w:after="0" w:line="160"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On February 26, 2024, the court appointed City of Fort Lauderdale General Employees’ Retirement System to serve as lead plaintiff to prosecute claims on behalf of a proposed class of stockholders who purchased or otherwise acquired Holley securities between </w:t>
      </w:r>
      <w:r>
        <w:rPr>
          <w:rFonts w:ascii="Arial" w:cs="Arial" w:eastAsia="Arial" w:hAnsi="Arial"/>
          <w:sz w:val="18"/>
          <w:szCs w:val="18"/>
          <w:i w:val="1"/>
          <w:iCs w:val="1"/>
          <w:color w:val="auto"/>
        </w:rPr>
        <w:t>July 21,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2021 </w:t>
      </w:r>
      <w:r>
        <w:rPr>
          <w:rFonts w:ascii="Arial" w:cs="Arial" w:eastAsia="Arial" w:hAnsi="Arial"/>
          <w:sz w:val="18"/>
          <w:szCs w:val="18"/>
          <w:color w:val="auto"/>
        </w:rPr>
        <w:t>and</w:t>
      </w:r>
      <w:r>
        <w:rPr>
          <w:rFonts w:ascii="Arial" w:cs="Arial" w:eastAsia="Arial" w:hAnsi="Arial"/>
          <w:sz w:val="18"/>
          <w:szCs w:val="18"/>
          <w:i w:val="1"/>
          <w:iCs w:val="1"/>
          <w:color w:val="auto"/>
        </w:rPr>
        <w:t xml:space="preserve"> February 6, 2023. </w:t>
      </w:r>
      <w:r>
        <w:rPr>
          <w:rFonts w:ascii="Arial" w:cs="Arial" w:eastAsia="Arial" w:hAnsi="Arial"/>
          <w:sz w:val="18"/>
          <w:szCs w:val="18"/>
          <w:color w:val="auto"/>
        </w:rPr>
        <w:t>On April 26, 2024, lead plaintiff filed an amended complaint, adding Vinod Nimmagadda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Executive Vice President of Corporate Development and New Ventures) as a defendant. Lead plaintiff alleges that statements made regarding the Company’s business, operations, and prospects violated Sections </w:t>
      </w:r>
      <w:r>
        <w:rPr>
          <w:rFonts w:ascii="Arial" w:cs="Arial" w:eastAsia="Arial" w:hAnsi="Arial"/>
          <w:sz w:val="18"/>
          <w:szCs w:val="18"/>
          <w:i w:val="1"/>
          <w:iCs w:val="1"/>
          <w:color w:val="auto"/>
        </w:rPr>
        <w:t>10</w:t>
      </w:r>
      <w:r>
        <w:rPr>
          <w:rFonts w:ascii="Arial" w:cs="Arial" w:eastAsia="Arial" w:hAnsi="Arial"/>
          <w:sz w:val="18"/>
          <w:szCs w:val="18"/>
          <w:color w:val="auto"/>
        </w:rPr>
        <w:t xml:space="preserve">(b), Section </w:t>
      </w:r>
      <w:r>
        <w:rPr>
          <w:rFonts w:ascii="Arial" w:cs="Arial" w:eastAsia="Arial" w:hAnsi="Arial"/>
          <w:sz w:val="18"/>
          <w:szCs w:val="18"/>
          <w:i w:val="1"/>
          <w:iCs w:val="1"/>
          <w:color w:val="auto"/>
        </w:rPr>
        <w:t>20</w:t>
      </w:r>
      <w:r>
        <w:rPr>
          <w:rFonts w:ascii="Arial" w:cs="Arial" w:eastAsia="Arial" w:hAnsi="Arial"/>
          <w:sz w:val="18"/>
          <w:szCs w:val="18"/>
          <w:color w:val="auto"/>
        </w:rPr>
        <w:t xml:space="preserve">(a) and Rule </w:t>
      </w:r>
      <w:r>
        <w:rPr>
          <w:rFonts w:ascii="Arial" w:cs="Arial" w:eastAsia="Arial" w:hAnsi="Arial"/>
          <w:sz w:val="18"/>
          <w:szCs w:val="18"/>
          <w:i w:val="1"/>
          <w:iCs w:val="1"/>
          <w:color w:val="auto"/>
        </w:rPr>
        <w:t>10b</w:t>
      </w:r>
      <w:r>
        <w:rPr>
          <w:rFonts w:ascii="Arial" w:cs="Arial" w:eastAsia="Arial" w:hAnsi="Arial"/>
          <w:sz w:val="18"/>
          <w:szCs w:val="18"/>
          <w:color w:val="auto"/>
        </w:rPr>
        <w:t>-</w:t>
      </w:r>
      <w:r>
        <w:rPr>
          <w:rFonts w:ascii="Arial" w:cs="Arial" w:eastAsia="Arial" w:hAnsi="Arial"/>
          <w:sz w:val="18"/>
          <w:szCs w:val="18"/>
          <w:i w:val="1"/>
          <w:iCs w:val="1"/>
          <w:color w:val="auto"/>
        </w:rPr>
        <w:t>5</w:t>
      </w:r>
      <w:r>
        <w:rPr>
          <w:rFonts w:ascii="Arial" w:cs="Arial" w:eastAsia="Arial" w:hAnsi="Arial"/>
          <w:sz w:val="18"/>
          <w:szCs w:val="18"/>
          <w:color w:val="auto"/>
        </w:rPr>
        <w:t xml:space="preserve"> of the Securities Exchange Act of </w:t>
      </w:r>
      <w:r>
        <w:rPr>
          <w:rFonts w:ascii="Arial" w:cs="Arial" w:eastAsia="Arial" w:hAnsi="Arial"/>
          <w:sz w:val="18"/>
          <w:szCs w:val="18"/>
          <w:i w:val="1"/>
          <w:iCs w:val="1"/>
          <w:color w:val="auto"/>
        </w:rPr>
        <w:t>1934</w:t>
      </w:r>
      <w:r>
        <w:rPr>
          <w:rFonts w:ascii="Arial" w:cs="Arial" w:eastAsia="Arial" w:hAnsi="Arial"/>
          <w:sz w:val="18"/>
          <w:szCs w:val="18"/>
          <w:color w:val="auto"/>
        </w:rPr>
        <w:t xml:space="preserve"> and seeks class certification, damages, interest, attorneys’ fees, and other relief. The Company’s response to the amended complaint is due by June 28, 2024.</w:t>
      </w:r>
    </w:p>
    <w:p>
      <w:pPr>
        <w:spacing w:after="0" w:line="171"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Due to the early stage of this proceeding, we cannot reasonably estimate the potential range of loss, if any. The Company disputes the allegations and intends to vigorously defend against them.</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9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55"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condensed consolidated balance sheets.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7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March 31, 2024</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April 2, 2023</w:t>
            </w:r>
          </w:p>
        </w:tc>
        <w:tc>
          <w:tcPr>
            <w:tcW w:w="100" w:type="dxa"/>
            <w:vAlign w:val="bottom"/>
          </w:tcPr>
          <w:p>
            <w:pPr>
              <w:spacing w:after="0"/>
              <w:rPr>
                <w:sz w:val="17"/>
                <w:szCs w:val="17"/>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3,325</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3,584</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Accrued for current year warranty claims</w:t>
            </w: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3,343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2,954</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 of warranty claims</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(3,357)</w:t>
            </w:r>
          </w:p>
        </w:tc>
      </w:tr>
      <w:tr>
        <w:trPr>
          <w:trHeight w:val="20"/>
        </w:trPr>
        <w:tc>
          <w:tcPr>
            <w:tcW w:w="7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line="182" w:lineRule="exact"/>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4,771</w:t>
            </w:r>
          </w:p>
        </w:tc>
        <w:tc>
          <w:tcPr>
            <w:tcW w:w="120" w:type="dxa"/>
            <w:vAlign w:val="bottom"/>
          </w:tcPr>
          <w:p>
            <w:pPr>
              <w:spacing w:after="0"/>
              <w:rPr>
                <w:sz w:val="17"/>
                <w:szCs w:val="17"/>
                <w:color w:val="auto"/>
              </w:rPr>
            </w:pPr>
          </w:p>
        </w:tc>
        <w:tc>
          <w:tcPr>
            <w:tcW w:w="2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3,181</w:t>
            </w:r>
          </w:p>
        </w:tc>
      </w:tr>
      <w:tr>
        <w:trPr>
          <w:trHeight w:val="20"/>
        </w:trPr>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Savings Plans</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 has a defined-contribution savings plan under Section 401(k) of the Internal Revenue Code that covers United States-based employees.United States-based eligible employees may contribute up to the current statutory limits under the Internal Revenue Service regulations. Holley matches employee contributions to the 401(k) Plan up to 3.5% each pay period, and an additional discretionary match of up to 1.5% is made based on company performance targets. The Company also has defined-contribution saving plan for Canada-based employees. Canada-based eligible employees may contribute up to the current statutory limits for a Registered Retirement Savings Plan. Holley matches employee contributions to the Group Savings Plan up to 3.0% each pay period, and an additional discretionary match of up to 1.5% is made based on company performance targets.</w:t>
      </w:r>
    </w:p>
    <w:p>
      <w:pPr>
        <w:spacing w:after="0" w:line="171" w:lineRule="exact"/>
        <w:rPr>
          <w:sz w:val="20"/>
          <w:szCs w:val="20"/>
          <w:color w:val="auto"/>
        </w:rPr>
      </w:pPr>
    </w:p>
    <w:p>
      <w:pPr>
        <w:jc w:val="both"/>
        <w:ind w:left="340" w:right="20"/>
        <w:spacing w:after="0" w:line="271" w:lineRule="auto"/>
        <w:rPr>
          <w:sz w:val="20"/>
          <w:szCs w:val="20"/>
          <w:color w:val="auto"/>
        </w:rPr>
      </w:pPr>
      <w:r>
        <w:rPr>
          <w:rFonts w:ascii="Arial" w:cs="Arial" w:eastAsia="Arial" w:hAnsi="Arial"/>
          <w:sz w:val="18"/>
          <w:szCs w:val="18"/>
          <w:color w:val="auto"/>
        </w:rPr>
        <w:t>During the 13-week periods ended March 31, 2024 and April 2, 2023, the Company made matching contributions under the savings plans totaling $616 and $575,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Unless the context requires otherwise, references to </w:t>
      </w:r>
      <w:r>
        <w:rPr>
          <w:rFonts w:ascii="Arial" w:cs="Arial" w:eastAsia="Arial" w:hAnsi="Arial"/>
          <w:sz w:val="18"/>
          <w:szCs w:val="18"/>
          <w:color w:val="auto"/>
        </w:rPr>
        <w:t>“</w:t>
      </w:r>
      <w:r>
        <w:rPr>
          <w:rFonts w:ascii="Arial" w:cs="Arial" w:eastAsia="Arial" w:hAnsi="Arial"/>
          <w:sz w:val="18"/>
          <w:szCs w:val="18"/>
          <w:i w:val="1"/>
          <w:iCs w:val="1"/>
          <w:color w:val="auto"/>
        </w:rPr>
        <w:t>Holley,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section are to the business and operations of Holley Inc. and its subsidiaries unless the context otherwise indicates. The following discussion and analysis should be read in conjunction with Holley</w:t>
      </w:r>
      <w:r>
        <w:rPr>
          <w:rFonts w:ascii="Arial" w:cs="Arial" w:eastAsia="Arial" w:hAnsi="Arial"/>
          <w:sz w:val="18"/>
          <w:szCs w:val="18"/>
          <w:color w:val="auto"/>
        </w:rPr>
        <w:t>’</w:t>
      </w:r>
      <w:r>
        <w:rPr>
          <w:rFonts w:ascii="Arial" w:cs="Arial" w:eastAsia="Arial" w:hAnsi="Arial"/>
          <w:sz w:val="18"/>
          <w:szCs w:val="18"/>
          <w:i w:val="1"/>
          <w:iCs w:val="1"/>
          <w:color w:val="auto"/>
        </w:rPr>
        <w:t>s condensed consolidated financial statements and related notes thereto included in this Quarterly Report on Form 10-Q. In addition to historical information, this discussion contains forward-looking statements that involve risks, uncertainties, and assumptions that could cause Holley</w:t>
      </w:r>
      <w:r>
        <w:rPr>
          <w:rFonts w:ascii="Arial" w:cs="Arial" w:eastAsia="Arial" w:hAnsi="Arial"/>
          <w:sz w:val="18"/>
          <w:szCs w:val="18"/>
          <w:color w:val="auto"/>
        </w:rPr>
        <w:t>’</w:t>
      </w:r>
      <w:r>
        <w:rPr>
          <w:rFonts w:ascii="Arial" w:cs="Arial" w:eastAsia="Arial" w:hAnsi="Arial"/>
          <w:sz w:val="18"/>
          <w:szCs w:val="18"/>
          <w:i w:val="1"/>
          <w:iCs w:val="1"/>
          <w:color w:val="auto"/>
        </w:rPr>
        <w:t>s actual results to differ materially from 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expectations. Factors that could cause such differences are discussed herein and under the caption,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 leading designer, marketer, and manufacturer of high performance automotive aftermarket products serving car and truck enthusiasts, with sales, processing, and distribution facilities reaching most major markets in the United States, Canada, Europe and China. We design, market, manufacture and distribute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Innovation is at the core of our business and growth strategy.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we have historically used strategic acquisitions to (i) expand our brand portfolio, (ii) enter new product categories and consumer segments, (iii) increase direct-to-consumer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above, under the caption, "Cautionary Note Regarding Forward-Looking Statements," in this Quarterly Report on Form 10-Q, under the caption, “Risk Factors,” in our Annual Report on Form 10-K for the year ended December 31, 2023, as filed with the SEC on March 14, 2024, and in our subsequent filings with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business and results of operations, financial condition, and liquidity are impacted by broad economic conditions, as well as by geopolitical events, including the conflict in Ukraine, the conflict in the Middle East, and the possible expansion of such conflicts and potential geopolitical consequences. Our business is impacted by various economic factors that affect both consumers and the automotive industry, including by not limited to inflation, fuel costs, wage rates, supply chain disruptions, hiring, and other economic conditions. In response to inflationary impacts and supply chain disruptions, we have attempted to minimize potential adverse impacts on our business with cost savings initiatives, price increases to customers, and increased attention to maintaining appropriate inventory levels in the distribution channel. Our profitability has been, and may continue to be, adversely affected by constrained consumer demand, a shift in sales to lower-margin products, and demands on our performance that increase our costs. Should the ongoing macroeconomic conditions not improve, or worsen, or if our attempt to mitigate the impact on our supply chain, operations and costs is not successful, our business, results of operations and financial condition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activity from which we generate sales is the designing, marketing, manufacturing and distribution of performance after-market automotive parts for our end consumers. Sales are displayed net of rebates and sales returns allowances. Sales returns are recorded as a charge against gross sales in the period in which the related sales are recognized.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costs consist of payroll and related personnel expenses, IT and office services, office rent expense and professional services. In addition, self-insurance, advertising, research and development, outgoing shipping costs, pre-production and start-up costs are also included within selling, general, and administrative.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Restructuring costs include charges attributable to operational restructuring and integration activities, including professional and consulting services; termination related benefits; facilities relocation; and executive transition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expense consists of interest due on the indebtedness under our credit facilities. Interest is based on SOFR or the base rate, at the Company's election, plus the applicable margin rate. As of March 31, 2024, $575.9 million was outstanding under our Credit Agreement.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March 31, 2024 Compared With 13-Week Period Ended April 2, 2023</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presents Holley’s results of operations for the 13-week periods ended March 31, 2024 and April 2, 2023 (dollars in thousands):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For the thirteen weeks ended</w:t>
            </w:r>
          </w:p>
        </w:tc>
        <w:tc>
          <w:tcPr>
            <w:tcW w:w="1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77"/>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20"/>
              <w:spacing w:after="0" w:line="177" w:lineRule="exact"/>
              <w:rPr>
                <w:sz w:val="20"/>
                <w:szCs w:val="20"/>
                <w:color w:val="auto"/>
              </w:rPr>
            </w:pPr>
            <w:r>
              <w:rPr>
                <w:rFonts w:ascii="Arial" w:cs="Arial" w:eastAsia="Arial" w:hAnsi="Arial"/>
                <w:sz w:val="18"/>
                <w:szCs w:val="18"/>
                <w:color w:val="auto"/>
                <w:w w:val="99"/>
              </w:rPr>
              <w:t>March 31,</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5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8"/>
              </w:rPr>
              <w:t>April 2, 2023</w:t>
            </w:r>
          </w:p>
        </w:tc>
        <w:tc>
          <w:tcPr>
            <w:tcW w:w="200" w:type="dxa"/>
            <w:vAlign w:val="bottom"/>
          </w:tcPr>
          <w:p>
            <w:pPr>
              <w:spacing w:after="0"/>
              <w:rPr>
                <w:sz w:val="19"/>
                <w:szCs w:val="19"/>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Change ($)</w:t>
            </w:r>
          </w:p>
        </w:tc>
        <w:tc>
          <w:tcPr>
            <w:tcW w:w="200" w:type="dxa"/>
            <w:vAlign w:val="bottom"/>
          </w:tcPr>
          <w:p>
            <w:pPr>
              <w:spacing w:after="0"/>
              <w:rPr>
                <w:sz w:val="19"/>
                <w:szCs w:val="19"/>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Change (%)</w:t>
            </w:r>
          </w:p>
        </w:tc>
        <w:tc>
          <w:tcPr>
            <w:tcW w:w="240" w:type="dxa"/>
            <w:vAlign w:val="bottom"/>
          </w:tcPr>
          <w:p>
            <w:pPr>
              <w:spacing w:after="0"/>
              <w:rPr>
                <w:sz w:val="19"/>
                <w:szCs w:val="19"/>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158,636</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172,205</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(13,569)</w:t>
            </w:r>
          </w:p>
        </w:tc>
        <w:tc>
          <w:tcPr>
            <w:tcW w:w="1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(7.9)%</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106,577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104,492</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2,085</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w:t>
            </w:r>
          </w:p>
        </w:tc>
      </w:tr>
      <w:tr>
        <w:trPr>
          <w:trHeight w:val="20"/>
        </w:trPr>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52,059</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67,713</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(15,654)</w:t>
            </w:r>
          </w:p>
        </w:tc>
        <w:tc>
          <w:tcPr>
            <w:tcW w:w="1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(23.1)%</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32,996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30,017</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2,979</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9.9%</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4,812</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6,653</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(1,841)</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(27.7)%</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3,436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3,679</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(243)</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w:t>
            </w:r>
          </w:p>
        </w:tc>
      </w:tr>
      <w:tr>
        <w:trPr>
          <w:trHeight w:val="202"/>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1,339</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(724)</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(54.1)%</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Other operating expense</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51</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(59)</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
        </w:trPr>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10,208</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25,974</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(15,766)</w:t>
            </w:r>
          </w:p>
        </w:tc>
        <w:tc>
          <w:tcPr>
            <w:tcW w:w="1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(60.7)%</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(3,127)</w:t>
            </w: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1,435</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(4,562)</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(649)</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428</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(1,077)</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141</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11,004</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18,298</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(7,294)</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(39.9)%</w:t>
            </w:r>
          </w:p>
        </w:tc>
      </w:tr>
      <w:tr>
        <w:trPr>
          <w:trHeight w:val="20"/>
        </w:trPr>
        <w:tc>
          <w:tcPr>
            <w:tcW w:w="5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2,839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5,813</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(2,974)</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(51.2)%</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(891)</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1,566</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(2,457)</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(156.9)%</w:t>
            </w:r>
          </w:p>
        </w:tc>
      </w:tr>
      <w:tr>
        <w:trPr>
          <w:trHeight w:val="20"/>
        </w:trPr>
        <w:tc>
          <w:tcPr>
            <w:tcW w:w="5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3,730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4,247</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(517)</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(12.2)%</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(186)</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(199)</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(6.5)%</w:t>
            </w:r>
          </w:p>
        </w:tc>
      </w:tr>
      <w:tr>
        <w:trPr>
          <w:trHeight w:val="20"/>
        </w:trPr>
        <w:tc>
          <w:tcPr>
            <w:tcW w:w="5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82" w:lineRule="exact"/>
              <w:rPr>
                <w:sz w:val="20"/>
                <w:szCs w:val="20"/>
                <w:color w:val="auto"/>
              </w:rPr>
            </w:pPr>
            <w:r>
              <w:rPr>
                <w:rFonts w:ascii="Arial" w:cs="Arial" w:eastAsia="Arial" w:hAnsi="Arial"/>
                <w:sz w:val="18"/>
                <w:szCs w:val="18"/>
                <w:color w:val="auto"/>
              </w:rPr>
              <w:t>Total comprehensive income</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3,544</w:t>
            </w:r>
          </w:p>
        </w:tc>
        <w:tc>
          <w:tcPr>
            <w:tcW w:w="180" w:type="dxa"/>
            <w:vAlign w:val="bottom"/>
          </w:tcPr>
          <w:p>
            <w:pPr>
              <w:spacing w:after="0"/>
              <w:rPr>
                <w:sz w:val="17"/>
                <w:szCs w:val="17"/>
                <w:color w:val="auto"/>
              </w:rPr>
            </w:pPr>
          </w:p>
        </w:tc>
        <w:tc>
          <w:tcPr>
            <w:tcW w:w="2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4,048</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(504)</w:t>
            </w:r>
          </w:p>
        </w:tc>
        <w:tc>
          <w:tcPr>
            <w:tcW w:w="12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(12.5)%</w:t>
            </w: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Net sales for the 13-week period ended March 31, 2024 decreased $13.6 million, or 7.9%, to $158.6 million, as compared to $172.2 million for the 13-week period ended April 2, 2023. Lower sales volume resulted in a decrease of approximately $16.7 million, offset partially by improved price realization of approximately $3.1 million compared to the prior year period. Major categories driving the comparable year-over-year results include a decrease in mechanical systems sales of $4.9 million (11.4% category decline), a decrease in electronic systems sales of $4.9 million (7.1% category decline), and a decrease in accessories sales of $4.1 million (14.9% category decline).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 of goods sold for the 13-week period ended March 31, 2024 increased $2.1 million, or 2.0%, to $106.6 million, as compared to $104.5 million for the 13-week period ended April 2, 2023. The increase in cost of goods sold in 2024, a period in which product sales decreased 7.9%, was impacted by $9.1 million of product rationalization initiatives that are part of a portfolio transformation aimed at eliminating unprofitable or slow-moving stock keeping units ("SKUs"). Lower freight costs partially offset the impact of these charges.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profit for the 13-week period ended March 31, 2024 decreased $15.7 million, or 23.1%, to $52.1 million, as compared to $67.7 million for the 13-week period ended April 2, 2023. Gross margin for the 13-week period ended March 31, 2024 was 32.8% as compared to a gross margin of 39.3% for the 13-week period ended April 2, 2023. Gross profit margin declined primarily due to inventory charges driven by product rationalization initiatives, which was partially offset by improvements in freight costs. After adjusting for the $9.1 million of product rationalization and $0.6 million in other inventory charges, Adjusted Gross Margin for the quarter was 38.9% for the 13-week period ended March 31, 2024 compared to 39.3% for the 13-week period ended April 2, 2023. Gross profit was also negatively affected by lower sales volume.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Selling, general and administrative costs for the 13-week period ended March 31, 2024 increased $3.0 million, or 9.9%, to $33.0 million, as compared to $30.0 million for the 13-week period ended April 2, 2023. Selling, general and administrative costs expressed as a percentage of sales increased to 20.8% for the 13-week period ended March 31, 2024 compared to 17.4% for the 13-week period ended April 2, 2023. The increase in selling, general and administrative costs was driven by $0.7 million increase in equity compensation, a $2 million reserve related to litigation settlements, and certain costs incurred for advisory services related to identifying performance initiatives. These increases were partially offset by lower outbound shipping and handling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Research and development costs for the 13-week period ended March 31, 2024 decreased to $4.8 million as compared to $6.7 million for the 13-week period ended April 2, 2023, primarily due to headcount reductions, reflecting the implementation of cost-saving initiatives.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Amortization of intangible assets was $3.4 million for the 13-week period ended March 31, 2024 compared to $3.7 million for the 13-week period ended April 2,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Restructuring costs for the 13-week period ended March 31, 2024 decreased by $0.7 million to $0.6 million, as compared to $1.3 million for the 13-week period ended April 2, 2023, reflecting a reduction in restructuring and integration activities associated with acquisitions.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operating income for the 13-week period ended March 31, 2024 decreased $15.8 million, or 60.7%, to $10.2 million, as compared to $26.0 million for the 13-week period ended April 2,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13-week period ended March 31, 2024, we recognized a gain of $3.1 million from the change in fair value of the warrant liability. For the 13-week period ended April 2, 2023, we recognized a loss of $1.4 million from the change in fair value of the warrant liability. The warrant liability reflects the fair value of the Warrants issued in connection with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13-week period ended March 31, 2024, we recognized a gain of $0.7 million from the change in fair value of the earn-out liability. For the 13-week period ended April 2, 2023, we recognized a loss of $0.4 million, from the change in fair value of the earn-out liability. The earn-out liability reflects the fair value of the unvested Earn-Out Shares resulting from the Business Combination.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for the 13-week period ended March 31, 2024 decreased $7.3 million, or 39.9%, to $ 11.0 million, as compared to $ 18.3 million for the 13-week period ended April 2, 2023, reflecting lower outstanding debt balances and the positive impact of the interest rate collar, offset in part by a higher effective interest rate on outstanding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we recognized $2.8 million of income before income taxes for the 13-week period ended March 31, 2024, as compared to income before income taxes of $5.8 million for the 13-week period ended April 2,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Income tax benefit for the 13-week period ended March 31, 2024 was $0.9 million, as compared to income tax expense of $1.6 million for the 13-week period ended April 2, 2023. Our effective tax rate for the 13-week period ended March 31, 2024 was -31.4%. The difference between the effective tax rate for the 13-week period ended March 31, 2024 and the federal statutory rate in 2024 was due to permanent differences related to changes in fair value of the warrant and earn-out liabilities recognized during the period, federal research and development tax credits, and the impact of foreign taxes in higher tax rate jurisdictions. In addition, the company incurred expenses related to product rationalization that were determined to be significant and infrequent in nature, therefore, the full tax benefit of these expenses was recorded during first quarter 2024 as a discrete adjustment. The effective tax rate for the 13-week period ended April 2, 2023 was 26.9%. The difference between the effective tax rate and the federal statutory rate in 2023 was primarily due to permanent differences resulting from the change in fair value of the warrant and earn-out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factors described above, we recognized net income of $3.7 million for the 13-week period ended March 31, 2024, as compared to net income of $4.3 million for the 13-week period ended April 2, 2023. Additionally, we recognized total comprehensive income of $3.5 million for the 13-week period ended March 31, 2024, as compared to total comprehensive income of $4.1 million for the 13-week period ended April 2, 2023. Comprehensive income includes the effect of foreign currency translation adjustments.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present certain information with respect to EBITDA, Adjusted EBITDA, Adjusted EBITDA Margin, Adjusted Gross Profit, Adjusted Gross Margin, Adjusted Net Income, Adjusted Diluted EPS, and Free Cash Flow as supplemental measures of our operating performance and believe that such non-GAAP financial measures are useful to investors in evaluating our financial performance and in comparing our financial results between periods because they exclude the impact of certain items that we do not consider indicative of our ongoing operating performance. We believe that the presentation of these non-GAAP financial measures enhances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EBITDA, Adjusted EBITDA, Adjusted EBITDA Margin, Adjusted Gross Profit, Adjusted Gross Margin, Adjusted Net Income, Adjusted Diluted EPS, and Free Cash Flow are not prepared in accordance with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our financial performance. These metrics should not be considered as alternatives to net income, gross profit, net cash provided by operating activities, or any other performance measures, as applicable, derived in accordance with GAAP.</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define EBITDA as earnings before depreciation, amortization of intangible assets, interest expense, and income tax expense. We define Adjusted EBITDA as EBITDA adjusted to exclude, to the extent applicable, restructuring costs, which includes operational restructuring and integration activities, termination related benefits, facilities relocation, and executive transition costs; changes in the fair value of the warrant liability; changes in the fair value of the earn-out liability; equity-based compensation expense; inventory charges primarily due to product rationalization initiatives that are part of a portfolio transformation aimed at eliminating unprofitable or slow-moving SKUs; gain or loss on the early extinguishment of debt; notable items that we do not believe are reflective of our underlying operating performance, including litigation settlements and certain costs incurred for advisory services related to identifying performance initiatives; and other expenses or gains, which includes gains or losses from disposal of fixed assets, franchise taxes, and gains or losses from foreign currency transactions. We define Adjusted EBITDA Margin as Adjusted EBITDA divided by net sales.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unaudited table presents the reconciliation of net income, the most directly comparable GAAP measure, to EBITDA, Adjusted EBITDA, and Adjusted EBITDA Margin for the 13-week periods ended March 31, 2024 and April 2, 2023 (dollars in thousands):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gridSpan w:val="5"/>
          </w:tcPr>
          <w:p>
            <w:pPr>
              <w:jc w:val="right"/>
              <w:ind w:right="62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5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31, 2024</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April 2, 2023</w:t>
            </w:r>
          </w:p>
        </w:tc>
        <w:tc>
          <w:tcPr>
            <w:tcW w:w="160" w:type="dxa"/>
            <w:vAlign w:val="bottom"/>
          </w:tcPr>
          <w:p>
            <w:pPr>
              <w:spacing w:after="0"/>
              <w:rPr>
                <w:sz w:val="17"/>
                <w:szCs w:val="17"/>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3,730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4,247</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Depreciation</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2,464</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2,485</w:t>
            </w:r>
          </w:p>
        </w:tc>
      </w:tr>
      <w:tr>
        <w:trPr>
          <w:trHeight w:val="203"/>
        </w:trPr>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intangible assets</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3,436</w:t>
            </w:r>
          </w:p>
        </w:tc>
        <w:tc>
          <w:tcPr>
            <w:tcW w:w="18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3,679</w:t>
            </w:r>
          </w:p>
        </w:tc>
      </w:tr>
      <w:tr>
        <w:trPr>
          <w:trHeight w:val="203"/>
        </w:trPr>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expense, net</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11,004</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18,298</w:t>
            </w:r>
          </w:p>
        </w:tc>
      </w:tr>
      <w:tr>
        <w:trPr>
          <w:trHeight w:val="203"/>
        </w:trPr>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Income tax expense</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(891)</w:t>
            </w:r>
          </w:p>
        </w:tc>
        <w:tc>
          <w:tcPr>
            <w:tcW w:w="18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1,566</w:t>
            </w: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20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19,743</w:t>
            </w: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30,275</w:t>
            </w:r>
          </w:p>
        </w:tc>
        <w:tc>
          <w:tcPr>
            <w:tcW w:w="160" w:type="dxa"/>
            <w:vAlign w:val="bottom"/>
            <w:shd w:val="clear" w:color="auto" w:fill="CCEEFF"/>
          </w:tcPr>
          <w:p>
            <w:pPr>
              <w:spacing w:after="0"/>
              <w:rPr>
                <w:sz w:val="17"/>
                <w:szCs w:val="17"/>
                <w:color w:val="auto"/>
              </w:rPr>
            </w:pPr>
          </w:p>
        </w:tc>
      </w:tr>
      <w:tr>
        <w:trPr>
          <w:trHeight w:val="203"/>
        </w:trPr>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(3,127)</w:t>
            </w:r>
          </w:p>
        </w:tc>
        <w:tc>
          <w:tcPr>
            <w:tcW w:w="18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1,435</w:t>
            </w:r>
          </w:p>
        </w:tc>
      </w:tr>
      <w:tr>
        <w:trPr>
          <w:trHeight w:val="203"/>
        </w:trPr>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Change in fair value of earn-out liability</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(649)</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428</w:t>
            </w:r>
          </w:p>
        </w:tc>
      </w:tr>
      <w:tr>
        <w:trPr>
          <w:trHeight w:val="203"/>
        </w:trPr>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Equity-based compensation expense</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1,141</w:t>
            </w:r>
          </w:p>
        </w:tc>
        <w:tc>
          <w:tcPr>
            <w:tcW w:w="18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394</w:t>
            </w:r>
          </w:p>
        </w:tc>
      </w:tr>
      <w:tr>
        <w:trPr>
          <w:trHeight w:val="203"/>
        </w:trPr>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Inventory charges</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9,713</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Loss on early extinguishment of debt</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141</w:t>
            </w:r>
          </w:p>
        </w:tc>
        <w:tc>
          <w:tcPr>
            <w:tcW w:w="18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Restructuring costs</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615</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1,339</w:t>
            </w:r>
          </w:p>
        </w:tc>
      </w:tr>
      <w:tr>
        <w:trPr>
          <w:trHeight w:val="203"/>
        </w:trPr>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Notable items</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3,100</w:t>
            </w:r>
          </w:p>
        </w:tc>
        <w:tc>
          <w:tcPr>
            <w:tcW w:w="18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w:t>
            </w:r>
          </w:p>
        </w:tc>
      </w:tr>
      <w:tr>
        <w:trPr>
          <w:trHeight w:val="203"/>
        </w:trPr>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expense (gain)</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w:t>
            </w:r>
          </w:p>
        </w:tc>
      </w:tr>
      <w:tr>
        <w:trPr>
          <w:trHeight w:val="196"/>
        </w:trPr>
        <w:tc>
          <w:tcPr>
            <w:tcW w:w="52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Adjusted EBITDA</w:t>
            </w:r>
          </w:p>
        </w:tc>
        <w:tc>
          <w:tcPr>
            <w:tcW w:w="20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30,669</w:t>
            </w: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33,946</w:t>
            </w:r>
          </w:p>
        </w:tc>
        <w:tc>
          <w:tcPr>
            <w:tcW w:w="160" w:type="dxa"/>
            <w:vAlign w:val="bottom"/>
            <w:tcBorders>
              <w:top w:val="single" w:sz="8" w:color="CCEEFF"/>
            </w:tcBorders>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52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sales</w:t>
            </w:r>
          </w:p>
        </w:tc>
        <w:tc>
          <w:tcPr>
            <w:tcW w:w="21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8"/>
                <w:szCs w:val="18"/>
                <w:color w:val="auto"/>
              </w:rPr>
              <w:t>158,636</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8"/>
                <w:szCs w:val="18"/>
                <w:color w:val="auto"/>
              </w:rPr>
              <w:t>172,205</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Net income margin</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7"/>
                <w:szCs w:val="17"/>
                <w:color w:val="auto"/>
              </w:rPr>
            </w:pP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and Adjusted Gross Margin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define adjusted gross profit as gross profit excluding inventory charges primarily due to product rationalization initiatives that are part of a portfolio transformation aimed at eliminating unprofitable or slow-moving SKUs. We define Adjusted Gross Margin as Adjusted Gross Profit divided by net sales.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unaudited table presents the reconciliation of gross profit, the most directly comparable GAAP measure, to Adjusted Gross Profit and Adjusted Gross Margin for the 13-week periods ended March 31, 2024 and April 2, 2023 (dollars in thousands):</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7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gridSpan w:val="5"/>
          </w:tcPr>
          <w:p>
            <w:pPr>
              <w:ind w:left="3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47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31, 2024</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April 2, 2023</w:t>
            </w:r>
          </w:p>
        </w:tc>
        <w:tc>
          <w:tcPr>
            <w:tcW w:w="160" w:type="dxa"/>
            <w:vAlign w:val="bottom"/>
          </w:tcPr>
          <w:p>
            <w:pPr>
              <w:spacing w:after="0"/>
              <w:rPr>
                <w:sz w:val="17"/>
                <w:szCs w:val="17"/>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52,059</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67,713</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Adjust for: Inventory charges</w:t>
            </w:r>
          </w:p>
        </w:tc>
        <w:tc>
          <w:tcPr>
            <w:tcW w:w="24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9,713</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r>
      <w:tr>
        <w:trPr>
          <w:trHeight w:val="236"/>
        </w:trPr>
        <w:tc>
          <w:tcPr>
            <w:tcW w:w="47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Adjusted Gross Profit</w:t>
            </w:r>
          </w:p>
        </w:tc>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61,772</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67,713</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182"/>
        </w:trPr>
        <w:tc>
          <w:tcPr>
            <w:tcW w:w="4780" w:type="dxa"/>
            <w:vAlign w:val="bottom"/>
          </w:tcPr>
          <w:p>
            <w:pPr>
              <w:spacing w:after="0" w:line="182" w:lineRule="exact"/>
              <w:rPr>
                <w:sz w:val="20"/>
                <w:szCs w:val="20"/>
                <w:color w:val="auto"/>
              </w:rPr>
            </w:pPr>
            <w:r>
              <w:rPr>
                <w:rFonts w:ascii="Arial" w:cs="Arial" w:eastAsia="Arial" w:hAnsi="Arial"/>
                <w:sz w:val="18"/>
                <w:szCs w:val="18"/>
                <w:color w:val="auto"/>
              </w:rPr>
              <w:t>Net sales</w:t>
            </w:r>
          </w:p>
        </w:tc>
        <w:tc>
          <w:tcPr>
            <w:tcW w:w="26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158,636</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172,205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3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Gross margin</w:t>
            </w:r>
          </w:p>
        </w:tc>
        <w:tc>
          <w:tcPr>
            <w:tcW w:w="6020" w:type="dxa"/>
            <w:vAlign w:val="bottom"/>
            <w:shd w:val="clear" w:color="auto" w:fill="CCEEFF"/>
          </w:tcPr>
          <w:p>
            <w:pPr>
              <w:jc w:val="right"/>
              <w:ind w:right="510"/>
              <w:spacing w:after="0" w:line="203" w:lineRule="exact"/>
              <w:rPr>
                <w:sz w:val="20"/>
                <w:szCs w:val="20"/>
                <w:color w:val="auto"/>
              </w:rPr>
            </w:pPr>
            <w:r>
              <w:rPr>
                <w:rFonts w:ascii="Arial" w:cs="Arial" w:eastAsia="Arial" w:hAnsi="Arial"/>
                <w:sz w:val="18"/>
                <w:szCs w:val="18"/>
                <w:color w:val="auto"/>
              </w:rPr>
              <w:t>32.8%</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39.3%</w:t>
            </w:r>
          </w:p>
        </w:tc>
        <w:tc>
          <w:tcPr>
            <w:tcW w:w="240" w:type="dxa"/>
            <w:vAlign w:val="bottom"/>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Adjusted Gross Margin</w:t>
            </w:r>
          </w:p>
        </w:tc>
        <w:tc>
          <w:tcPr>
            <w:tcW w:w="6020" w:type="dxa"/>
            <w:vAlign w:val="bottom"/>
          </w:tcPr>
          <w:p>
            <w:pPr>
              <w:jc w:val="right"/>
              <w:ind w:right="510"/>
              <w:spacing w:after="0"/>
              <w:rPr>
                <w:sz w:val="20"/>
                <w:szCs w:val="20"/>
                <w:color w:val="auto"/>
              </w:rPr>
            </w:pPr>
            <w:r>
              <w:rPr>
                <w:rFonts w:ascii="Arial" w:cs="Arial" w:eastAsia="Arial" w:hAnsi="Arial"/>
                <w:sz w:val="18"/>
                <w:szCs w:val="18"/>
                <w:color w:val="auto"/>
              </w:rPr>
              <w:t>38.9%</w:t>
            </w:r>
          </w:p>
        </w:tc>
        <w:tc>
          <w:tcPr>
            <w:tcW w:w="1140" w:type="dxa"/>
            <w:vAlign w:val="bottom"/>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20"/>
                <w:szCs w:val="20"/>
                <w:color w:val="auto"/>
              </w:rPr>
            </w:pPr>
          </w:p>
        </w:tc>
      </w:tr>
      <w:tr>
        <w:trPr>
          <w:trHeight w:val="386"/>
        </w:trPr>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20" w:type="dxa"/>
            <w:vAlign w:val="bottom"/>
          </w:tcPr>
          <w:p>
            <w:pPr>
              <w:jc w:val="right"/>
              <w:ind w:right="4050"/>
              <w:spacing w:after="0"/>
              <w:rPr>
                <w:sz w:val="20"/>
                <w:szCs w:val="20"/>
                <w:color w:val="auto"/>
              </w:rPr>
            </w:pPr>
            <w:r>
              <w:rPr>
                <w:rFonts w:ascii="Arial" w:cs="Arial" w:eastAsia="Arial" w:hAnsi="Arial"/>
                <w:sz w:val="18"/>
                <w:szCs w:val="18"/>
                <w:color w:val="auto"/>
              </w:rPr>
              <w:t>28</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60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define Adjusted Net Income as earnings excluding the after-tax effect of changes in the fair value of the warrant liability, changes in the fair value of the earn-out liability, and gain or loss on the early extinguishment of debt. We define Adjusted Diluted EPS as Adjusted Net Income on a per share basis. Management uses these measures to focus on on-going operations and believes that it is useful to investors because it enables them to perform meaningful comparisons of past and present consolidated operating results. We believe that using this information, along with net income and net income per diluted share, provides for a more complete analysis of the results of operations.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unaudited tables present the reconciliation of net income and net income per diluted share, the most directly comparable GAAP measures, to Adjusted Net Income and Adjusted Diluted EPS for the 13-week periods ended March 31, 2024 and April 2, 2023 (dollars in thousands):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7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March 31, 2024</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April 2, 2023</w:t>
            </w:r>
          </w:p>
        </w:tc>
        <w:tc>
          <w:tcPr>
            <w:tcW w:w="100" w:type="dxa"/>
            <w:vAlign w:val="bottom"/>
          </w:tcPr>
          <w:p>
            <w:pPr>
              <w:spacing w:after="0"/>
              <w:rPr>
                <w:sz w:val="17"/>
                <w:szCs w:val="17"/>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3,730</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4,247</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Special items: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 for: Change in fair value of Warrant liability</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1,435</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Adjust for: Change in fair value of earn-out liability</w:t>
            </w:r>
          </w:p>
        </w:tc>
        <w:tc>
          <w:tcPr>
            <w:tcW w:w="120" w:type="dxa"/>
            <w:vAlign w:val="bottom"/>
          </w:tcPr>
          <w:p>
            <w:pPr>
              <w:spacing w:after="0"/>
              <w:rPr>
                <w:sz w:val="17"/>
                <w:szCs w:val="17"/>
                <w:color w:val="auto"/>
              </w:rPr>
            </w:pP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428</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 for: Loss on early extinguishment of debt</w:t>
            </w:r>
          </w:p>
        </w:tc>
        <w:tc>
          <w:tcPr>
            <w:tcW w:w="120" w:type="dxa"/>
            <w:vAlign w:val="bottom"/>
            <w:shd w:val="clear" w:color="auto" w:fill="CCEEFF"/>
          </w:tcPr>
          <w:p>
            <w:pPr>
              <w:spacing w:after="0"/>
              <w:rPr>
                <w:sz w:val="17"/>
                <w:szCs w:val="17"/>
                <w:color w:val="auto"/>
              </w:rPr>
            </w:pPr>
          </w:p>
        </w:tc>
        <w:tc>
          <w:tcPr>
            <w:tcW w:w="14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7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line="182" w:lineRule="exact"/>
              <w:rPr>
                <w:sz w:val="20"/>
                <w:szCs w:val="20"/>
                <w:color w:val="auto"/>
              </w:rPr>
            </w:pPr>
            <w:r>
              <w:rPr>
                <w:rFonts w:ascii="Arial" w:cs="Arial" w:eastAsia="Arial" w:hAnsi="Arial"/>
                <w:sz w:val="18"/>
                <w:szCs w:val="18"/>
                <w:color w:val="auto"/>
              </w:rPr>
              <w:t>Adjusted Net Income (Loss)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100" w:type="dxa"/>
            <w:vAlign w:val="bottom"/>
          </w:tcPr>
          <w:p>
            <w:pPr>
              <w:spacing w:after="0"/>
              <w:rPr>
                <w:sz w:val="17"/>
                <w:szCs w:val="17"/>
                <w:color w:val="auto"/>
              </w:rPr>
            </w:pPr>
          </w:p>
        </w:tc>
        <w:tc>
          <w:tcPr>
            <w:tcW w:w="2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6,110</w:t>
            </w:r>
          </w:p>
        </w:tc>
      </w:tr>
      <w:tr>
        <w:trPr>
          <w:trHeight w:val="20"/>
        </w:trPr>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7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7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March 31, 2024</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April 2, 2023</w:t>
            </w:r>
          </w:p>
        </w:tc>
        <w:tc>
          <w:tcPr>
            <w:tcW w:w="100" w:type="dxa"/>
            <w:vAlign w:val="bottom"/>
          </w:tcPr>
          <w:p>
            <w:pPr>
              <w:spacing w:after="0"/>
              <w:rPr>
                <w:sz w:val="17"/>
                <w:szCs w:val="17"/>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diluted share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0.04</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Special items: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 for: Change in fair value of Warrant liability</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Adjust for: Change in fair value of earn-out liability</w:t>
            </w:r>
          </w:p>
        </w:tc>
        <w:tc>
          <w:tcPr>
            <w:tcW w:w="120" w:type="dxa"/>
            <w:vAlign w:val="bottom"/>
          </w:tcPr>
          <w:p>
            <w:pPr>
              <w:spacing w:after="0"/>
              <w:rPr>
                <w:sz w:val="17"/>
                <w:szCs w:val="17"/>
                <w:color w:val="auto"/>
              </w:rPr>
            </w:pP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 for: Loss on early extinguishment of debt</w:t>
            </w:r>
          </w:p>
        </w:tc>
        <w:tc>
          <w:tcPr>
            <w:tcW w:w="120" w:type="dxa"/>
            <w:vAlign w:val="bottom"/>
            <w:shd w:val="clear" w:color="auto" w:fill="CCEEFF"/>
          </w:tcPr>
          <w:p>
            <w:pPr>
              <w:spacing w:after="0"/>
              <w:rPr>
                <w:sz w:val="17"/>
                <w:szCs w:val="17"/>
                <w:color w:val="auto"/>
              </w:rPr>
            </w:pPr>
          </w:p>
        </w:tc>
        <w:tc>
          <w:tcPr>
            <w:tcW w:w="14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7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line="182" w:lineRule="exact"/>
              <w:rPr>
                <w:sz w:val="20"/>
                <w:szCs w:val="20"/>
                <w:color w:val="auto"/>
              </w:rPr>
            </w:pPr>
            <w:r>
              <w:rPr>
                <w:rFonts w:ascii="Arial" w:cs="Arial" w:eastAsia="Arial" w:hAnsi="Arial"/>
                <w:sz w:val="18"/>
                <w:szCs w:val="18"/>
                <w:color w:val="auto"/>
              </w:rPr>
              <w:t>Adjusted Diluted EPS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b w:val="1"/>
                <w:bCs w:val="1"/>
                <w:color w:val="auto"/>
              </w:rPr>
              <w:t>0.05</w:t>
            </w:r>
          </w:p>
        </w:tc>
      </w:tr>
      <w:tr>
        <w:trPr>
          <w:trHeight w:val="20"/>
        </w:trPr>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define Free Cash Flow as net cash provided by operating activities minus cash payments for capital expenditures, net of dispositions. Management believes providing Free Cash Flow is useful for investors to understand our performance and results of cash generation after making capital investments required to support ongoing business operations.</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unaudited table presents the reconciliation of net cash provided by operating activities, the most directly comparable GAAP measure, to Free Cash Flow for the 13-week periods ended March 31, 2024 and April 2, 2023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thirteen weeks ended</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March 31, 2024</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April 2, 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18,843</w:t>
            </w:r>
          </w:p>
        </w:tc>
        <w:tc>
          <w:tcPr>
            <w:tcW w:w="2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3,639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360" w:type="dxa"/>
            <w:vAlign w:val="bottom"/>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360" w:type="dxa"/>
            <w:vAlign w:val="bottom"/>
          </w:tcPr>
          <w:p>
            <w:pPr>
              <w:spacing w:after="0" w:line="182" w:lineRule="exact"/>
              <w:rPr>
                <w:sz w:val="20"/>
                <w:szCs w:val="20"/>
                <w:color w:val="auto"/>
              </w:rPr>
            </w:pPr>
            <w:r>
              <w:rPr>
                <w:rFonts w:ascii="Arial" w:cs="Arial" w:eastAsia="Arial" w:hAnsi="Arial"/>
                <w:sz w:val="18"/>
                <w:szCs w:val="18"/>
                <w:color w:val="auto"/>
              </w:rPr>
              <w:t>Free Cash Flow</w:t>
            </w:r>
          </w:p>
        </w:tc>
        <w:tc>
          <w:tcPr>
            <w:tcW w:w="300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17,752</w:t>
            </w:r>
          </w:p>
        </w:tc>
        <w:tc>
          <w:tcPr>
            <w:tcW w:w="120" w:type="dxa"/>
            <w:vAlign w:val="bottom"/>
          </w:tcPr>
          <w:p>
            <w:pPr>
              <w:spacing w:after="0"/>
              <w:rPr>
                <w:sz w:val="17"/>
                <w:szCs w:val="17"/>
                <w:color w:val="auto"/>
              </w:rPr>
            </w:pPr>
          </w:p>
        </w:tc>
        <w:tc>
          <w:tcPr>
            <w:tcW w:w="2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2,956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00" w:type="dxa"/>
            <w:vAlign w:val="bottom"/>
            <w:vMerge w:val="restart"/>
          </w:tcPr>
          <w:p>
            <w:pPr>
              <w:jc w:val="right"/>
              <w:ind w:right="1890"/>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436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primary cash needs are to support working capital, capital expenditures, acquisitions, and debt repayments. We have generally financed our historical needs with operating cash flows, capital contributions and borrowings under our credit facilities. These sources of liquidity may be impacted by various factors, including demand for our products, investments made in acquired businesses, plant and equipment and other capital expenditures, and expenditures on general infrastructure and information technology.</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March 31, 2024, the Company had cash of $ 41.1 million and availability of $123.3 million under its revolving credit facility. The Company has a senior secured revolving credit facility with $125 million in borrowing capacity. As of March 31, 2024, the Company had $1.7 million in letters of credit outstanding under the revolving credit facility. In February 2023, the Company entered into an amendment to its Credit Agreement which, among other things, contains a minimum liquidity financial covenant of $45 million, which includes unrestricted cash and any available borrowing capacity under the revolving credit facility. The amendment also increases the Total Leverage Ratio applicable under the Credit Agreement as of the fiscal quarter ending April 2, 2023, to initially 7.25:1.00, and provides for modified step-down levels for such covenant thereafter through the fiscal quarter ending March 31, 2024.</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Company is obligated under various operating leases for facilities, equipment and automobiles with estimated lease payments of approximately $5.3 million, including short term leases, due during the remainder of fiscal year 2024.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in the Notes to the Condensed Consolidated Financial Statements included elsewhere in this Quarterly Report on Form 10-Q for additional information related to the Company’s lease obligations.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Holley's capital expenditures are primarily related to ongoing maintenance and improvements, including investments related to upgrading and maintaining our information technology systems, tooling for new products, vehicles for product development, and machinery and equipment for operations. We expect capital expenditures in the range of $8 million to $12 million in fiscal year 2024.</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Condensed Consolidated Financial Statements included in this Quarterly Report on Form 10-Q for further detail of our credit facility and the timing of principal maturities. As of March 31, 2024, based on the then current weighted average interest rate of 9.2%, expected interest payments associated with outstanding debt totaled approximately $39.7 million for the remainder of fiscal year 2024.</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discussed under “Business Environment” above, although the future impact of supply chain disruptions and inflationary pressures are highly uncertain, we believe that cash generated through our current operating performance, and our operating plans, cash position, and borrowings available under our revolving credit facility, will be sufficient to satisfy our liquidity needs and capital expenditure requirements for the next 12 months and thereafter for the foreseeable future.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 (dollars in thousands):</w:t>
      </w:r>
    </w:p>
    <w:p>
      <w:pPr>
        <w:sectPr>
          <w:pgSz w:w="11900" w:h="16838" w:orient="portrait"/>
          <w:cols w:equalWidth="0" w:num="1">
            <w:col w:w="11240"/>
          </w:cols>
          <w:pgMar w:left="320" w:top="121" w:right="3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March 31, 2024 Compared With 13-week period ended April 2, 2023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-118745</wp:posOffset>
            </wp:positionV>
            <wp:extent cx="677227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Cash flows used in investing activities</w:t>
      </w:r>
    </w:p>
    <w:p>
      <w:pPr>
        <w:ind w:left="340"/>
        <w:spacing w:after="0"/>
        <w:rPr>
          <w:sz w:val="20"/>
          <w:szCs w:val="20"/>
          <w:color w:val="auto"/>
        </w:rPr>
      </w:pPr>
      <w:r>
        <w:rPr>
          <w:rFonts w:ascii="Arial" w:cs="Arial" w:eastAsia="Arial" w:hAnsi="Arial"/>
          <w:sz w:val="18"/>
          <w:szCs w:val="18"/>
          <w:color w:val="auto"/>
        </w:rPr>
        <w:t>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77227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340" w:right="3020"/>
        <w:spacing w:after="0" w:line="329" w:lineRule="auto"/>
        <w:rPr>
          <w:sz w:val="20"/>
          <w:szCs w:val="20"/>
          <w:color w:val="auto"/>
        </w:rPr>
      </w:pPr>
      <w:r>
        <w:rPr>
          <w:rFonts w:ascii="Arial" w:cs="Arial" w:eastAsia="Arial" w:hAnsi="Arial"/>
          <w:sz w:val="17"/>
          <w:szCs w:val="17"/>
          <w:color w:val="auto"/>
        </w:rPr>
        <w:t>Effect of foreign currency rate fluctuations on cash 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-210820</wp:posOffset>
            </wp:positionV>
            <wp:extent cx="677227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thirteen weeks ended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3"/>
          </w:tcPr>
          <w:p>
            <w:pPr>
              <w:jc w:val="right"/>
              <w:ind w:right="260"/>
              <w:spacing w:after="0" w:line="196" w:lineRule="exact"/>
              <w:rPr>
                <w:sz w:val="20"/>
                <w:szCs w:val="20"/>
                <w:color w:val="auto"/>
              </w:rPr>
            </w:pPr>
            <w:r>
              <w:rPr>
                <w:rFonts w:ascii="Arial" w:cs="Arial" w:eastAsia="Arial" w:hAnsi="Arial"/>
                <w:sz w:val="18"/>
                <w:szCs w:val="18"/>
                <w:color w:val="auto"/>
                <w:w w:val="99"/>
              </w:rPr>
              <w:t>March 31, 2024</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April 2, 2023</w:t>
            </w:r>
          </w:p>
        </w:tc>
        <w:tc>
          <w:tcPr>
            <w:tcW w:w="60" w:type="dxa"/>
            <w:vAlign w:val="bottom"/>
          </w:tcPr>
          <w:p>
            <w:pPr>
              <w:spacing w:after="0"/>
              <w:rPr>
                <w:sz w:val="17"/>
                <w:szCs w:val="17"/>
                <w:color w:val="auto"/>
              </w:rPr>
            </w:pPr>
          </w:p>
        </w:tc>
      </w:tr>
      <w:tr>
        <w:trPr>
          <w:trHeight w:val="177"/>
        </w:trPr>
        <w:tc>
          <w:tcPr>
            <w:tcW w:w="1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18,843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3,639</w:t>
            </w:r>
          </w:p>
        </w:tc>
        <w:tc>
          <w:tcPr>
            <w:tcW w:w="60" w:type="dxa"/>
            <w:vAlign w:val="bottom"/>
          </w:tcPr>
          <w:p>
            <w:pPr>
              <w:spacing w:after="0"/>
              <w:rPr>
                <w:sz w:val="15"/>
                <w:szCs w:val="15"/>
                <w:color w:val="auto"/>
              </w:rPr>
            </w:pPr>
          </w:p>
        </w:tc>
      </w:tr>
      <w:tr>
        <w:trPr>
          <w:trHeight w:val="203"/>
        </w:trPr>
        <w:tc>
          <w:tcPr>
            <w:tcW w:w="120" w:type="dxa"/>
            <w:vAlign w:val="bottom"/>
          </w:tcPr>
          <w:p>
            <w:pPr>
              <w:spacing w:after="0"/>
              <w:rPr>
                <w:sz w:val="17"/>
                <w:szCs w:val="17"/>
                <w:color w:val="auto"/>
              </w:rPr>
            </w:pPr>
          </w:p>
        </w:tc>
        <w:tc>
          <w:tcPr>
            <w:tcW w:w="15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(683)</w:t>
            </w:r>
          </w:p>
        </w:tc>
      </w:tr>
      <w:tr>
        <w:trPr>
          <w:trHeight w:val="203"/>
        </w:trPr>
        <w:tc>
          <w:tcPr>
            <w:tcW w:w="120" w:type="dxa"/>
            <w:vAlign w:val="bottom"/>
          </w:tcPr>
          <w:p>
            <w:pPr>
              <w:spacing w:after="0"/>
              <w:rPr>
                <w:sz w:val="17"/>
                <w:szCs w:val="17"/>
                <w:color w:val="auto"/>
              </w:rPr>
            </w:pPr>
          </w:p>
        </w:tc>
        <w:tc>
          <w:tcPr>
            <w:tcW w:w="15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(17,669)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(8,435)</w:t>
            </w:r>
          </w:p>
        </w:tc>
      </w:tr>
      <w:tr>
        <w:trPr>
          <w:trHeight w:val="221"/>
        </w:trPr>
        <w:tc>
          <w:tcPr>
            <w:tcW w:w="120" w:type="dxa"/>
            <w:vAlign w:val="bottom"/>
          </w:tcPr>
          <w:p>
            <w:pPr>
              <w:spacing w:after="0"/>
              <w:rPr>
                <w:sz w:val="19"/>
                <w:szCs w:val="19"/>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r>
      <w:tr>
        <w:trPr>
          <w:trHeight w:val="196"/>
        </w:trPr>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(5,334)</w:t>
            </w:r>
          </w:p>
        </w:tc>
        <w:tc>
          <w:tcPr>
            <w:tcW w:w="60" w:type="dxa"/>
            <w:vAlign w:val="bottom"/>
          </w:tcPr>
          <w:p>
            <w:pPr>
              <w:spacing w:after="0"/>
              <w:rPr>
                <w:sz w:val="17"/>
                <w:szCs w:val="17"/>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2">
            <w:col w:w="7640" w:space="60"/>
            <w:col w:w="3540"/>
          </w:cols>
          <w:pgMar w:left="320" w:top="121" w:right="339" w:bottom="1440" w:gutter="0" w:footer="0" w:header="0"/>
          <w:type w:val="continuous"/>
        </w:sectPr>
      </w:pPr>
    </w:p>
    <w:p>
      <w:pPr>
        <w:jc w:val="both"/>
        <w:spacing w:after="0" w:line="242"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13-week period ended March 31, 2024 was $18.8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of $3.6 million for the 13-week period ended April 2, 2023. Significant changes in the year-over-year change in working capital activity included positive fluctuations from accounts payable of $ 14.2 million and accounts receivable of $9.2 million. Partially offsetting these increases were negative fluctuations in inventories of $4.2 million. The change in inventory reflects the impact of fluctuations in sales while changes in accounts payable and accounts receivable are impacted by the timing of payments and receipts.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for the 13-week periods ended March 31, 2024 and April 2, 2023 were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$0.7 million, respectively, due to capital expenditures.</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Cash used in financing activities for the 13-week period ended March 31, 2024 was $17.7 million, which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$16.7 million in principal payments on long-term debt. The principal payments of long-term debt during the 13-week period ended March 31, 2024 include the repurchase of $15.0 million outstanding principal on the first lien term loan at a discount to par. Cash used in financing activities for the 13-week period ended April 2, 2023 was $8.4 million, which primarily reflects principal payments on long-term debt and deferred financing fees.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judgements and assumptions that affect the reported amounts of assets, liabilities, sales, expenses and related disclosures. We evaluate our estimates, judgements and assumptions on an ongoing basis. Our estimates are based on historical experience and various other assumptions that we believe to be reasonable under the circumstances. Our actual results could differ from these estimates. For a discussion of our critical accounting estimates, refer to the section entitled “Critical Accounting Estimates” in our Annual Report on Form 10-K for the year ended December 31, 2023, as filed with the SEC on March 14, 2024. For further information see also Note 1, “</w:t>
      </w:r>
      <w:r>
        <w:rPr>
          <w:rFonts w:ascii="Arial" w:cs="Arial" w:eastAsia="Arial" w:hAnsi="Arial"/>
          <w:sz w:val="18"/>
          <w:szCs w:val="18"/>
          <w:i w:val="1"/>
          <w:iCs w:val="1"/>
          <w:color w:val="auto"/>
        </w:rPr>
        <w:t>Description of the Business, Basis of Presentation, and Summary of Significant Accounting Policies</w:t>
      </w:r>
      <w:r>
        <w:rPr>
          <w:rFonts w:ascii="Arial" w:cs="Arial" w:eastAsia="Arial" w:hAnsi="Arial"/>
          <w:sz w:val="18"/>
          <w:szCs w:val="18"/>
          <w:color w:val="auto"/>
        </w:rPr>
        <w:t>” in the Notes to the Condensed Consolidated Financial Statements included in this Quarterly Report on Form 10-Q. There have been no material changes to the Company’s critical accounting estimates included in our Annual Report on Form 10-K for the year ended December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Condensed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Quarterly Report on Form 10-Q.</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When appropriate, the Company uses derivative financial instruments to mitigate the risk from its interest rate exposure. The Company's interest rate collar is intended to mitigate some of the effects of increases in interest rates. As of March 31, 2024, a total of $575.9 million of term loan and revolver borrowings were subject to variable interest rates, with a weighted average borrowing rate of 9.2%. A hypothetical 100 basis point increase in interest rates would result in an approximately $0.8 million increase in annual interest expense, while a hypothetical 100 basis point decrease in interest rates would result in an approximately $4.0 million decrease to Holley’s annual interest expense.</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Credit and other Risks. </w:t>
      </w:r>
      <w:r>
        <w:rPr>
          <w:rFonts w:ascii="Arial" w:cs="Arial" w:eastAsia="Arial" w:hAnsi="Arial"/>
          <w:sz w:val="18"/>
          <w:szCs w:val="18"/>
          <w:color w:val="auto"/>
        </w:rPr>
        <w:t>Holley is exposed to credit risk associated with cash and cash equivalents and trade receivables.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2024, the majority of the Company’s cash and cash equivalents consisted of cash balances in an overnight sweep account where funds are transferred to an interest-bearing deposit account that is insured by the Federal Deposit Insurance Corporation ("FDIC"). The FDIC insures financial institution deposits up to $250 thousand. Holley maintains deposits in certain accounts which exceed the insurance coverage provided on such deposits. The Company does not believe that its cash equivalents present significant credit risks 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As of March 31, 2024, the Company is exposed to changes in foreign currency exchange rates. While historically</w:t>
      </w:r>
      <w:r>
        <w:rPr>
          <w:rFonts w:ascii="Arial" w:cs="Arial" w:eastAsia="Arial" w:hAnsi="Arial"/>
          <w:sz w:val="18"/>
          <w:szCs w:val="18"/>
          <w:i w:val="1"/>
          <w:iCs w:val="1"/>
          <w:color w:val="auto"/>
        </w:rPr>
        <w:t xml:space="preserve"> </w:t>
      </w:r>
      <w:r>
        <w:rPr>
          <w:rFonts w:ascii="Arial" w:cs="Arial" w:eastAsia="Arial" w:hAnsi="Arial"/>
          <w:sz w:val="18"/>
          <w:szCs w:val="18"/>
          <w:color w:val="auto"/>
        </w:rPr>
        <w:t>this exposure to changes in foreign currency exchange rates has not had a material effect on the Company’s financial condition or results of operations, foreign currency fluctuations could have a material adverse effect on business and results of operations in the future. Historically, Holley’s primary exposure has been related to transactions denominated in the Euro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Based on an evaluation under the supervision and with the participation of the Company’s management, the Company’s Chief Executive Officer and Chief Financial Officer have concluded that the Company’s disclosure controls and procedures as defined in Rules 13a-15(e) and 15d-15(e) under the Exchange Act were effective as of March 31, 2024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and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See Litigation in Note 15 “Commitments and Contingencies” to the Condensed Consolidated Financial Statements, which is incorporated by reference in this Item 1. Legal Proceedings.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under the caption “Risk Factors” included in our Annual Report on Form 10-K for the year ended December 31, 2023, as filed with the SEC on March 14, 2024.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Plans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fiscal quarter ended March 31, 2024, no director or Section 16 officer adopted or terminated any Rule 10b5-1 trading arrangements or non-Rule 10b5-1 trading arrangements (in each case, as defined in Item 408(a) of Regulation S-K).</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4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0"/>
        </w:trPr>
        <w:tc>
          <w:tcPr>
            <w:tcW w:w="140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5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9860" w:type="dxa"/>
            <w:vAlign w:val="bottom"/>
            <w:gridSpan w:val="12"/>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69"/>
        </w:trPr>
        <w:tc>
          <w:tcPr>
            <w:tcW w:w="13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tcBorders>
              <w:top w:val="single" w:sz="8" w:color="auto"/>
            </w:tcBorders>
            <w:gridSpan w:val="12"/>
          </w:tcPr>
          <w:p>
            <w:pPr>
              <w:spacing w:after="0" w:line="169" w:lineRule="exact"/>
              <w:rPr>
                <w:rFonts w:ascii="Arial" w:cs="Arial" w:eastAsia="Arial" w:hAnsi="Arial"/>
                <w:sz w:val="18"/>
                <w:szCs w:val="18"/>
                <w:color w:val="0000EE"/>
              </w:rPr>
            </w:pPr>
            <w:hyperlink r:id="rId38">
              <w:r>
                <w:rPr>
                  <w:rFonts w:ascii="Arial" w:cs="Arial" w:eastAsia="Arial" w:hAnsi="Arial"/>
                  <w:sz w:val="18"/>
                  <w:szCs w:val="18"/>
                  <w:color w:val="0000EE"/>
                </w:rPr>
                <w:t>Agreement and Plan of Merger, dated as of March 11, 2021, by and among Empower Ltd., Empower Merger Sub I Inc.,</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rPr>
            </w:pPr>
            <w:hyperlink r:id="rId38">
              <w:r>
                <w:rPr>
                  <w:rFonts w:ascii="Arial" w:cs="Arial" w:eastAsia="Arial" w:hAnsi="Arial"/>
                  <w:sz w:val="18"/>
                  <w:szCs w:val="18"/>
                  <w:color w:val="0000EE"/>
                </w:rPr>
                <w:t>Empower Merger Sub II LLC and Holley Intermediate Holdings, Inc. (incorporated by reference to Exhibit 2.1 to the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0" w:type="dxa"/>
            <w:vAlign w:val="bottom"/>
            <w:gridSpan w:val="9"/>
          </w:tcPr>
          <w:p>
            <w:pPr>
              <w:spacing w:after="0" w:line="182" w:lineRule="exact"/>
              <w:rPr>
                <w:rFonts w:ascii="Arial" w:cs="Arial" w:eastAsia="Arial" w:hAnsi="Arial"/>
                <w:sz w:val="18"/>
                <w:szCs w:val="18"/>
                <w:color w:val="0000EE"/>
              </w:rPr>
            </w:pPr>
            <w:hyperlink r:id="rId38">
              <w:r>
                <w:rPr>
                  <w:rFonts w:ascii="Arial" w:cs="Arial" w:eastAsia="Arial" w:hAnsi="Arial"/>
                  <w:sz w:val="18"/>
                  <w:szCs w:val="18"/>
                  <w:color w:val="0000EE"/>
                </w:rPr>
                <w:t>Company’s Current Report on Form 8-K, filed with the SEC on March 12,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60" w:type="dxa"/>
            <w:vAlign w:val="bottom"/>
            <w:gridSpan w:val="12"/>
          </w:tcPr>
          <w:p>
            <w:pPr>
              <w:spacing w:after="0" w:line="182" w:lineRule="exact"/>
              <w:rPr>
                <w:rFonts w:ascii="Arial" w:cs="Arial" w:eastAsia="Arial" w:hAnsi="Arial"/>
                <w:sz w:val="18"/>
                <w:szCs w:val="18"/>
                <w:color w:val="0000EE"/>
              </w:rPr>
            </w:pPr>
            <w:hyperlink r:id="rId39">
              <w:r>
                <w:rPr>
                  <w:rFonts w:ascii="Arial" w:cs="Arial" w:eastAsia="Arial" w:hAnsi="Arial"/>
                  <w:sz w:val="18"/>
                  <w:szCs w:val="18"/>
                  <w:color w:val="0000EE"/>
                </w:rPr>
                <w:t>Certificate of Incorporation of the Company, dated July 16, 2021 (incorporated by reference to Exhibit 3.1 of the</w:t>
              </w:r>
            </w:hyperlink>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2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39">
              <w:r>
                <w:rPr>
                  <w:rFonts w:ascii="Arial" w:cs="Arial" w:eastAsia="Arial" w:hAnsi="Arial"/>
                  <w:sz w:val="18"/>
                  <w:szCs w:val="18"/>
                  <w:color w:val="0000EE"/>
                </w:rPr>
                <w:t>Company’s Current Report on Form 8-K, filed with the SEC on July 21,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8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r:id="rId40">
              <w:r>
                <w:rPr>
                  <w:rFonts w:ascii="Arial" w:cs="Arial" w:eastAsia="Arial" w:hAnsi="Arial"/>
                  <w:sz w:val="18"/>
                  <w:szCs w:val="18"/>
                  <w:color w:val="0000EE"/>
                </w:rPr>
                <w:t>Amended and Restated By-Laws of the Company, dated August 8, 2023</w:t>
              </w:r>
            </w:hyperlink>
          </w:p>
        </w:tc>
        <w:tc>
          <w:tcPr>
            <w:tcW w:w="3680" w:type="dxa"/>
            <w:vAlign w:val="bottom"/>
            <w:gridSpan w:val="10"/>
          </w:tcPr>
          <w:p>
            <w:pPr>
              <w:spacing w:after="0" w:line="182" w:lineRule="exact"/>
              <w:rPr>
                <w:rFonts w:ascii="Arial" w:cs="Arial" w:eastAsia="Arial" w:hAnsi="Arial"/>
                <w:sz w:val="18"/>
                <w:szCs w:val="18"/>
                <w:color w:val="0000EE"/>
                <w:w w:val="98"/>
              </w:rPr>
            </w:pPr>
            <w:hyperlink r:id="rId40">
              <w:r>
                <w:rPr>
                  <w:rFonts w:ascii="Arial" w:cs="Arial" w:eastAsia="Arial" w:hAnsi="Arial"/>
                  <w:sz w:val="18"/>
                  <w:szCs w:val="18"/>
                  <w:color w:val="0000EE"/>
                  <w:w w:val="98"/>
                </w:rPr>
                <w:t>(incorporated by reference to Exhibit 3.1 of the</w:t>
              </w:r>
            </w:hyperlink>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8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40">
              <w:r>
                <w:rPr>
                  <w:rFonts w:ascii="Arial" w:cs="Arial" w:eastAsia="Arial" w:hAnsi="Arial"/>
                  <w:sz w:val="18"/>
                  <w:szCs w:val="18"/>
                  <w:color w:val="0000EE"/>
                </w:rPr>
                <w:t>Company’s Current Report on Form 8-K, filed with the SEC on August 9, 2023).</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60" w:type="dxa"/>
            <w:vAlign w:val="bottom"/>
            <w:gridSpan w:val="12"/>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Rules 13a-14(a) and 15d-14(a) of the Exchange Act</w:t>
            </w:r>
          </w:p>
        </w:tc>
        <w:tc>
          <w:tcPr>
            <w:tcW w:w="0" w:type="dxa"/>
            <w:vAlign w:val="bottom"/>
          </w:tcPr>
          <w:p>
            <w:pPr>
              <w:spacing w:after="0"/>
              <w:rPr>
                <w:sz w:val="1"/>
                <w:szCs w:val="1"/>
                <w:color w:val="auto"/>
              </w:rPr>
            </w:pPr>
          </w:p>
        </w:tc>
      </w:tr>
      <w:tr>
        <w:trPr>
          <w:trHeight w:val="183"/>
        </w:trPr>
        <w:tc>
          <w:tcPr>
            <w:tcW w:w="138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2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Certification of Chief Financial Officer Pursuant to Rules 13a-14(a) and 15d-14(a) of the Exchange Act</w:t>
            </w:r>
          </w:p>
        </w:tc>
        <w:tc>
          <w:tcPr>
            <w:tcW w:w="40" w:type="dxa"/>
            <w:vAlign w:val="bottom"/>
            <w:tcBorders>
              <w:top w:val="single" w:sz="8" w:color="0000EE"/>
            </w:tcBorders>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60" w:type="dxa"/>
            <w:vAlign w:val="bottom"/>
            <w:gridSpan w:val="12"/>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 13a-14(b) of the Exchange Act and 18 U.S.C. 1350, as adopted</w:t>
            </w:r>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9"/>
              </w:rPr>
              <w:t>pursuant to Section 906 of the Sarbanes-Oxley Act of 2002</w:t>
            </w:r>
          </w:p>
        </w:tc>
        <w:tc>
          <w:tcPr>
            <w:tcW w:w="5040" w:type="dxa"/>
            <w:vAlign w:val="bottom"/>
            <w:tcBorders>
              <w:top w:val="single" w:sz="8" w:color="0000EE"/>
            </w:tcBorders>
            <w:gridSpan w:val="5"/>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60" w:type="dxa"/>
            <w:vAlign w:val="bottom"/>
            <w:gridSpan w:val="12"/>
          </w:tcPr>
          <w:p>
            <w:pPr>
              <w:spacing w:after="0" w:line="182" w:lineRule="exact"/>
              <w:rPr>
                <w:sz w:val="20"/>
                <w:szCs w:val="20"/>
                <w:color w:val="auto"/>
              </w:rPr>
            </w:pPr>
            <w:r>
              <w:rPr>
                <w:rFonts w:ascii="Arial" w:cs="Arial" w:eastAsia="Arial" w:hAnsi="Arial"/>
                <w:sz w:val="18"/>
                <w:szCs w:val="18"/>
                <w:color w:val="0000EE"/>
              </w:rPr>
              <w:t>Certification of Chief Financial Officer pursuant to Rule 13a-14(b) of the Exchange Act and 18 U.S.C. 1350, as adopted</w:t>
            </w:r>
          </w:p>
        </w:tc>
        <w:tc>
          <w:tcPr>
            <w:tcW w:w="0" w:type="dxa"/>
            <w:vAlign w:val="bottom"/>
          </w:tcPr>
          <w:p>
            <w:pPr>
              <w:spacing w:after="0"/>
              <w:rPr>
                <w:sz w:val="1"/>
                <w:szCs w:val="1"/>
                <w:color w:val="auto"/>
              </w:rPr>
            </w:pPr>
          </w:p>
        </w:tc>
      </w:tr>
      <w:tr>
        <w:trPr>
          <w:trHeight w:val="183"/>
        </w:trPr>
        <w:tc>
          <w:tcPr>
            <w:tcW w:w="1500" w:type="dxa"/>
            <w:vAlign w:val="bottom"/>
            <w:gridSpan w:val="3"/>
            <w:vMerge w:val="restart"/>
          </w:tcPr>
          <w:p>
            <w:pPr>
              <w:spacing w:after="0"/>
              <w:rPr>
                <w:sz w:val="20"/>
                <w:szCs w:val="20"/>
                <w:color w:val="auto"/>
              </w:rPr>
            </w:pPr>
            <w:r>
              <w:rPr>
                <w:rFonts w:ascii="Arial" w:cs="Arial" w:eastAsia="Arial" w:hAnsi="Arial"/>
                <w:sz w:val="18"/>
                <w:szCs w:val="18"/>
                <w:color w:val="auto"/>
              </w:rPr>
              <w:t>101.INS</w:t>
            </w:r>
          </w:p>
        </w:tc>
        <w:tc>
          <w:tcPr>
            <w:tcW w:w="98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pursuant to Section 906 of the Sarbanes-Oxley Act of 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00" w:type="dxa"/>
            <w:vAlign w:val="bottom"/>
            <w:gridSpan w:val="3"/>
            <w:vMerge w:val="continue"/>
          </w:tcPr>
          <w:p>
            <w:pPr>
              <w:spacing w:after="0"/>
              <w:rPr>
                <w:sz w:val="16"/>
                <w:szCs w:val="16"/>
                <w:color w:val="auto"/>
              </w:rPr>
            </w:pPr>
          </w:p>
        </w:tc>
        <w:tc>
          <w:tcPr>
            <w:tcW w:w="4700" w:type="dxa"/>
            <w:vAlign w:val="bottom"/>
            <w:tcBorders>
              <w:top w:val="single" w:sz="8" w:color="0000EE"/>
            </w:tcBorders>
          </w:tcPr>
          <w:p>
            <w:pPr>
              <w:spacing w:after="0" w:line="191" w:lineRule="exact"/>
              <w:rPr>
                <w:sz w:val="20"/>
                <w:szCs w:val="20"/>
                <w:color w:val="auto"/>
              </w:rPr>
            </w:pPr>
            <w:r>
              <w:rPr>
                <w:rFonts w:ascii="Arial" w:cs="Arial" w:eastAsia="Arial" w:hAnsi="Arial"/>
                <w:sz w:val="18"/>
                <w:szCs w:val="18"/>
                <w:color w:val="auto"/>
              </w:rPr>
              <w:t>Inline XBRL Instance Document - the instance document</w:t>
            </w:r>
          </w:p>
        </w:tc>
        <w:tc>
          <w:tcPr>
            <w:tcW w:w="5160" w:type="dxa"/>
            <w:vAlign w:val="bottom"/>
            <w:gridSpan w:val="11"/>
          </w:tcPr>
          <w:p>
            <w:pPr>
              <w:spacing w:after="0" w:line="191" w:lineRule="exact"/>
              <w:rPr>
                <w:sz w:val="20"/>
                <w:szCs w:val="20"/>
                <w:color w:val="auto"/>
              </w:rPr>
            </w:pPr>
            <w:r>
              <w:rPr>
                <w:rFonts w:ascii="Arial" w:cs="Arial" w:eastAsia="Arial" w:hAnsi="Arial"/>
                <w:sz w:val="18"/>
                <w:szCs w:val="18"/>
                <w:color w:val="auto"/>
              </w:rPr>
              <w:t>does not appear in the Interactive Data File because its XBRL</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101.SCH</w:t>
            </w: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101.CAL</w:t>
            </w: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101.DEF</w:t>
            </w: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101.LAB</w:t>
            </w: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1"/>
        </w:trPr>
        <w:tc>
          <w:tcPr>
            <w:tcW w:w="15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500" w:hanging="1492"/>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 in Exhibit 101)</w:t>
      </w:r>
    </w:p>
    <w:p>
      <w:pPr>
        <w:spacing w:after="0" w:line="38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Holley Inc.</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Jesse Weaver</w:t>
      </w:r>
    </w:p>
    <w:p>
      <w:pPr>
        <w:ind w:left="6760"/>
        <w:spacing w:after="0"/>
        <w:rPr>
          <w:sz w:val="20"/>
          <w:szCs w:val="20"/>
          <w:color w:val="auto"/>
        </w:rPr>
      </w:pPr>
      <w:r>
        <w:rPr>
          <w:rFonts w:ascii="Arial" w:cs="Arial" w:eastAsia="Arial" w:hAnsi="Arial"/>
          <w:sz w:val="18"/>
          <w:szCs w:val="18"/>
          <w:color w:val="auto"/>
        </w:rPr>
        <w:t>Chief Financial Officer (Duly Authorized Officer)</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May 8, 2024</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21" w:right="3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Stevenson,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Holley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Matthew Stevenson</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May 8, 2024</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Jesse Weaver, certify that:</w:t>
      </w:r>
    </w:p>
    <w:p>
      <w:pPr>
        <w:spacing w:after="0" w:line="225"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Holley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Jesse Weaver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May 8, 2024</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Holley Inc. (the "Company") on Form 10-Q for the period ended March 31, 2024, as filed with the Securities and Exchange Commission (the "Report"), I, Matthew Stevenson, President and Chief Executive Officer of the Company, certifies,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Matthew Stevenson</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May 8,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 signed original of this statement has been provided to the Company and will be retained by the Company and furnished to the SEC or its staff upon request.</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Holley Inc. (the "Company") on Form 10-Q for the period ended March 31, 2024, as filed with the Securities and Exchange Commission (the "Report"), I, Jesse Weaver, Chief Financial Officer of the Company, certifies,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Jesse Weaver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May 8,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statement has been provided to the Company and will be retained by the Company and furnished to the SEC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decimal"/>
      <w:start w:val="4"/>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5"/>
    </w:lvl>
  </w:abstractNum>
  <w:abstractNum w:abstractNumId="10">
    <w:nsid w:val="628C895D"/>
    <w:multiLevelType w:val="hybridMultilevel"/>
    <w:lvl w:ilvl="0">
      <w:lvlJc w:val="left"/>
      <w:lvlText w:val="%1."/>
      <w:numFmt w:val="decimal"/>
      <w:start w:val="6"/>
    </w:lvl>
  </w:abstractNum>
  <w:abstractNum w:abstractNumId="11">
    <w:nsid w:val="333AB105"/>
    <w:multiLevelType w:val="hybridMultilevel"/>
    <w:lvl w:ilvl="0">
      <w:lvlJc w:val="left"/>
      <w:lvlText w:val="%1."/>
      <w:numFmt w:val="decimal"/>
      <w:start w:val="7"/>
    </w:lvl>
  </w:abstractNum>
  <w:abstractNum w:abstractNumId="12">
    <w:nsid w:val="721DA317"/>
    <w:multiLevelType w:val="hybridMultilevel"/>
    <w:lvl w:ilvl="0">
      <w:lvlJc w:val="left"/>
      <w:lvlText w:val="%1."/>
      <w:numFmt w:val="decimal"/>
      <w:start w:val="8"/>
    </w:lvl>
  </w:abstractNum>
  <w:abstractNum w:abstractNumId="13">
    <w:nsid w:val="2443A858"/>
    <w:multiLevelType w:val="hybridMultilevel"/>
    <w:lvl w:ilvl="0">
      <w:lvlJc w:val="left"/>
      <w:lvlText w:val="%1."/>
      <w:numFmt w:val="decimal"/>
      <w:start w:val="9"/>
    </w:lvl>
  </w:abstractNum>
  <w:abstractNum w:abstractNumId="14">
    <w:nsid w:val="2D1D5AE9"/>
    <w:multiLevelType w:val="hybridMultilevel"/>
    <w:lvl w:ilvl="0">
      <w:lvlJc w:val="left"/>
      <w:lvlText w:val="%1."/>
      <w:numFmt w:val="decimal"/>
      <w:start w:val="10"/>
    </w:lvl>
  </w:abstractNum>
  <w:abstractNum w:abstractNumId="15">
    <w:nsid w:val="6763845E"/>
    <w:multiLevelType w:val="hybridMultilevel"/>
    <w:lvl w:ilvl="0">
      <w:lvlJc w:val="left"/>
      <w:lvlText w:val="%1."/>
      <w:numFmt w:val="decimal"/>
      <w:start w:val="11"/>
    </w:lvl>
  </w:abstractNum>
  <w:abstractNum w:abstractNumId="16">
    <w:nsid w:val="75A2A8D4"/>
    <w:multiLevelType w:val="hybridMultilevel"/>
    <w:lvl w:ilvl="0">
      <w:lvlJc w:val="left"/>
      <w:lvlText w:val="%1."/>
      <w:numFmt w:val="decimal"/>
      <w:start w:val="12"/>
    </w:lvl>
  </w:abstractNum>
  <w:abstractNum w:abstractNumId="17">
    <w:nsid w:val="8EDBDAB"/>
    <w:multiLevelType w:val="hybridMultilevel"/>
    <w:lvl w:ilvl="0">
      <w:lvlJc w:val="left"/>
      <w:lvlText w:val="%1."/>
      <w:numFmt w:val="decimal"/>
      <w:start w:val="13"/>
    </w:lvl>
  </w:abstractNum>
  <w:abstractNum w:abstractNumId="18">
    <w:nsid w:val="79838CB2"/>
    <w:multiLevelType w:val="hybridMultilevel"/>
    <w:lvl w:ilvl="0">
      <w:lvlJc w:val="left"/>
      <w:lvlText w:val="%1."/>
      <w:numFmt w:val="decimal"/>
      <w:start w:val="14"/>
    </w:lvl>
  </w:abstractNum>
  <w:abstractNum w:abstractNumId="19">
    <w:nsid w:val="4353D0CD"/>
    <w:multiLevelType w:val="hybridMultilevel"/>
    <w:lvl w:ilvl="0">
      <w:lvlJc w:val="left"/>
      <w:lvlText w:val="%1."/>
      <w:numFmt w:val="decimal"/>
      <w:start w:val="15"/>
    </w:lvl>
  </w:abstractNum>
  <w:abstractNum w:abstractNumId="20">
    <w:nsid w:val="B03E0C6"/>
    <w:multiLevelType w:val="hybridMultilevel"/>
    <w:lvl w:ilvl="0">
      <w:lvlJc w:val="left"/>
      <w:lvlText w:val="%1"/>
      <w:numFmt w:val="decimal"/>
      <w:start w:val="104"/>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5"/>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38" Type="http://schemas.openxmlformats.org/officeDocument/2006/relationships/hyperlink" Target="http://www.sec.gov/Archives/edgar/data/1822928/000121390021015000/ea137482ex2_1empower.htm" TargetMode="External"/><Relationship Id="rId39" Type="http://schemas.openxmlformats.org/officeDocument/2006/relationships/hyperlink" Target="http://www.sec.gov/Archives/edgar/data/1822928/000119312521220722/d185405dex31.htm" TargetMode="External"/><Relationship Id="rId40" Type="http://schemas.openxmlformats.org/officeDocument/2006/relationships/hyperlink" Target="http://www.sec.gov/Archives/edgar/data/1822928/000143774923022802/ex_5577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2024-05-08T06:40:02Z</dcterms:created>
  <dcterms:modified xsi:type="dcterms:W3CDTF">2024-05-08T06:40:02Z</dcterms:modified>
</cp:coreProperties>
</file>