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HOLLEY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001-39599</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87-1727560</w:t>
            </w:r>
          </w:p>
        </w:tc>
      </w:tr>
      <w:tr>
        <w:trPr>
          <w:trHeight w:val="252"/>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5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6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240, Nashville, TN</w:t>
            </w:r>
          </w:p>
        </w:tc>
        <w:tc>
          <w:tcPr>
            <w:tcW w:w="4580" w:type="dxa"/>
            <w:vAlign w:val="bottom"/>
          </w:tcPr>
          <w:p>
            <w:pPr>
              <w:spacing w:after="0"/>
              <w:rPr>
                <w:sz w:val="24"/>
                <w:szCs w:val="24"/>
                <w:color w:val="auto"/>
              </w:rPr>
            </w:pP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7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580" w:type="dxa"/>
            <w:vAlign w:val="bottom"/>
          </w:tcPr>
          <w:p>
            <w:pPr>
              <w:spacing w:after="0"/>
              <w:rPr>
                <w:sz w:val="23"/>
                <w:szCs w:val="23"/>
                <w:color w:val="auto"/>
              </w:rPr>
            </w:pPr>
          </w:p>
        </w:tc>
        <w:tc>
          <w:tcPr>
            <w:tcW w:w="17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(Zip Code)</w:t>
            </w:r>
          </w:p>
        </w:tc>
      </w:tr>
      <w:tr>
        <w:trPr>
          <w:trHeight w:val="495"/>
        </w:trPr>
        <w:tc>
          <w:tcPr>
            <w:tcW w:w="3580" w:type="dxa"/>
            <w:vAlign w:val="bottom"/>
          </w:tcPr>
          <w:p>
            <w:pPr>
              <w:spacing w:after="0"/>
              <w:rPr>
                <w:sz w:val="24"/>
                <w:szCs w:val="24"/>
                <w:color w:val="auto"/>
              </w:rPr>
            </w:pPr>
          </w:p>
        </w:tc>
        <w:tc>
          <w:tcPr>
            <w:tcW w:w="45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(270) 782-2900</w:t>
            </w:r>
          </w:p>
        </w:tc>
        <w:tc>
          <w:tcPr>
            <w:tcW w:w="178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4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18"/>
                <w:szCs w:val="18"/>
                <w:color w:val="auto"/>
              </w:rPr>
            </w:pPr>
          </w:p>
        </w:tc>
      </w:tr>
      <w:tr>
        <w:trPr>
          <w:trHeight w:val="234"/>
        </w:trPr>
        <w:tc>
          <w:tcPr>
            <w:tcW w:w="816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23"/>
        </w:trPr>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6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36"/>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HLLY</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 stock at an exercise price of</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HLLY WS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$11.50 per share</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ectPr>
          <w:pgSz w:w="11900" w:h="16838" w:orient="portrait"/>
          <w:cols w:equalWidth="0" w:num="1">
            <w:col w:w="11240"/>
          </w:cols>
          <w:pgMar w:left="320" w:top="1440" w:right="339" w:bottom="0" w:gutter="0" w:footer="0" w:header="0"/>
          <w:type w:val="continuous"/>
        </w:sectPr>
      </w:pPr>
    </w:p>
    <w:bookmarkStart w:id="1" w:name="page2"/>
    <w:bookmarkEnd w:id="1"/>
    <w:p>
      <w:pPr>
        <w:ind w:right="240"/>
        <w:spacing w:after="0" w:line="251" w:lineRule="auto"/>
        <w:rPr>
          <w:sz w:val="20"/>
          <w:szCs w:val="20"/>
          <w:color w:val="auto"/>
        </w:rPr>
      </w:pPr>
      <w:r>
        <w:rPr>
          <w:rFonts w:ascii="Times New Roman" w:cs="Times New Roman" w:eastAsia="Times New Roman" w:hAnsi="Times New Roman"/>
          <w:sz w:val="18"/>
          <w:szCs w:val="18"/>
          <w:color w:val="auto"/>
        </w:rPr>
        <w:t>On May 15, 2026, the Company issued a press release announcing Ms. Apple’s appointment as Senior Vice President, General Counsel and Secretary of the Company. A copy of the press release is furnished herewith as Exhibit 99.1 and incorporated herein by reference.</w:t>
      </w:r>
    </w:p>
    <w:p>
      <w:pPr>
        <w:spacing w:after="0" w:line="20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shall not be deemed “filed” for purposes of Section 18 of the Securities Exchange Act of 1934, as amended (the “Exchange Act”), or otherwise subject to the liabilities of that section, and shall not be deemed to be incorporated by reference in any filing of the Company under the Securities Act of 1933, as amended, or the Exchange Act, except as shall be expressly set forth by specific reference in such filing.</w:t>
      </w:r>
    </w:p>
    <w:p>
      <w:pPr>
        <w:spacing w:after="0" w:line="3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May 15, 2026, Holley Inc. (the "Company") announced the appointment of Sarah Apple as Senior Vice President, General Counsel and Secretary of the Company, effective May 15, 2026. Ms. Apple joined the Company on April 27, 2026 as a senior advisor to Matthew Stevenson, the Company’s Chief</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Executive Officer. Ms. Apple succeeds Carly Kennedy who, as previously disclosed, is departing from the Company on May 15, 2026 to pursue other opportunities.</w:t>
      </w:r>
    </w:p>
    <w:p>
      <w:pPr>
        <w:spacing w:after="0" w:line="18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Upon joining the Company, Ms. Apple entered into an employment agreement with the Company. Pursuant to the employment agreement, Ms. Apple received a one-time signing bonus of $25,000 (before applicable taxes and deductions) subject to repayment in the event that Ms. Apple voluntarily terminates employment without good reason within one year of starting employment, and Ms. Apple will be reimbursed for relocation expenses for her move to Nashville. Ms. Apple will also be paid an annual base salary, will be eligible to participate in any bonus plan in effect from time to time for senior executives of the Company and will be eligible to receive annual grants of equity-based incentive compensation.</w:t>
      </w:r>
    </w:p>
    <w:p>
      <w:pPr>
        <w:spacing w:after="0" w:line="213" w:lineRule="exact"/>
        <w:rPr>
          <w:sz w:val="20"/>
          <w:szCs w:val="20"/>
          <w:color w:val="auto"/>
        </w:rPr>
      </w:pPr>
    </w:p>
    <w:p>
      <w:pPr>
        <w:jc w:val="both"/>
        <w:ind w:left="660" w:right="160" w:hanging="328"/>
        <w:spacing w:after="0" w:line="233"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Annual Base Salary</w:t>
      </w:r>
      <w:r>
        <w:rPr>
          <w:rFonts w:ascii="Times New Roman" w:cs="Times New Roman" w:eastAsia="Times New Roman" w:hAnsi="Times New Roman"/>
          <w:sz w:val="18"/>
          <w:szCs w:val="18"/>
          <w:color w:val="auto"/>
        </w:rPr>
        <w:t>. The Company has agreed to pay Ms. Apple a base salary at an annual rate of $350,000. Ms. Apple’s annual base salary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annual review by the Company’s board of directors (or a committee thereof), and may be increased, but not decreased from time to time by the board.</w:t>
      </w:r>
    </w:p>
    <w:p>
      <w:pPr>
        <w:spacing w:after="0" w:line="225" w:lineRule="exact"/>
        <w:rPr>
          <w:rFonts w:ascii="Arial" w:cs="Arial" w:eastAsia="Arial" w:hAnsi="Arial"/>
          <w:sz w:val="20"/>
          <w:szCs w:val="20"/>
          <w:color w:val="auto"/>
        </w:rPr>
      </w:pPr>
    </w:p>
    <w:p>
      <w:pPr>
        <w:ind w:left="660" w:right="120" w:hanging="328"/>
        <w:spacing w:after="0" w:line="230" w:lineRule="auto"/>
        <w:tabs>
          <w:tab w:leader="none" w:pos="635"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Ms. Apple’s target bonus opportunity will equal 50% of her annual base salary then in effect and her maximum bonus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equal 100% of her annual base salary then in effect. Payment of the annual bonus will be made upon the attainment of one or more pre-established financial and/or personal performance goals established by the Company’s board of directors (or a committee thereof) in its sole discretion and subject to discretionary adjustment based on Ms. Apple’s individual performance.</w:t>
      </w:r>
    </w:p>
    <w:p>
      <w:pPr>
        <w:spacing w:after="0" w:line="210" w:lineRule="exact"/>
        <w:rPr>
          <w:rFonts w:ascii="Arial" w:cs="Arial" w:eastAsia="Arial" w:hAnsi="Arial"/>
          <w:sz w:val="20"/>
          <w:szCs w:val="20"/>
          <w:color w:val="auto"/>
        </w:rPr>
      </w:pPr>
    </w:p>
    <w:p>
      <w:pPr>
        <w:ind w:left="660" w:right="200" w:hanging="328"/>
        <w:spacing w:after="0"/>
        <w:tabs>
          <w:tab w:leader="none" w:pos="635"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Commencing on the first date annual incentive equity awards are granted to similarly situated executives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effective date of the employment agreement and subject to the terms of the Company’s 2021 Omnibus Incentive Plan and the approval of the board’s compensation and talent committee, Ms. Apple will be eligible to receive annual grants of equity-based incentive compensation with a grant date fair market value of 75% of her annual base salary. The equity grant for 2026 will be pro-rated based on the number of days in which Ms. Apple is employed by the Company in 2026.</w:t>
      </w:r>
    </w:p>
    <w:p>
      <w:pPr>
        <w:spacing w:after="0" w:line="200"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Provided Ms. Apple’s employment is terminated by the Company without cause or by Ms. Apple for good reason and she timely executes and does not revoke a release of claims, Ms. Apple will receive: continued base salary payments for six months (or twelve months if such termination occurs within a period starting three months prior to and ending twelve months following a change in control); and a pro-rated annual bonus for the year of termination.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Apple’s employment agreement with the Company is filed as Exhibit 99.2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line="3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2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20" w:type="dxa"/>
            <w:vAlign w:val="bottom"/>
            <w:gridSpan w:val="2"/>
          </w:tcPr>
          <w:p>
            <w:pPr>
              <w:spacing w:after="0"/>
              <w:rPr>
                <w:sz w:val="2"/>
                <w:szCs w:val="2"/>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5"/>
              </w:rPr>
              <w:t>99.</w:t>
            </w:r>
            <w:r>
              <w:rPr>
                <w:rFonts w:ascii="Times New Roman" w:cs="Times New Roman" w:eastAsia="Times New Roman" w:hAnsi="Times New Roman"/>
                <w:sz w:val="18"/>
                <w:szCs w:val="18"/>
                <w:u w:val="single" w:color="auto"/>
                <w:color w:val="auto"/>
                <w:w w:val="95"/>
              </w:rPr>
              <w:t>1</w:t>
            </w: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May 15, 2026</w:t>
            </w:r>
          </w:p>
        </w:tc>
        <w:tc>
          <w:tcPr>
            <w:tcW w:w="2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99.</w:t>
            </w:r>
            <w:r>
              <w:rPr>
                <w:rFonts w:ascii="Times New Roman" w:cs="Times New Roman" w:eastAsia="Times New Roman" w:hAnsi="Times New Roman"/>
                <w:sz w:val="18"/>
                <w:szCs w:val="18"/>
                <w:u w:val="single" w:color="auto"/>
                <w:color w:val="auto"/>
                <w:w w:val="95"/>
              </w:rPr>
              <w:t>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Employment Agreement, dated April 27, 2026, by and between Holley Inc. and Sarah Apple</w:t>
            </w:r>
          </w:p>
        </w:tc>
      </w:tr>
      <w:tr>
        <w:trPr>
          <w:trHeight w:val="26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70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Jesse Weaver</w:t>
            </w:r>
          </w:p>
        </w:tc>
      </w:tr>
      <w:tr>
        <w:trPr>
          <w:trHeight w:val="27"/>
        </w:trPr>
        <w:tc>
          <w:tcPr>
            <w:tcW w:w="59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 Jesse Weaver</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2368550</wp:posOffset>
            </wp:positionH>
            <wp:positionV relativeFrom="page">
              <wp:posOffset>1049020</wp:posOffset>
            </wp:positionV>
            <wp:extent cx="2820035" cy="1577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200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right="260"/>
        <w:spacing w:after="0" w:line="300" w:lineRule="auto"/>
        <w:rPr>
          <w:sz w:val="20"/>
          <w:szCs w:val="20"/>
          <w:color w:val="auto"/>
        </w:rPr>
      </w:pPr>
      <w:r>
        <w:rPr>
          <w:rFonts w:ascii="Arial" w:cs="Arial" w:eastAsia="Arial" w:hAnsi="Arial"/>
          <w:sz w:val="20"/>
          <w:szCs w:val="20"/>
          <w:color w:val="auto"/>
        </w:rPr>
        <w:t>HOLLEY PERFORMANCE BRANDS ANNOUNCES APPOINTMENT OF SARAH APPLE AS SENIOR VICE PRESIDENT, GENERAL COUNSEL &amp; CORPORATE SECRETARY</w:t>
      </w:r>
    </w:p>
    <w:p>
      <w:pPr>
        <w:spacing w:after="0" w:line="168" w:lineRule="exact"/>
        <w:rPr>
          <w:sz w:val="20"/>
          <w:szCs w:val="20"/>
          <w:color w:val="auto"/>
        </w:rPr>
      </w:pPr>
    </w:p>
    <w:p>
      <w:pPr>
        <w:jc w:val="center"/>
        <w:ind w:left="340" w:right="200"/>
        <w:spacing w:after="0" w:line="300" w:lineRule="auto"/>
        <w:rPr>
          <w:sz w:val="20"/>
          <w:szCs w:val="20"/>
          <w:color w:val="auto"/>
        </w:rPr>
      </w:pPr>
      <w:r>
        <w:rPr>
          <w:rFonts w:ascii="Arial" w:cs="Arial" w:eastAsia="Arial" w:hAnsi="Arial"/>
          <w:sz w:val="20"/>
          <w:szCs w:val="20"/>
          <w:i w:val="1"/>
          <w:iCs w:val="1"/>
          <w:color w:val="auto"/>
        </w:rPr>
        <w:t>Experienced public-company legal executive joins Holley leadership team to support governance, compliance, and strategic growth</w:t>
      </w:r>
    </w:p>
    <w:p>
      <w:pPr>
        <w:spacing w:after="0" w:line="168" w:lineRule="exact"/>
        <w:rPr>
          <w:sz w:val="20"/>
          <w:szCs w:val="20"/>
          <w:color w:val="auto"/>
        </w:rPr>
      </w:pPr>
    </w:p>
    <w:p>
      <w:pPr>
        <w:jc w:val="both"/>
        <w:ind w:right="40"/>
        <w:spacing w:after="0" w:line="290" w:lineRule="auto"/>
        <w:rPr>
          <w:sz w:val="20"/>
          <w:szCs w:val="20"/>
          <w:color w:val="auto"/>
        </w:rPr>
      </w:pPr>
      <w:r>
        <w:rPr>
          <w:rFonts w:ascii="Arial" w:cs="Arial" w:eastAsia="Arial" w:hAnsi="Arial"/>
          <w:sz w:val="20"/>
          <w:szCs w:val="20"/>
          <w:color w:val="auto"/>
        </w:rPr>
        <w:t>NASHVILLE, Tenn., May 15, 2026. - Holley Performance Brands (NYSE: HLLY), home to a portfolio of iconic automotive brands serving enthusiasts across the high-performance aftermarket, today announced the appointment of Sarah Apple as Senior Vice President, General Counsel &amp; Corporate Secretary, effective immediately.</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Apple joins Holley with extensive experience advising public-company leadership teams on corporate governance, regulatory compliance, strategic transactions and operational matters. Most recently, she served as Associate General Counsel at REV Group, where she led key initiatives involving SEC reporting and mergers and acquisitions. Prior to REV Group, Apple held progressive leadership roles at Regal Rexnord Corporation, serving as a strategic advisor and business partner to senior executives across global operational matters, compliance initiatives, SEC reporting, board governance, and large-scale strategic transactions.</w:t>
      </w:r>
    </w:p>
    <w:p>
      <w:pPr>
        <w:spacing w:after="0" w:line="174" w:lineRule="exact"/>
        <w:rPr>
          <w:sz w:val="20"/>
          <w:szCs w:val="20"/>
          <w:color w:val="auto"/>
        </w:rPr>
      </w:pPr>
    </w:p>
    <w:p>
      <w:pPr>
        <w:ind w:right="180"/>
        <w:spacing w:after="0" w:line="290" w:lineRule="auto"/>
        <w:rPr>
          <w:sz w:val="20"/>
          <w:szCs w:val="20"/>
          <w:color w:val="auto"/>
        </w:rPr>
      </w:pPr>
      <w:r>
        <w:rPr>
          <w:rFonts w:ascii="Arial" w:cs="Arial" w:eastAsia="Arial" w:hAnsi="Arial"/>
          <w:sz w:val="20"/>
          <w:szCs w:val="20"/>
          <w:color w:val="auto"/>
        </w:rPr>
        <w:t>In her new role, Apple will serve as a member of Holley’s senior leadership team, overseeing the company’s legal function and advising on corporate and board governance, regulatory matters, strategic transactions and business operations across the organization.</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“Sarah brings a strong combination of public-company governance experience, strategic legal leadership and operational insight that will support Holley’s continued growth and long-term value creation,” said Matthew Stevenson, President and CEO of Holley Performance Brands. “We are excited to welcome her to the organization and look forward to the leadership and perspective she will bring to our team.”</w:t>
      </w:r>
    </w:p>
    <w:p>
      <w:pPr>
        <w:spacing w:after="0" w:line="184" w:lineRule="exact"/>
        <w:rPr>
          <w:sz w:val="20"/>
          <w:szCs w:val="20"/>
          <w:color w:val="auto"/>
        </w:rPr>
      </w:pPr>
    </w:p>
    <w:p>
      <w:pPr>
        <w:ind w:right="640"/>
        <w:spacing w:after="0" w:line="290" w:lineRule="auto"/>
        <w:rPr>
          <w:sz w:val="20"/>
          <w:szCs w:val="20"/>
          <w:color w:val="auto"/>
        </w:rPr>
      </w:pPr>
      <w:r>
        <w:rPr>
          <w:rFonts w:ascii="Arial" w:cs="Arial" w:eastAsia="Arial" w:hAnsi="Arial"/>
          <w:sz w:val="20"/>
          <w:szCs w:val="20"/>
          <w:color w:val="auto"/>
        </w:rPr>
        <w:t>Apple succeeds Carly Kennedy, who has departed the company after serving as EVP, General Counsel and Corporate Secretary. Kennedy played an important role in strengthening Holley’s legal and governance capabilities while supporting several strategic initiatives across the</w:t>
      </w:r>
    </w:p>
    <w:p>
      <w:pPr>
        <w:sectPr>
          <w:pgSz w:w="11900" w:h="16838" w:orient="portrait"/>
          <w:cols w:equalWidth="0" w:num="1">
            <w:col w:w="11220"/>
          </w:cols>
          <w:pgMar w:left="320" w:top="1440" w:right="359" w:bottom="1440" w:gutter="0" w:footer="0" w:header="0"/>
        </w:sectPr>
      </w:pPr>
    </w:p>
    <w:bookmarkStart w:id="5" w:name="page6"/>
    <w:bookmarkEnd w:id="5"/>
    <w:p>
      <w:pPr>
        <w:spacing w:after="0" w:line="204" w:lineRule="exact"/>
        <w:rPr>
          <w:sz w:val="20"/>
          <w:szCs w:val="20"/>
          <w:color w:val="auto"/>
        </w:rPr>
      </w:pPr>
    </w:p>
    <w:p>
      <w:pPr>
        <w:ind w:right="140"/>
        <w:spacing w:after="0" w:line="314" w:lineRule="auto"/>
        <w:rPr>
          <w:sz w:val="20"/>
          <w:szCs w:val="20"/>
          <w:color w:val="auto"/>
        </w:rPr>
      </w:pPr>
      <w:r>
        <w:rPr>
          <w:rFonts w:ascii="Arial" w:cs="Arial" w:eastAsia="Arial" w:hAnsi="Arial"/>
          <w:sz w:val="20"/>
          <w:szCs w:val="20"/>
          <w:color w:val="auto"/>
        </w:rPr>
        <w:t>business. To ensure a smooth transition, Kennedy has worked closely with Apple to support continuity and an effective handoff of responsibilities.</w:t>
      </w:r>
    </w:p>
    <w:p>
      <w:pPr>
        <w:spacing w:after="0" w:line="141" w:lineRule="exact"/>
        <w:rPr>
          <w:sz w:val="20"/>
          <w:szCs w:val="20"/>
          <w:color w:val="auto"/>
        </w:rPr>
      </w:pPr>
    </w:p>
    <w:p>
      <w:pPr>
        <w:ind w:right="620"/>
        <w:spacing w:after="0" w:line="314" w:lineRule="auto"/>
        <w:rPr>
          <w:sz w:val="20"/>
          <w:szCs w:val="20"/>
          <w:color w:val="auto"/>
        </w:rPr>
      </w:pPr>
      <w:r>
        <w:rPr>
          <w:rFonts w:ascii="Arial" w:cs="Arial" w:eastAsia="Arial" w:hAnsi="Arial"/>
          <w:sz w:val="20"/>
          <w:szCs w:val="20"/>
          <w:color w:val="auto"/>
        </w:rPr>
        <w:t>“We are grateful for Carly’s dedication and meaningful contributions to Holley. We wish her continued success in her next chapter,” added Stevenson.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Holley Performance Brands</w:t>
      </w:r>
    </w:p>
    <w:p>
      <w:pPr>
        <w:spacing w:after="0" w:line="258"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Holley Performance Brands (NYSE: HLLY) is home to a portfolio of iconic brands that serve enthusiasts across the high-performance aftermarket. The company designs, engineers, manufactures and markets category-leading products and solutions for automotive enthusiasts through a focused portfolio spanning four consumer vertical groupings: American Performance, Modern Truck &amp; Off-Road, Euro &amp; Import, and Safety &amp; Racing. For more than a century, Holley has built its reputation through innovation, technical expertise and a deep understanding of enthusiast culture. For more information, visit holley.com.</w:t>
      </w:r>
    </w:p>
    <w:p>
      <w:pPr>
        <w:sectPr>
          <w:pgSz w:w="11900" w:h="16838" w:orient="portrait"/>
          <w:cols w:equalWidth="0" w:num="1">
            <w:col w:w="11200"/>
          </w:cols>
          <w:pgMar w:left="320" w:top="1440" w:right="37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EMPLOYMENT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April 27, 2026, between Holley Inc.,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Sarah Apple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employ Executive and to enter into this Agreement embodying the terms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and Executive desires to enter into this Agreement and to accept such employment, subject to the terms and provisions of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promises and mutual covenants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mutually acknowledged, the Company and Executive hereby agree as follows:</w:t>
      </w:r>
    </w:p>
    <w:p>
      <w:pPr>
        <w:spacing w:after="0" w:line="162" w:lineRule="exact"/>
        <w:rPr>
          <w:sz w:val="20"/>
          <w:szCs w:val="20"/>
          <w:color w:val="auto"/>
        </w:rPr>
      </w:pPr>
    </w:p>
    <w:p>
      <w:pPr>
        <w:ind w:left="1960" w:hanging="1223"/>
        <w:spacing w:after="0"/>
        <w:tabs>
          <w:tab w:leader="none" w:pos="19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210" w:lineRule="exact"/>
        <w:rPr>
          <w:sz w:val="20"/>
          <w:szCs w:val="20"/>
          <w:color w:val="auto"/>
        </w:rPr>
      </w:pPr>
    </w:p>
    <w:p>
      <w:pPr>
        <w:jc w:val="both"/>
        <w:ind w:left="80" w:firstLine="641"/>
        <w:spacing w:after="0" w:line="215" w:lineRule="auto"/>
        <w:tabs>
          <w:tab w:leader="none" w:pos="1311" w:val="left"/>
        </w:tabs>
        <w:numPr>
          <w:ilvl w:val="0"/>
          <w:numId w:val="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2"/>
          <w:szCs w:val="22"/>
          <w:color w:val="auto"/>
        </w:rPr>
        <w:t xml:space="preserve">During the Employment Term (as defined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prior to May 16, 2026, the Executive shall serve as a senior advisor to the Chief Executive Officer. During the Employment Term after May 15, 2026, Executive shall serve as the Senior Vice President, General Counsel and Secretary of the Company. In this capacity, Executive shall have the duties, authorities and responsibilities as Senior Vice President and General Counsel as shall be determined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the President and Chief Executive Officer of the Company, from time to time.</w:t>
      </w:r>
    </w:p>
    <w:p>
      <w:pPr>
        <w:spacing w:after="0" w:line="166" w:lineRule="exact"/>
        <w:rPr>
          <w:rFonts w:ascii="Times New Roman" w:cs="Times New Roman" w:eastAsia="Times New Roman" w:hAnsi="Times New Roman"/>
          <w:sz w:val="23"/>
          <w:szCs w:val="23"/>
          <w:b w:val="1"/>
          <w:bCs w:val="1"/>
          <w:color w:val="auto"/>
        </w:rPr>
      </w:pPr>
    </w:p>
    <w:p>
      <w:pPr>
        <w:jc w:val="both"/>
        <w:ind w:left="80" w:firstLine="641"/>
        <w:spacing w:after="0" w:line="215" w:lineRule="auto"/>
        <w:tabs>
          <w:tab w:leader="none" w:pos="1311" w:val="left"/>
        </w:tabs>
        <w:numPr>
          <w:ilvl w:val="0"/>
          <w:numId w:val="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2"/>
          <w:szCs w:val="22"/>
          <w:color w:val="auto"/>
        </w:rPr>
        <w:t>During the Employment Term, Executive shall devote all of Executive’s business time, energy, business judgment, knowledge and skill and Executive’s best efforts to the performance of Executive’s duties with the Company. Notwithstanding the foregoing, Executive may serve on boards of directors or similar bodies for non-profit organizations, so long as such activities do not unreasonably interfere with the Executive’s performance of her responsibilities and duties or create an actual or potential conflict of interest with the Company.</w:t>
      </w:r>
    </w:p>
    <w:p>
      <w:pPr>
        <w:spacing w:after="0" w:line="166" w:lineRule="exact"/>
        <w:rPr>
          <w:rFonts w:ascii="Times New Roman" w:cs="Times New Roman" w:eastAsia="Times New Roman" w:hAnsi="Times New Roman"/>
          <w:sz w:val="23"/>
          <w:szCs w:val="23"/>
          <w:b w:val="1"/>
          <w:bCs w:val="1"/>
          <w:color w:val="auto"/>
        </w:rPr>
      </w:pPr>
    </w:p>
    <w:p>
      <w:pPr>
        <w:jc w:val="both"/>
        <w:ind w:left="80" w:firstLine="641"/>
        <w:spacing w:after="0" w:line="222" w:lineRule="auto"/>
        <w:tabs>
          <w:tab w:leader="none" w:pos="1298" w:val="left"/>
        </w:tabs>
        <w:numPr>
          <w:ilvl w:val="0"/>
          <w:numId w:val="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2"/>
          <w:szCs w:val="22"/>
          <w:color w:val="auto"/>
        </w:rPr>
        <w:t>Executive’s principal place of employment shall be in Nashville, Tennessee. Further, Executive understands and agrees that Executive will be required to spend sufficient time at the Company’s offices and elsewhere to effectively perform Executive’s duties and responsibilities, and that Executive may be required to travel from time to time for business reasons.</w:t>
      </w:r>
    </w:p>
    <w:p>
      <w:pPr>
        <w:spacing w:after="0" w:line="151" w:lineRule="exact"/>
        <w:rPr>
          <w:rFonts w:ascii="Times New Roman" w:cs="Times New Roman" w:eastAsia="Times New Roman" w:hAnsi="Times New Roman"/>
          <w:sz w:val="23"/>
          <w:szCs w:val="23"/>
          <w:b w:val="1"/>
          <w:bCs w:val="1"/>
          <w:color w:val="auto"/>
        </w:rPr>
      </w:pPr>
    </w:p>
    <w:p>
      <w:pPr>
        <w:jc w:val="both"/>
        <w:ind w:left="80" w:firstLine="641"/>
        <w:spacing w:after="0" w:line="213" w:lineRule="auto"/>
        <w:tabs>
          <w:tab w:leader="none" w:pos="1311" w:val="left"/>
        </w:tabs>
        <w:numPr>
          <w:ilvl w:val="0"/>
          <w:numId w:val="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2"/>
          <w:szCs w:val="22"/>
          <w:color w:val="auto"/>
        </w:rPr>
        <w:t>The Company and the Executive have agreed that Executive will promptly undertake to relocate to the Nashville, Tennessee area (inclusive of the Nashville metropolitan area) upon acceptance of employment. The Company agrees to reimburse Executive reasonable Relocation Expenses, which will be grossed up for taxes. “Relocation Expenses” means the following costs, in a reasonable amount, incurred by Executive in connection with relocation: packaging and transportation of household goods and personal belongings; expenses associated with one house-hunting trip (inclusive of airfare, hotel, local transportation and meals); customary closing costs associated with the sale of an existing residence and/or purchase of a new residence; and the cost of temporary housing for a period not to exceed 30 days. Such Relocation Expenses will be paid to Executive within a reasonable time of Executive’s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8" w:right="339" w:bottom="1440" w:gutter="0" w:footer="0" w:header="0"/>
        </w:sectPr>
      </w:pPr>
    </w:p>
    <w:bookmarkStart w:id="7" w:name="page8"/>
    <w:bookmarkEnd w:id="7"/>
    <w:p>
      <w:pPr>
        <w:spacing w:after="0" w:line="198" w:lineRule="exact"/>
        <w:rPr>
          <w:sz w:val="20"/>
          <w:szCs w:val="20"/>
          <w:color w:val="auto"/>
        </w:rPr>
      </w:pPr>
    </w:p>
    <w:p>
      <w:pPr>
        <w:jc w:val="both"/>
        <w:ind w:left="80"/>
        <w:spacing w:after="0" w:line="210" w:lineRule="auto"/>
        <w:rPr>
          <w:sz w:val="20"/>
          <w:szCs w:val="20"/>
          <w:color w:val="auto"/>
        </w:rPr>
      </w:pPr>
      <w:r>
        <w:rPr>
          <w:rFonts w:ascii="Times New Roman" w:cs="Times New Roman" w:eastAsia="Times New Roman" w:hAnsi="Times New Roman"/>
          <w:sz w:val="22"/>
          <w:szCs w:val="22"/>
          <w:color w:val="auto"/>
        </w:rPr>
        <w:t>for reimbursement accompanied by receipts or other evidence of payment and any other documentation as may be reasonably required by the Company’s policies. Reimbursement of the Relocation Expenses shall be subject to all applicable payroll tax withholdings; provided, however, that the Company shall pay Executive such amounts as are necessary to compensate Executive for any out-of-pocket federal, state and local income taxes incurred by Executive with respect to any compensation attributed to Executive for the reimbursements provided under this Section 1(d). With respect to such relocation benefits, if Executive fails to report for employment or if following commencement of employment Executive voluntarily terminates employment (other than for Good Reason) or Executive’s employment is terminated for the commission of acts of dishonesty or immorality affecting Executive’s employment, Executive agrees to reimburse the Company for 100% of such expenses which have been paid to Executive, or for which the Company is responsible, if such termination of employment occurs within twelve months following commencement of employment, and at a rate of 50% thereof if such termination of employment occurs within twenty-four months following commencement of employment but following the initial twelve months following commencement of employment.</w:t>
      </w:r>
    </w:p>
    <w:p>
      <w:pPr>
        <w:spacing w:after="0" w:line="175" w:lineRule="exact"/>
        <w:rPr>
          <w:sz w:val="20"/>
          <w:szCs w:val="20"/>
          <w:color w:val="auto"/>
        </w:rPr>
      </w:pPr>
    </w:p>
    <w:p>
      <w:pPr>
        <w:jc w:val="both"/>
        <w:ind w:firstLine="656"/>
        <w:spacing w:after="0" w:line="250" w:lineRule="auto"/>
        <w:tabs>
          <w:tab w:leader="none" w:pos="1296" w:val="left"/>
        </w:tabs>
        <w:numPr>
          <w:ilvl w:val="0"/>
          <w:numId w:val="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EMPLOYMENT TERM. </w:t>
      </w:r>
      <w:r>
        <w:rPr>
          <w:rFonts w:ascii="Times New Roman" w:cs="Times New Roman" w:eastAsia="Times New Roman" w:hAnsi="Times New Roman"/>
          <w:sz w:val="22"/>
          <w:szCs w:val="22"/>
          <w:color w:val="1E1E1E"/>
        </w:rPr>
        <w:t>The term of Executive's employment under this Agreement shall commence on April</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27, 2026 (the “</w:t>
      </w:r>
      <w:r>
        <w:rPr>
          <w:rFonts w:ascii="Times New Roman" w:cs="Times New Roman" w:eastAsia="Times New Roman" w:hAnsi="Times New Roman"/>
          <w:sz w:val="22"/>
          <w:szCs w:val="22"/>
          <w:u w:val="single" w:color="auto"/>
          <w:color w:val="1E1E1E"/>
        </w:rPr>
        <w:t>Effective Date</w:t>
      </w:r>
      <w:r>
        <w:rPr>
          <w:rFonts w:ascii="Times New Roman" w:cs="Times New Roman" w:eastAsia="Times New Roman" w:hAnsi="Times New Roman"/>
          <w:sz w:val="22"/>
          <w:szCs w:val="22"/>
          <w:color w:val="1E1E1E"/>
        </w:rPr>
        <w:t>”) and shall continue for a term of sixty (60) months thereafter (the “</w:t>
      </w:r>
      <w:r>
        <w:rPr>
          <w:rFonts w:ascii="Times New Roman" w:cs="Times New Roman" w:eastAsia="Times New Roman" w:hAnsi="Times New Roman"/>
          <w:sz w:val="22"/>
          <w:szCs w:val="22"/>
          <w:u w:val="single" w:color="auto"/>
          <w:color w:val="1E1E1E"/>
        </w:rPr>
        <w:t>Initial Term</w:t>
      </w:r>
      <w:r>
        <w:rPr>
          <w:rFonts w:ascii="Times New Roman" w:cs="Times New Roman" w:eastAsia="Times New Roman" w:hAnsi="Times New Roman"/>
          <w:sz w:val="22"/>
          <w:szCs w:val="22"/>
          <w:color w:val="1E1E1E"/>
        </w:rPr>
        <w:t>”); provided, however, that the term of this Agreement shall automatically be renewed for an additional one year period commencing on the expiration date of the Initial Term and each renewal term, unless any party elects to terminate this Agreement by providing written notice of non-renewal to the other parties at least ninety (90) days prior to any such expiration date. The “</w:t>
      </w:r>
      <w:r>
        <w:rPr>
          <w:rFonts w:ascii="Times New Roman" w:cs="Times New Roman" w:eastAsia="Times New Roman" w:hAnsi="Times New Roman"/>
          <w:sz w:val="22"/>
          <w:szCs w:val="22"/>
          <w:u w:val="single" w:color="auto"/>
          <w:color w:val="1E1E1E"/>
        </w:rPr>
        <w:t>Employment</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u w:val="single" w:color="auto"/>
          <w:color w:val="1E1E1E"/>
        </w:rPr>
        <w:t>Term</w:t>
      </w:r>
      <w:r>
        <w:rPr>
          <w:rFonts w:ascii="Times New Roman" w:cs="Times New Roman" w:eastAsia="Times New Roman" w:hAnsi="Times New Roman"/>
          <w:sz w:val="22"/>
          <w:szCs w:val="22"/>
          <w:color w:val="1E1E1E"/>
        </w:rPr>
        <w:t xml:space="preserve">” shall mean the Initial Term plus any renewal terms as provided above. Notwithstanding the foregoing, Executive's employment hereunder may be earlier terminated in accordance with </w:t>
      </w:r>
      <w:r>
        <w:rPr>
          <w:rFonts w:ascii="Times New Roman" w:cs="Times New Roman" w:eastAsia="Times New Roman" w:hAnsi="Times New Roman"/>
          <w:sz w:val="22"/>
          <w:szCs w:val="22"/>
          <w:u w:val="single" w:color="auto"/>
          <w:color w:val="1E1E1E"/>
        </w:rPr>
        <w:t>Section 6</w:t>
      </w:r>
      <w:r>
        <w:rPr>
          <w:rFonts w:ascii="Times New Roman" w:cs="Times New Roman" w:eastAsia="Times New Roman" w:hAnsi="Times New Roman"/>
          <w:sz w:val="22"/>
          <w:szCs w:val="22"/>
          <w:color w:val="1E1E1E"/>
        </w:rPr>
        <w:t xml:space="preserve"> hereof, subject to </w:t>
      </w:r>
      <w:r>
        <w:rPr>
          <w:rFonts w:ascii="Times New Roman" w:cs="Times New Roman" w:eastAsia="Times New Roman" w:hAnsi="Times New Roman"/>
          <w:sz w:val="22"/>
          <w:szCs w:val="22"/>
          <w:u w:val="single" w:color="auto"/>
          <w:color w:val="1E1E1E"/>
        </w:rPr>
        <w:t>Section 7</w:t>
      </w:r>
      <w:r>
        <w:rPr>
          <w:rFonts w:ascii="Times New Roman" w:cs="Times New Roman" w:eastAsia="Times New Roman" w:hAnsi="Times New Roman"/>
          <w:sz w:val="22"/>
          <w:szCs w:val="22"/>
          <w:color w:val="1E1E1E"/>
        </w:rPr>
        <w:t xml:space="preserve"> hereof.</w:t>
      </w:r>
    </w:p>
    <w:p>
      <w:pPr>
        <w:spacing w:after="0" w:line="180" w:lineRule="exact"/>
        <w:rPr>
          <w:rFonts w:ascii="Times New Roman" w:cs="Times New Roman" w:eastAsia="Times New Roman" w:hAnsi="Times New Roman"/>
          <w:sz w:val="22"/>
          <w:szCs w:val="22"/>
          <w:b w:val="1"/>
          <w:bCs w:val="1"/>
          <w:color w:val="1E1E1E"/>
        </w:rPr>
      </w:pPr>
    </w:p>
    <w:p>
      <w:pPr>
        <w:jc w:val="both"/>
        <w:ind w:right="20" w:firstLine="656"/>
        <w:spacing w:after="0" w:line="258" w:lineRule="auto"/>
        <w:tabs>
          <w:tab w:leader="none" w:pos="1296" w:val="left"/>
        </w:tabs>
        <w:numPr>
          <w:ilvl w:val="0"/>
          <w:numId w:val="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SIGNING BONUS. </w:t>
      </w:r>
      <w:r>
        <w:rPr>
          <w:rFonts w:ascii="Times New Roman" w:cs="Times New Roman" w:eastAsia="Times New Roman" w:hAnsi="Times New Roman"/>
          <w:sz w:val="22"/>
          <w:szCs w:val="22"/>
          <w:color w:val="1E1E1E"/>
        </w:rPr>
        <w:t>Executive shall receive a one-time signing bonus in the amount of $25,000, less applicable</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withholdings and deductions, to be paid on the first regularly scheduled payroll that occurs after Executive begins performing work for the Company. In the event that Executive voluntarily terminates employment prior to the one-year anniversary of the Effective Date (other than for Good Reason), the Executive shall repay the gross amount of payment to the Company.</w:t>
      </w:r>
    </w:p>
    <w:p>
      <w:pPr>
        <w:spacing w:after="0" w:line="167" w:lineRule="exact"/>
        <w:rPr>
          <w:rFonts w:ascii="Times New Roman" w:cs="Times New Roman" w:eastAsia="Times New Roman" w:hAnsi="Times New Roman"/>
          <w:sz w:val="22"/>
          <w:szCs w:val="22"/>
          <w:b w:val="1"/>
          <w:bCs w:val="1"/>
          <w:color w:val="1E1E1E"/>
        </w:rPr>
      </w:pPr>
    </w:p>
    <w:p>
      <w:pPr>
        <w:ind w:left="1300" w:hanging="644"/>
        <w:spacing w:after="0"/>
        <w:tabs>
          <w:tab w:leader="none" w:pos="1300" w:val="left"/>
        </w:tabs>
        <w:numPr>
          <w:ilvl w:val="0"/>
          <w:numId w:val="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ANNUAL COMPENSATION</w:t>
      </w:r>
    </w:p>
    <w:p>
      <w:pPr>
        <w:spacing w:after="0" w:line="220" w:lineRule="exact"/>
        <w:rPr>
          <w:sz w:val="20"/>
          <w:szCs w:val="20"/>
          <w:color w:val="auto"/>
        </w:rPr>
      </w:pPr>
    </w:p>
    <w:p>
      <w:pPr>
        <w:jc w:val="both"/>
        <w:ind w:firstLine="656"/>
        <w:spacing w:after="0" w:line="258" w:lineRule="auto"/>
        <w:tabs>
          <w:tab w:leader="none" w:pos="1291" w:val="left"/>
        </w:tabs>
        <w:numPr>
          <w:ilvl w:val="0"/>
          <w:numId w:val="6"/>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BASE SALARY. </w:t>
      </w:r>
      <w:r>
        <w:rPr>
          <w:rFonts w:ascii="Times New Roman" w:cs="Times New Roman" w:eastAsia="Times New Roman" w:hAnsi="Times New Roman"/>
          <w:sz w:val="22"/>
          <w:szCs w:val="22"/>
          <w:color w:val="1E1E1E"/>
        </w:rPr>
        <w:t>The Company agrees to pay Executive a base salary at an annual rate of $350,000, payable in</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accordance with the regular payroll practices of the Company. Executive’s base salary shall be subject to annual review by the Board (or a committee thereof), and may be increased, but not decreased from time to time by the Board. The base salary as determined herein and adjusted from time to time shall constitute “</w:t>
      </w:r>
      <w:r>
        <w:rPr>
          <w:rFonts w:ascii="Times New Roman" w:cs="Times New Roman" w:eastAsia="Times New Roman" w:hAnsi="Times New Roman"/>
          <w:sz w:val="22"/>
          <w:szCs w:val="22"/>
          <w:u w:val="single" w:color="auto"/>
          <w:color w:val="1E1E1E"/>
        </w:rPr>
        <w:t>Base Salary</w:t>
      </w:r>
      <w:r>
        <w:rPr>
          <w:rFonts w:ascii="Times New Roman" w:cs="Times New Roman" w:eastAsia="Times New Roman" w:hAnsi="Times New Roman"/>
          <w:sz w:val="22"/>
          <w:szCs w:val="22"/>
          <w:color w:val="1E1E1E"/>
        </w:rPr>
        <w:t>” for purposes of this Agreement.</w:t>
      </w:r>
    </w:p>
    <w:p>
      <w:pPr>
        <w:spacing w:after="0" w:line="167" w:lineRule="exact"/>
        <w:rPr>
          <w:rFonts w:ascii="Times New Roman" w:cs="Times New Roman" w:eastAsia="Times New Roman" w:hAnsi="Times New Roman"/>
          <w:sz w:val="22"/>
          <w:szCs w:val="22"/>
          <w:b w:val="1"/>
          <w:bCs w:val="1"/>
          <w:color w:val="1E1E1E"/>
        </w:rPr>
      </w:pPr>
    </w:p>
    <w:p>
      <w:pPr>
        <w:jc w:val="both"/>
        <w:ind w:firstLine="656"/>
        <w:spacing w:after="0" w:line="265" w:lineRule="auto"/>
        <w:tabs>
          <w:tab w:leader="none" w:pos="1290" w:val="left"/>
        </w:tabs>
        <w:numPr>
          <w:ilvl w:val="0"/>
          <w:numId w:val="6"/>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ANNUAL BONUS. </w:t>
      </w:r>
      <w:r>
        <w:rPr>
          <w:rFonts w:ascii="Times New Roman" w:cs="Times New Roman" w:eastAsia="Times New Roman" w:hAnsi="Times New Roman"/>
          <w:sz w:val="22"/>
          <w:szCs w:val="22"/>
          <w:color w:val="1E1E1E"/>
        </w:rPr>
        <w:t>Executive shall be eligible to participate in any bonus plan as may be in effect from time to</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time for senior executives of the Company (the “</w:t>
      </w:r>
      <w:r>
        <w:rPr>
          <w:rFonts w:ascii="Times New Roman" w:cs="Times New Roman" w:eastAsia="Times New Roman" w:hAnsi="Times New Roman"/>
          <w:sz w:val="22"/>
          <w:szCs w:val="22"/>
          <w:u w:val="single" w:color="auto"/>
          <w:color w:val="1E1E1E"/>
        </w:rPr>
        <w:t>Annual Bonus</w:t>
      </w:r>
      <w:r>
        <w:rPr>
          <w:rFonts w:ascii="Times New Roman" w:cs="Times New Roman" w:eastAsia="Times New Roman" w:hAnsi="Times New Roman"/>
          <w:sz w:val="22"/>
          <w:szCs w:val="22"/>
          <w:color w:val="1E1E1E"/>
        </w:rPr>
        <w:t>”), with a target bonus opportunity of 50% of Base Salary (the “</w:t>
      </w:r>
      <w:r>
        <w:rPr>
          <w:rFonts w:ascii="Times New Roman" w:cs="Times New Roman" w:eastAsia="Times New Roman" w:hAnsi="Times New Roman"/>
          <w:sz w:val="22"/>
          <w:szCs w:val="22"/>
          <w:u w:val="single" w:color="auto"/>
          <w:color w:val="1E1E1E"/>
        </w:rPr>
        <w:t>Target Bonus</w:t>
      </w:r>
      <w:r>
        <w:rPr>
          <w:rFonts w:ascii="Times New Roman" w:cs="Times New Roman" w:eastAsia="Times New Roman" w:hAnsi="Times New Roman"/>
          <w:sz w:val="22"/>
          <w:szCs w:val="22"/>
          <w:color w:val="1E1E1E"/>
        </w:rPr>
        <w:t>”) upon the attainment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8" w:name="page9"/>
    <w:bookmarkEnd w:id="8"/>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1E1E1E"/>
        </w:rPr>
        <w:t xml:space="preserve">of one or more pre-established financial and/or personal performance goals established by the Board or any committee thereof in its sole discretion and subject to discretionary adjustment by the Board or any committee thereof in its sole discretion based on Executive’s individual performance, and a maximum bonus opportunity of 100% of Base Salary upon achievement of outperformance of performance goals. To receive any Annual Bonus, the Executive must have been continuously employed by the Company or any of its subsidiaries through the date the applicable Annual Bonus becomes payable and be in “active working status” at the time of bonus payment, except as provided in </w:t>
      </w:r>
      <w:r>
        <w:rPr>
          <w:rFonts w:ascii="Times New Roman" w:cs="Times New Roman" w:eastAsia="Times New Roman" w:hAnsi="Times New Roman"/>
          <w:sz w:val="22"/>
          <w:szCs w:val="22"/>
          <w:u w:val="single" w:color="auto"/>
          <w:color w:val="1E1E1E"/>
        </w:rPr>
        <w:t>Sections 7(b) and 7(c).</w:t>
      </w:r>
      <w:r>
        <w:rPr>
          <w:rFonts w:ascii="Times New Roman" w:cs="Times New Roman" w:eastAsia="Times New Roman" w:hAnsi="Times New Roman"/>
          <w:sz w:val="22"/>
          <w:szCs w:val="22"/>
          <w:color w:val="1E1E1E"/>
        </w:rPr>
        <w:t xml:space="preserve"> The Annual Bonus will become payable following completion and review by the Board of the Company’s audited consolidated financial statements for the applicable fiscal year, which completion and review shall not be unreasonably delayed. For purposes of this Agreement, “active working status” shall mean that Executive has not resigned (or given notice of her intention to resign) and has not been terminated (or been given notice of termination) for any reason, with or without “cause” including, without limitation, as defined in </w:t>
      </w:r>
      <w:r>
        <w:rPr>
          <w:rFonts w:ascii="Times New Roman" w:cs="Times New Roman" w:eastAsia="Times New Roman" w:hAnsi="Times New Roman"/>
          <w:sz w:val="22"/>
          <w:szCs w:val="22"/>
          <w:u w:val="single" w:color="auto"/>
          <w:color w:val="1E1E1E"/>
        </w:rPr>
        <w:t>Section 6</w:t>
      </w:r>
      <w:r>
        <w:rPr>
          <w:rFonts w:ascii="Times New Roman" w:cs="Times New Roman" w:eastAsia="Times New Roman" w:hAnsi="Times New Roman"/>
          <w:sz w:val="22"/>
          <w:szCs w:val="22"/>
          <w:color w:val="1E1E1E"/>
        </w:rPr>
        <w:t>. The amount of the Annual Bonus for 2026 shall be pro-rated with the amount that is otherwise payable pursuant to this Section 4(b) multiplied by a fraction with the numerator equal to the number of days in 2026 on and after the Effective Date and the denominator equal to three hundred and sixty-five (365).</w:t>
      </w:r>
    </w:p>
    <w:p>
      <w:pPr>
        <w:spacing w:after="0" w:line="189" w:lineRule="exact"/>
        <w:rPr>
          <w:sz w:val="20"/>
          <w:szCs w:val="20"/>
          <w:color w:val="auto"/>
        </w:rPr>
      </w:pPr>
    </w:p>
    <w:p>
      <w:pPr>
        <w:jc w:val="both"/>
        <w:ind w:firstLine="656"/>
        <w:spacing w:after="0" w:line="250" w:lineRule="auto"/>
        <w:tabs>
          <w:tab w:leader="none" w:pos="1293" w:val="left"/>
        </w:tabs>
        <w:numPr>
          <w:ilvl w:val="0"/>
          <w:numId w:val="7"/>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ANNUAL EQUITY AWARD. </w:t>
      </w:r>
      <w:r>
        <w:rPr>
          <w:rFonts w:ascii="Times New Roman" w:cs="Times New Roman" w:eastAsia="Times New Roman" w:hAnsi="Times New Roman"/>
          <w:sz w:val="22"/>
          <w:szCs w:val="22"/>
          <w:color w:val="1E1E1E"/>
        </w:rPr>
        <w:t>Commencing on the first date annual incentive equity awards are granted to</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 xml:space="preserve">similarly situated executives following the Effective Date and subject to the terms of the Company’s 2021 Omnibus Incentive Plan (the “Plan”) and the approval of the Compensation Committee of the Board, Executive will also be eligible to receive annual grants of equity-based incentive compensation with a grant date fair market value of 75% of Executive’s Base Salary as set forth in </w:t>
      </w:r>
      <w:r>
        <w:rPr>
          <w:rFonts w:ascii="Times New Roman" w:cs="Times New Roman" w:eastAsia="Times New Roman" w:hAnsi="Times New Roman"/>
          <w:sz w:val="22"/>
          <w:szCs w:val="22"/>
          <w:u w:val="single" w:color="auto"/>
          <w:color w:val="1E1E1E"/>
        </w:rPr>
        <w:t>Section 4(a).</w:t>
      </w:r>
      <w:r>
        <w:rPr>
          <w:rFonts w:ascii="Times New Roman" w:cs="Times New Roman" w:eastAsia="Times New Roman" w:hAnsi="Times New Roman"/>
          <w:sz w:val="22"/>
          <w:szCs w:val="22"/>
          <w:color w:val="1E1E1E"/>
        </w:rPr>
        <w:t xml:space="preserve"> The equity grant for 2026 shall be pro-rated with the fair value of the grants otherwise granted pursuant to this Section 4(c) multiplied by a fraction with the numerator equal to the number of days in 2026 on and after the Effective Date and the denominator equal to three hundred and sixty-five (365).</w:t>
      </w:r>
    </w:p>
    <w:p>
      <w:pPr>
        <w:spacing w:after="0" w:line="193" w:lineRule="exact"/>
        <w:rPr>
          <w:rFonts w:ascii="Times New Roman" w:cs="Times New Roman" w:eastAsia="Times New Roman" w:hAnsi="Times New Roman"/>
          <w:sz w:val="22"/>
          <w:szCs w:val="22"/>
          <w:b w:val="1"/>
          <w:bCs w:val="1"/>
          <w:color w:val="1E1E1E"/>
        </w:rPr>
      </w:pPr>
    </w:p>
    <w:p>
      <w:pPr>
        <w:ind w:left="1960" w:hanging="1223"/>
        <w:spacing w:after="0"/>
        <w:tabs>
          <w:tab w:leader="none" w:pos="1960" w:val="left"/>
        </w:tabs>
        <w:numPr>
          <w:ilvl w:val="1"/>
          <w:numId w:val="7"/>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EMPLOYEE BENEFITS.</w:t>
      </w:r>
    </w:p>
    <w:p>
      <w:pPr>
        <w:spacing w:after="0" w:line="220" w:lineRule="exact"/>
        <w:rPr>
          <w:sz w:val="20"/>
          <w:szCs w:val="20"/>
          <w:color w:val="auto"/>
        </w:rPr>
      </w:pPr>
    </w:p>
    <w:p>
      <w:pPr>
        <w:jc w:val="both"/>
        <w:ind w:firstLine="656"/>
        <w:spacing w:after="0" w:line="250" w:lineRule="auto"/>
        <w:tabs>
          <w:tab w:leader="none" w:pos="1291" w:val="left"/>
        </w:tabs>
        <w:numPr>
          <w:ilvl w:val="0"/>
          <w:numId w:val="8"/>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BENEFIT PLANS. </w:t>
      </w:r>
      <w:r>
        <w:rPr>
          <w:rFonts w:ascii="Times New Roman" w:cs="Times New Roman" w:eastAsia="Times New Roman" w:hAnsi="Times New Roman"/>
          <w:sz w:val="22"/>
          <w:szCs w:val="22"/>
          <w:color w:val="1E1E1E"/>
        </w:rPr>
        <w:t>During the Employment Term, Executive shall be eligible to participate in any employee</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 xml:space="preserve">benefit plan that the Company has adopted or may adopt, maintain or </w:t>
      </w:r>
      <w:r>
        <w:rPr>
          <w:rFonts w:ascii="Times New Roman" w:cs="Times New Roman" w:eastAsia="Times New Roman" w:hAnsi="Times New Roman"/>
          <w:sz w:val="22"/>
          <w:szCs w:val="22"/>
          <w:color w:val="000000"/>
        </w:rPr>
        <w:t>contribute to for the benefit of its senior executive</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employees generally, subject to the terms and conditions of such employee benefit plans, including satisfying the applicable eligibility requirements, except to the extent that such plans are duplicative of the benefits otherwise provided for hereunder. Executive's participation will be subject to the terms of the applicable plan documents and generally applicable Company policies, as may be in effect from time to time. Notwithstanding the foregoing, the Company may modify or terminate any employee benefit plan at any time.</w:t>
      </w:r>
    </w:p>
    <w:p>
      <w:pPr>
        <w:spacing w:after="0" w:line="180" w:lineRule="exact"/>
        <w:rPr>
          <w:rFonts w:ascii="Times New Roman" w:cs="Times New Roman" w:eastAsia="Times New Roman" w:hAnsi="Times New Roman"/>
          <w:sz w:val="22"/>
          <w:szCs w:val="22"/>
          <w:b w:val="1"/>
          <w:bCs w:val="1"/>
          <w:color w:val="1E1E1E"/>
        </w:rPr>
      </w:pPr>
    </w:p>
    <w:p>
      <w:pPr>
        <w:jc w:val="both"/>
        <w:ind w:firstLine="656"/>
        <w:spacing w:after="0" w:line="265" w:lineRule="auto"/>
        <w:tabs>
          <w:tab w:leader="none" w:pos="1290" w:val="left"/>
        </w:tabs>
        <w:numPr>
          <w:ilvl w:val="0"/>
          <w:numId w:val="8"/>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Upon presentation of reasonable substantiation and documentation as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specify from time to time, Executive shall be reimbursed in accordance with the Company's expense reimbursement policy, for all reasonable out-of-pocket business expenses incurred and paid by Executive during the Employment Term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9" w:name="page10"/>
    <w:bookmarkEnd w:id="9"/>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connection with the performance of Executive's duties hereunder, in accordance with the Company's policies with regard thereto.</w:t>
      </w:r>
    </w:p>
    <w:p>
      <w:pPr>
        <w:spacing w:after="0" w:line="227" w:lineRule="exact"/>
        <w:rPr>
          <w:sz w:val="20"/>
          <w:szCs w:val="20"/>
          <w:color w:val="auto"/>
        </w:rPr>
      </w:pPr>
    </w:p>
    <w:p>
      <w:pPr>
        <w:jc w:val="both"/>
        <w:ind w:firstLine="656"/>
        <w:spacing w:after="0" w:line="259" w:lineRule="auto"/>
        <w:tabs>
          <w:tab w:leader="none" w:pos="1293" w:val="left"/>
        </w:tabs>
        <w:numPr>
          <w:ilvl w:val="0"/>
          <w:numId w:val="9"/>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PAID TIME OFF. </w:t>
      </w:r>
      <w:r>
        <w:rPr>
          <w:rFonts w:ascii="Times New Roman" w:cs="Times New Roman" w:eastAsia="Times New Roman" w:hAnsi="Times New Roman"/>
          <w:sz w:val="22"/>
          <w:szCs w:val="22"/>
          <w:color w:val="auto"/>
        </w:rPr>
        <w:t>During the Employment Term, Executive shall be entitled to thirty (30) days of paid time off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calendar year (inclusive of holidays and as prorated for partial years) in accordance with, and subject to the terms of, the Company’s policy on accrual and use applicable to employees as in effect from time to time.</w:t>
      </w:r>
    </w:p>
    <w:p>
      <w:pPr>
        <w:spacing w:after="0" w:line="180" w:lineRule="exact"/>
        <w:rPr>
          <w:sz w:val="20"/>
          <w:szCs w:val="20"/>
          <w:color w:val="auto"/>
        </w:rPr>
      </w:pPr>
    </w:p>
    <w:p>
      <w:pPr>
        <w:ind w:firstLine="656"/>
        <w:spacing w:after="0" w:line="275" w:lineRule="auto"/>
        <w:tabs>
          <w:tab w:leader="none" w:pos="1296" w:val="left"/>
        </w:tabs>
        <w:numPr>
          <w:ilvl w:val="0"/>
          <w:numId w:val="10"/>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TERMINATION. </w:t>
      </w:r>
      <w:r>
        <w:rPr>
          <w:rFonts w:ascii="Times New Roman" w:cs="Times New Roman" w:eastAsia="Times New Roman" w:hAnsi="Times New Roman"/>
          <w:sz w:val="22"/>
          <w:szCs w:val="22"/>
          <w:color w:val="auto"/>
        </w:rPr>
        <w:t>Executive’s employment and the Employment Term shall terminate on the first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to occur:</w:t>
      </w:r>
    </w:p>
    <w:p>
      <w:pPr>
        <w:spacing w:after="0" w:line="149" w:lineRule="exact"/>
        <w:rPr>
          <w:sz w:val="20"/>
          <w:szCs w:val="20"/>
          <w:color w:val="auto"/>
        </w:rPr>
      </w:pPr>
    </w:p>
    <w:p>
      <w:pPr>
        <w:jc w:val="both"/>
        <w:ind w:firstLine="656"/>
        <w:spacing w:after="0" w:line="256" w:lineRule="auto"/>
        <w:tabs>
          <w:tab w:leader="none" w:pos="1291" w:val="left"/>
        </w:tabs>
        <w:numPr>
          <w:ilvl w:val="0"/>
          <w:numId w:val="11"/>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Upon ten (10) days' prior written notice by the Company to Executive of termination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Disability. For purposes of this Agreement,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19"/>
          <w:szCs w:val="19"/>
          <w:color w:val="auto"/>
        </w:rPr>
        <w:t>with respect to the Executive, the receipt by the Executive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benefits pursuant to an applicable long-term disability insurance policy of the Company, or, if no such policy exists, the Executive’s inability </w:t>
      </w:r>
      <w:r>
        <w:rPr>
          <w:rFonts w:ascii="Times New Roman" w:cs="Times New Roman" w:eastAsia="Times New Roman" w:hAnsi="Times New Roman"/>
          <w:sz w:val="21"/>
          <w:szCs w:val="21"/>
          <w:color w:val="auto"/>
        </w:rPr>
        <w:t>to perform the duties and responsibilities contemplated under this Agreement for ninety (90) or more days in any one-year period due to physical or mental incapacity or impairment.</w:t>
      </w:r>
    </w:p>
    <w:p>
      <w:pPr>
        <w:spacing w:after="0" w:line="173" w:lineRule="exact"/>
        <w:rPr>
          <w:rFonts w:ascii="Times New Roman" w:cs="Times New Roman" w:eastAsia="Times New Roman" w:hAnsi="Times New Roman"/>
          <w:sz w:val="22"/>
          <w:szCs w:val="22"/>
          <w:b w:val="1"/>
          <w:bCs w:val="1"/>
          <w:color w:val="1E1E1E"/>
        </w:rPr>
      </w:pPr>
    </w:p>
    <w:p>
      <w:pPr>
        <w:ind w:left="1300" w:hanging="644"/>
        <w:spacing w:after="0"/>
        <w:tabs>
          <w:tab w:leader="none" w:pos="1300" w:val="left"/>
        </w:tabs>
        <w:numPr>
          <w:ilvl w:val="0"/>
          <w:numId w:val="11"/>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Automatically upon the date of death of Executive.</w:t>
      </w:r>
    </w:p>
    <w:p>
      <w:pPr>
        <w:spacing w:after="0" w:line="219" w:lineRule="exact"/>
        <w:rPr>
          <w:rFonts w:ascii="Times New Roman" w:cs="Times New Roman" w:eastAsia="Times New Roman" w:hAnsi="Times New Roman"/>
          <w:sz w:val="22"/>
          <w:szCs w:val="22"/>
          <w:b w:val="1"/>
          <w:bCs w:val="1"/>
          <w:color w:val="1E1E1E"/>
        </w:rPr>
      </w:pPr>
    </w:p>
    <w:p>
      <w:pPr>
        <w:jc w:val="both"/>
        <w:ind w:firstLine="656"/>
        <w:spacing w:after="0" w:line="247" w:lineRule="auto"/>
        <w:tabs>
          <w:tab w:leader="none" w:pos="1293" w:val="left"/>
        </w:tabs>
        <w:numPr>
          <w:ilvl w:val="0"/>
          <w:numId w:val="11"/>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Immediately (or, if applicable, upon the expiration of the cure period provided below) upon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by the Company to Executive of a termination for Cause in accordance with this subsection (c). For purposes of this Agreement, “Cause” shall mean (A) Executive's commission of or indictment for a felony or a fraud or a breach of a fiduciary duty to the Company or any of its Affiliates including embezzlement from the Company or any of its Affiliates, the misappropriation of funds or misappropriation of other property of the Company or any of its Affiliates, the attempt to willfully obtain any personal profit from any transaction which is adverse to the interests of the Company or any of its Affiliates and in which the Company or any of its Affiliates has an interest or any intentional act or intentional omission aiding or abetting a competitor, supplier or customer of the Company or any of its Affiliates to the material disadvantage or detriment of the Company and its Affiliates, (B) conduct by Executive that brings or could reasonably be expected to bring the Company or any Affiliate of the Company into public disgrace or disrepute or otherwise injures the integrity, character or reputation of the Company or any of its Affiliates, (C) gross negligence or willful misconduct by Executive with respect to the Company or any Affiliate of the Company, (D) Executive's non-performance of the material duties assigned to her or failure to carry out or comply with any lawful directives (including, without limitation, Executive's failure to cooperate with the Company, or any of its Affiliates, or any governmental body's investigation, inquiry, hearing or similar proceeding and/or Executive's failure to promptly notify the Board of, or material misstatements or omissions to the Board regarding, material developments regarding the Company, its subsidiaries, customers, suppliers, employees or otherwise), (E) Executive's insubordination or willful failure to follow the directions of the Board, (F) Executive's breach of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or any other applicable restrictive covenants with the Company or any of its Affiliates, (G) Executive's breach of a material employment policy of the Company, (H) any other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breach by Executive of this Agreement or any other agreement with the Company or any of its Affiliates or (I) repeatedly reporting to work under the influence of alcohol or illegal drugs or repeatedly using illegal drugs or abusing alcohol or legal drugs, whether or not at the workplace, in such a fashion as to cause the Company or any of its subsidiaries or Affiliates economic harm or to affect Executive's ability to perform her assigned duties and responsibilities; provided, however, that "Cause" will exist under (B), (C), (D), (E), (F), (G) or (H) hereof only if the action giving rise to the Cause, to the extent such action is curable, remains uncured thirty (30) days after notice from the Company specifying in reasonable detail the nature of the Cause. The existence of "Cause" hereunder shall be determined by the Board in its good faith discretion.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the Company, any entity or person that controls, is controlled by or is under common control with the Company or an Affiliate of the Company.</w:t>
      </w:r>
    </w:p>
    <w:p>
      <w:pPr>
        <w:spacing w:after="0" w:line="195" w:lineRule="exact"/>
        <w:rPr>
          <w:sz w:val="20"/>
          <w:szCs w:val="20"/>
          <w:color w:val="auto"/>
        </w:rPr>
      </w:pPr>
    </w:p>
    <w:p>
      <w:pPr>
        <w:jc w:val="both"/>
        <w:ind w:firstLine="656"/>
        <w:spacing w:after="0" w:line="259" w:lineRule="auto"/>
        <w:tabs>
          <w:tab w:leader="none" w:pos="1290" w:val="left"/>
        </w:tabs>
        <w:numPr>
          <w:ilvl w:val="1"/>
          <w:numId w:val="12"/>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WITHOUT CAUSE. </w:t>
      </w:r>
      <w:r>
        <w:rPr>
          <w:rFonts w:ascii="Times New Roman" w:cs="Times New Roman" w:eastAsia="Times New Roman" w:hAnsi="Times New Roman"/>
          <w:sz w:val="22"/>
          <w:szCs w:val="22"/>
          <w:color w:val="auto"/>
        </w:rPr>
        <w:t>Immediately upon written notice by the Company to Executive or, if provided in the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such later date as provided in the written notice, of an involuntary termination without Cause (other than for death or Disability).</w:t>
      </w:r>
    </w:p>
    <w:p>
      <w:pPr>
        <w:spacing w:after="0" w:line="166" w:lineRule="exact"/>
        <w:rPr>
          <w:rFonts w:ascii="Times New Roman" w:cs="Times New Roman" w:eastAsia="Times New Roman" w:hAnsi="Times New Roman"/>
          <w:sz w:val="22"/>
          <w:szCs w:val="22"/>
          <w:b w:val="1"/>
          <w:bCs w:val="1"/>
          <w:color w:val="1E1E1E"/>
        </w:rPr>
      </w:pPr>
    </w:p>
    <w:p>
      <w:pPr>
        <w:jc w:val="both"/>
        <w:ind w:firstLine="656"/>
        <w:spacing w:after="0" w:line="265" w:lineRule="auto"/>
        <w:tabs>
          <w:tab w:leader="none" w:pos="1293" w:val="left"/>
        </w:tabs>
        <w:numPr>
          <w:ilvl w:val="1"/>
          <w:numId w:val="12"/>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RESIGNATION BY EXECUTIVE WITHOUT GOOD REASON. </w:t>
      </w:r>
      <w:r>
        <w:rPr>
          <w:rFonts w:ascii="Times New Roman" w:cs="Times New Roman" w:eastAsia="Times New Roman" w:hAnsi="Times New Roman"/>
          <w:sz w:val="22"/>
          <w:szCs w:val="22"/>
          <w:color w:val="auto"/>
        </w:rPr>
        <w:t>Upon ninety (90) days' prior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Executive to the Company of Executive's voluntary termination of employment without Good Reason as defined below (which the Company may, in its sole discretion, make effective earlier than any notice date).</w:t>
      </w:r>
    </w:p>
    <w:p>
      <w:pPr>
        <w:spacing w:after="0" w:line="161" w:lineRule="exact"/>
        <w:rPr>
          <w:rFonts w:ascii="Times New Roman" w:cs="Times New Roman" w:eastAsia="Times New Roman" w:hAnsi="Times New Roman"/>
          <w:sz w:val="22"/>
          <w:szCs w:val="22"/>
          <w:b w:val="1"/>
          <w:bCs w:val="1"/>
          <w:color w:val="1E1E1E"/>
        </w:rPr>
      </w:pPr>
    </w:p>
    <w:p>
      <w:pPr>
        <w:jc w:val="both"/>
        <w:ind w:firstLine="656"/>
        <w:spacing w:after="0" w:line="261" w:lineRule="auto"/>
        <w:tabs>
          <w:tab w:leader="none" w:pos="1296" w:val="left"/>
        </w:tabs>
        <w:numPr>
          <w:ilvl w:val="1"/>
          <w:numId w:val="12"/>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auto"/>
        </w:rPr>
        <w:t xml:space="preserve">RESIGNATION BY EXECUTIVE FOR GOOD REASON. </w:t>
      </w:r>
      <w:r>
        <w:rPr>
          <w:rFonts w:ascii="Times New Roman" w:cs="Times New Roman" w:eastAsia="Times New Roman" w:hAnsi="Times New Roman"/>
          <w:sz w:val="21"/>
          <w:szCs w:val="21"/>
          <w:color w:val="auto"/>
        </w:rPr>
        <w:t>Executive may terminate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Good Reason by giving the Company written notice of termination for Good Reason specifying in such notice the basis for the Good Reason termination and the condition(s) or action(s) for which Executive believes constitute Good Reason. For purposes of this Agreement, “Good Reason” means the occurrence of any of the following events without Executive’s consent:</w:t>
      </w:r>
    </w:p>
    <w:p>
      <w:pPr>
        <w:spacing w:after="0" w:line="3" w:lineRule="exact"/>
        <w:rPr>
          <w:rFonts w:ascii="Times New Roman" w:cs="Times New Roman" w:eastAsia="Times New Roman" w:hAnsi="Times New Roman"/>
          <w:sz w:val="21"/>
          <w:szCs w:val="21"/>
          <w:b w:val="1"/>
          <w:bCs w:val="1"/>
          <w:color w:val="1E1E1E"/>
        </w:rPr>
      </w:pPr>
    </w:p>
    <w:p>
      <w:pPr>
        <w:jc w:val="both"/>
        <w:ind w:firstLine="8"/>
        <w:spacing w:after="0" w:line="239" w:lineRule="auto"/>
        <w:tabs>
          <w:tab w:leader="none" w:pos="26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Executive’s authority, duties or responsibility with the Company; (ii) Executive’s base salary or bonus opportunity are materially reduced, or (iii) a change of more than sixty (60) miles of the geographic location where Executive principally performs her obligations under this Agreement; provided, however, in each instance, the Company will have thirty (30) days from its receipt of Executive’s written notice of the Good Reason termination in which to take corrective action to cure the Good Reason event, and if the company does not cure the Good Reason event, the Good Reason termination will be effective at the end of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Company receives the written notice of Good Reason termination; and provided further, that for Executive to exercise the right terminate for Good Reason, Executive must provide written notice of termination for Good Reason within ninety (90) days after the occurrence of the event giving rise to the basis for the Good Reason termination.</w:t>
      </w:r>
    </w:p>
    <w:p>
      <w:pPr>
        <w:spacing w:after="0" w:line="187"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CONSEQUENCES OF TERMINATION.</w:t>
      </w:r>
    </w:p>
    <w:p>
      <w:pPr>
        <w:spacing w:after="0" w:line="220" w:lineRule="exact"/>
        <w:rPr>
          <w:sz w:val="20"/>
          <w:szCs w:val="20"/>
          <w:color w:val="auto"/>
        </w:rPr>
      </w:pPr>
    </w:p>
    <w:p>
      <w:pPr>
        <w:ind w:firstLine="656"/>
        <w:spacing w:after="0" w:line="287" w:lineRule="auto"/>
        <w:tabs>
          <w:tab w:leader="none" w:pos="1291" w:val="left"/>
        </w:tabs>
        <w:numPr>
          <w:ilvl w:val="0"/>
          <w:numId w:val="1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TERMINATION FOR CAUSE OR RESIGNATION BY EXECUTIVE WITHOUT GOOD REASON. </w:t>
      </w:r>
      <w:r>
        <w:rPr>
          <w:rFonts w:ascii="Times New Roman" w:cs="Times New Roman" w:eastAsia="Times New Roman" w:hAnsi="Times New Roman"/>
          <w:sz w:val="22"/>
          <w:szCs w:val="22"/>
          <w:color w:val="auto"/>
        </w:rPr>
        <w:t>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is terminated (1) by the Company for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Cause or (2) by Executive without Good Reason, then the Company shall pay to Executive the following:</w:t>
      </w:r>
    </w:p>
    <w:p>
      <w:pPr>
        <w:spacing w:after="0" w:line="220" w:lineRule="exact"/>
        <w:rPr>
          <w:sz w:val="20"/>
          <w:szCs w:val="20"/>
          <w:color w:val="auto"/>
        </w:rPr>
      </w:pPr>
    </w:p>
    <w:p>
      <w:pPr>
        <w:ind w:left="2000" w:hanging="696"/>
        <w:spacing w:after="0"/>
        <w:tabs>
          <w:tab w:leader="none" w:pos="2000" w:val="left"/>
        </w:tabs>
        <w:numPr>
          <w:ilvl w:val="1"/>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any unpaid Base Salary through the date of termination;</w:t>
      </w:r>
    </w:p>
    <w:p>
      <w:pPr>
        <w:spacing w:after="0" w:line="219" w:lineRule="exact"/>
        <w:rPr>
          <w:rFonts w:ascii="Times New Roman" w:cs="Times New Roman" w:eastAsia="Times New Roman" w:hAnsi="Times New Roman"/>
          <w:sz w:val="22"/>
          <w:szCs w:val="22"/>
          <w:color w:val="1E1E1E"/>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reimbursement for any unreimbursed business expenses incurred through the date of termination;</w:t>
      </w:r>
    </w:p>
    <w:p>
      <w:pPr>
        <w:spacing w:after="0" w:line="219" w:lineRule="exact"/>
        <w:rPr>
          <w:rFonts w:ascii="Times New Roman" w:cs="Times New Roman" w:eastAsia="Times New Roman" w:hAnsi="Times New Roman"/>
          <w:sz w:val="22"/>
          <w:szCs w:val="22"/>
          <w:color w:val="1E1E1E"/>
        </w:rPr>
      </w:pPr>
    </w:p>
    <w:p>
      <w:pPr>
        <w:ind w:left="1960" w:hanging="656"/>
        <w:spacing w:after="0"/>
        <w:tabs>
          <w:tab w:leader="none" w:pos="1960" w:val="left"/>
        </w:tabs>
        <w:numPr>
          <w:ilvl w:val="1"/>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any accrued but unused vacation time in accordance with Company policy; and</w:t>
      </w:r>
    </w:p>
    <w:p>
      <w:pPr>
        <w:spacing w:after="0" w:line="233" w:lineRule="exact"/>
        <w:rPr>
          <w:rFonts w:ascii="Times New Roman" w:cs="Times New Roman" w:eastAsia="Times New Roman" w:hAnsi="Times New Roman"/>
          <w:sz w:val="22"/>
          <w:szCs w:val="22"/>
          <w:color w:val="1E1E1E"/>
        </w:rPr>
      </w:pPr>
    </w:p>
    <w:p>
      <w:pPr>
        <w:jc w:val="both"/>
        <w:ind w:left="660" w:firstLine="644"/>
        <w:spacing w:after="0" w:line="252" w:lineRule="auto"/>
        <w:tabs>
          <w:tab w:leader="none" w:pos="1944" w:val="left"/>
        </w:tabs>
        <w:numPr>
          <w:ilvl w:val="1"/>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 xml:space="preserve">all other payments, benefits or fringe benefits to which Executive shall be entitled under the terms of any applicable compensation arrangement or benefit, equity or fringe benefit plan or program or grant, in each case in accordance with their terms (collectively, </w:t>
      </w:r>
      <w:r>
        <w:rPr>
          <w:rFonts w:ascii="Times New Roman" w:cs="Times New Roman" w:eastAsia="Times New Roman" w:hAnsi="Times New Roman"/>
          <w:sz w:val="22"/>
          <w:szCs w:val="22"/>
          <w:u w:val="single" w:color="auto"/>
          <w:color w:val="auto"/>
        </w:rPr>
        <w:t>Sections 7(a)(i)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7(a)(iv)</w:t>
      </w:r>
      <w:r>
        <w:rPr>
          <w:rFonts w:ascii="Times New Roman" w:cs="Times New Roman" w:eastAsia="Times New Roman" w:hAnsi="Times New Roman"/>
          <w:sz w:val="22"/>
          <w:szCs w:val="22"/>
          <w:color w:val="auto"/>
        </w:rPr>
        <w:t xml:space="preserve"> hereof shall be hereafter referred to as the </w:t>
      </w:r>
      <w:r>
        <w:rPr>
          <w:rFonts w:ascii="Times New Roman" w:cs="Times New Roman" w:eastAsia="Times New Roman" w:hAnsi="Times New Roman"/>
          <w:sz w:val="22"/>
          <w:szCs w:val="22"/>
          <w:u w:val="single" w:color="auto"/>
          <w:color w:val="auto"/>
        </w:rPr>
        <w:t>"Accrued Benefits").</w:t>
      </w:r>
    </w:p>
    <w:p>
      <w:pPr>
        <w:spacing w:after="0" w:line="175" w:lineRule="exact"/>
        <w:rPr>
          <w:rFonts w:ascii="Times New Roman" w:cs="Times New Roman" w:eastAsia="Times New Roman" w:hAnsi="Times New Roman"/>
          <w:sz w:val="22"/>
          <w:szCs w:val="22"/>
          <w:color w:val="1E1E1E"/>
        </w:rPr>
      </w:pPr>
    </w:p>
    <w:p>
      <w:pPr>
        <w:jc w:val="both"/>
        <w:ind w:firstLine="656"/>
        <w:spacing w:after="0" w:line="254" w:lineRule="auto"/>
        <w:tabs>
          <w:tab w:leader="none" w:pos="1290" w:val="left"/>
        </w:tabs>
        <w:numPr>
          <w:ilvl w:val="0"/>
          <w:numId w:val="17"/>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TERMINATION WITHOUT CAUSE BY THE COMPANY OR BY EXECUTIVE FOR GOOD REASON. </w:t>
      </w:r>
      <w:r>
        <w:rPr>
          <w:rFonts w:ascii="Times New Roman" w:cs="Times New Roman" w:eastAsia="Times New Roman" w:hAnsi="Times New Roman"/>
          <w:sz w:val="22"/>
          <w:szCs w:val="22"/>
          <w:color w:val="auto"/>
        </w:rPr>
        <w:t xml:space="preserve">If Executive’s employment is terminated (i) by the Company other than for Cause (other than for death or Disability) or (ii) by the Executive for Good Reason, then the Company shall pay or provide Executive with the following, subject to the provisions of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hereof (with the amounts due under </w:t>
      </w:r>
      <w:r>
        <w:rPr>
          <w:rFonts w:ascii="Times New Roman" w:cs="Times New Roman" w:eastAsia="Times New Roman" w:hAnsi="Times New Roman"/>
          <w:sz w:val="22"/>
          <w:szCs w:val="22"/>
          <w:u w:val="single" w:color="auto"/>
          <w:color w:val="auto"/>
        </w:rPr>
        <w:t>Section 7(b)(i)</w:t>
      </w:r>
      <w:r>
        <w:rPr>
          <w:rFonts w:ascii="Times New Roman" w:cs="Times New Roman" w:eastAsia="Times New Roman" w:hAnsi="Times New Roman"/>
          <w:sz w:val="22"/>
          <w:szCs w:val="22"/>
          <w:color w:val="auto"/>
        </w:rPr>
        <w:t xml:space="preserve"> hereof to be paid within sixty (60) days following termination of employment, or such earlier date as may be required by applicable law):</w:t>
      </w:r>
    </w:p>
    <w:p>
      <w:pPr>
        <w:spacing w:after="0" w:line="177" w:lineRule="exact"/>
        <w:rPr>
          <w:rFonts w:ascii="Times New Roman" w:cs="Times New Roman" w:eastAsia="Times New Roman" w:hAnsi="Times New Roman"/>
          <w:sz w:val="22"/>
          <w:szCs w:val="22"/>
          <w:b w:val="1"/>
          <w:bCs w:val="1"/>
          <w:color w:val="1E1E1E"/>
        </w:rPr>
      </w:pPr>
    </w:p>
    <w:p>
      <w:pPr>
        <w:ind w:left="2000" w:hanging="696"/>
        <w:spacing w:after="0"/>
        <w:tabs>
          <w:tab w:leader="none" w:pos="2000" w:val="left"/>
        </w:tabs>
        <w:numPr>
          <w:ilvl w:val="1"/>
          <w:numId w:val="1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the Accrued Benefits; and</w:t>
      </w:r>
    </w:p>
    <w:p>
      <w:pPr>
        <w:spacing w:after="0" w:line="233" w:lineRule="exact"/>
        <w:rPr>
          <w:rFonts w:ascii="Times New Roman" w:cs="Times New Roman" w:eastAsia="Times New Roman" w:hAnsi="Times New Roman"/>
          <w:sz w:val="22"/>
          <w:szCs w:val="22"/>
          <w:color w:val="1E1E1E"/>
        </w:rPr>
      </w:pPr>
    </w:p>
    <w:p>
      <w:pPr>
        <w:jc w:val="both"/>
        <w:ind w:left="660" w:firstLine="644"/>
        <w:spacing w:after="0" w:line="247" w:lineRule="auto"/>
        <w:tabs>
          <w:tab w:leader="none" w:pos="1950" w:val="left"/>
        </w:tabs>
        <w:numPr>
          <w:ilvl w:val="1"/>
          <w:numId w:val="1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 xml:space="preserve">subject to Executive's continued compliance with the obligations in </w:t>
      </w:r>
      <w:r>
        <w:rPr>
          <w:rFonts w:ascii="Times New Roman" w:cs="Times New Roman" w:eastAsia="Times New Roman" w:hAnsi="Times New Roman"/>
          <w:sz w:val="22"/>
          <w:szCs w:val="22"/>
          <w:u w:val="single" w:color="auto"/>
          <w:color w:val="auto"/>
        </w:rPr>
        <w:t>Sections 8,</w:t>
      </w:r>
      <w:r>
        <w:rPr>
          <w:rFonts w:ascii="Times New Roman" w:cs="Times New Roman" w:eastAsia="Times New Roman" w:hAnsi="Times New Roman"/>
          <w:sz w:val="22"/>
          <w:szCs w:val="22"/>
          <w:color w:val="auto"/>
        </w:rPr>
        <w:t xml:space="preserve"> 9 and 10 hereof, an amount equal to (1) Executive's monthly Base Salary rate as in effect on the date of termination, paid in accordance with the Company's regular payroll processes in effect on the date of such termination of employment for a period of six (6) months following such termination and (2) the Annual Bonus, if any, Executive would have been entitled to receive for the year in which termination occurs (on a pro-rated basis for any partial year), based on actual financial results for such year and on an assumed target-level achievement by Executive of any personal performance objectives, paid on the same date as the payment of annual bonuses to other senior executives of the Company following completion and review by the Board of the Company's audited consolidated financial statements for the applicable fiscal year, which completion and review shall not be unreasonably delayed, but in no event later than the date that is 2 ½ months following the last day of the fiscal year of the Company in which such termination occurred; provided that to the extent that the payment of any amount constitutes "nonqualified deferred compensation" for purposes of Code Section 409A (as defined in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hereof) or as otherwise required to avoid any additional taxes or penalties under Code Section 409A, any such payment scheduled to occur during the first sixty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3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following the termination of employment shall not be paid until the first regularly scheduled pay period following the sixtieth (60th) day following such termination and shall include payment of any amount that was otherwise scheduled to be paid prior thereto; provided, further, however, that if Executive’s employment is terminated by the Company other than for Cause (other than for death or Disability) or by Executive for Good Reason during the Change in Control Period, then the monthly Base Salary shall be paid for a period of twelve (12) months following such termination. For purposes of this Agreement, the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three (3) month period prior to or the twelve (12) month period following a Change in Control (as such term is defined in the Plan).</w:t>
      </w:r>
    </w:p>
    <w:p>
      <w:pPr>
        <w:spacing w:after="0" w:line="176" w:lineRule="exact"/>
        <w:rPr>
          <w:sz w:val="20"/>
          <w:szCs w:val="20"/>
          <w:color w:val="auto"/>
        </w:rPr>
      </w:pPr>
    </w:p>
    <w:p>
      <w:pPr>
        <w:jc w:val="both"/>
        <w:ind w:firstLine="656"/>
        <w:spacing w:after="0" w:line="269" w:lineRule="auto"/>
        <w:tabs>
          <w:tab w:leader="none" w:pos="1293" w:val="left"/>
        </w:tabs>
        <w:numPr>
          <w:ilvl w:val="1"/>
          <w:numId w:val="18"/>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auto"/>
        </w:rPr>
        <w:t xml:space="preserve">UPON DEATH OR DISABILITY. </w:t>
      </w:r>
      <w:r>
        <w:rPr>
          <w:rFonts w:ascii="Times New Roman" w:cs="Times New Roman" w:eastAsia="Times New Roman" w:hAnsi="Times New Roman"/>
          <w:sz w:val="21"/>
          <w:szCs w:val="21"/>
          <w:color w:val="auto"/>
        </w:rPr>
        <w:t>If Executive's employment is terminated (1) on account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Disability, then the Company shall pay or provide Executive with the following, subject to the provisions of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hereof, or</w:t>
      </w:r>
    </w:p>
    <w:p>
      <w:pPr>
        <w:spacing w:after="0" w:line="1" w:lineRule="exact"/>
        <w:rPr>
          <w:rFonts w:ascii="Times New Roman" w:cs="Times New Roman" w:eastAsia="Times New Roman" w:hAnsi="Times New Roman"/>
          <w:sz w:val="21"/>
          <w:szCs w:val="21"/>
          <w:b w:val="1"/>
          <w:bCs w:val="1"/>
          <w:color w:val="1E1E1E"/>
        </w:rPr>
      </w:pPr>
    </w:p>
    <w:p>
      <w:pPr>
        <w:jc w:val="both"/>
        <w:ind w:firstLine="8"/>
        <w:spacing w:after="0" w:line="251" w:lineRule="auto"/>
        <w:tabs>
          <w:tab w:leader="none" w:pos="3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account of Executive's death, Executive or Executive's estate, as the case may be, shall be entitled to the following (with the amounts due under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xml:space="preserve"> hereof to be paid within sixty (60) days following termination of employment, or such earlier date as may be required by applicable law):</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3"/>
          <w:numId w:val="1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the Accrued Benefits; and</w:t>
      </w:r>
    </w:p>
    <w:p>
      <w:pPr>
        <w:spacing w:after="0" w:line="219" w:lineRule="exact"/>
        <w:rPr>
          <w:rFonts w:ascii="Times New Roman" w:cs="Times New Roman" w:eastAsia="Times New Roman" w:hAnsi="Times New Roman"/>
          <w:sz w:val="22"/>
          <w:szCs w:val="22"/>
          <w:color w:val="1E1E1E"/>
        </w:rPr>
      </w:pPr>
    </w:p>
    <w:p>
      <w:pPr>
        <w:jc w:val="both"/>
        <w:ind w:left="660" w:firstLine="644"/>
        <w:spacing w:after="0" w:line="248" w:lineRule="auto"/>
        <w:tabs>
          <w:tab w:leader="none" w:pos="1950" w:val="left"/>
        </w:tabs>
        <w:numPr>
          <w:ilvl w:val="3"/>
          <w:numId w:val="1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auto"/>
        </w:rPr>
        <w:t xml:space="preserve">the Annual Bonus, if any, Executive would have been entitled to receive for the year in which such termination occurs (on a pro-rated basis for any partial year), based on actual financial results for such year and on an assumed target-level achievement by Executive of any personal performance objectives, paid on the same date as the payment of annual bonuses to other senior executives of the Company following completion and review by the Board of the Company's audited consolidated financial statements for the applicable fiscal year, which completion and review shall not be unreasonably delayed, but in no event later than the date that is 2 ½ months following the last day of the fiscal year of the Company in which such termination occurred; provided that to the extent that the payment of any amount constitutes "nonqualified deferred compensation" for purposes of Code Section 409A (as defined in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hereof) or as otherwise required to avoid any additional taxes or penalties under Code Section 409A, any such payment scheduled to occur during the first sixty (60) days following the termination of employment shall not be paid until the first regularly scheduled pay period following the sixtieth (60th) day following such termination and shall include payment of any amount that was otherwise scheduled to be paid prior thereto.</w:t>
      </w:r>
    </w:p>
    <w:p>
      <w:pPr>
        <w:spacing w:after="0" w:line="193" w:lineRule="exact"/>
        <w:rPr>
          <w:rFonts w:ascii="Times New Roman" w:cs="Times New Roman" w:eastAsia="Times New Roman" w:hAnsi="Times New Roman"/>
          <w:sz w:val="22"/>
          <w:szCs w:val="22"/>
          <w:color w:val="1E1E1E"/>
        </w:rPr>
      </w:pPr>
    </w:p>
    <w:p>
      <w:pPr>
        <w:jc w:val="both"/>
        <w:ind w:firstLine="656"/>
        <w:spacing w:after="0" w:line="259" w:lineRule="auto"/>
        <w:tabs>
          <w:tab w:leader="none" w:pos="129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OBLIGATIONS. </w:t>
      </w:r>
      <w:r>
        <w:rPr>
          <w:rFonts w:ascii="Times New Roman" w:cs="Times New Roman" w:eastAsia="Times New Roman" w:hAnsi="Times New Roman"/>
          <w:sz w:val="22"/>
          <w:szCs w:val="22"/>
          <w:color w:val="auto"/>
        </w:rPr>
        <w:t>Upon any termination of Executive's employment with the Company, Executive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have immediately resigned from any other position as an officer, director or fiduciary of any Company-related entity.</w:t>
      </w:r>
    </w:p>
    <w:p>
      <w:pPr>
        <w:spacing w:after="0" w:line="152" w:lineRule="exact"/>
        <w:rPr>
          <w:rFonts w:ascii="Times New Roman" w:cs="Times New Roman" w:eastAsia="Times New Roman" w:hAnsi="Times New Roman"/>
          <w:sz w:val="22"/>
          <w:szCs w:val="22"/>
          <w:b w:val="1"/>
          <w:bCs w:val="1"/>
          <w:color w:val="auto"/>
        </w:rPr>
      </w:pPr>
    </w:p>
    <w:p>
      <w:pPr>
        <w:jc w:val="both"/>
        <w:ind w:left="80" w:firstLine="641"/>
        <w:spacing w:after="0" w:line="252" w:lineRule="auto"/>
        <w:tabs>
          <w:tab w:leader="none" w:pos="1305" w:val="left"/>
        </w:tabs>
        <w:numPr>
          <w:ilvl w:val="2"/>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EXCLUSIVE REMEDY. </w:t>
      </w:r>
      <w:r>
        <w:rPr>
          <w:rFonts w:ascii="Times New Roman" w:cs="Times New Roman" w:eastAsia="Times New Roman" w:hAnsi="Times New Roman"/>
          <w:sz w:val="22"/>
          <w:szCs w:val="22"/>
          <w:color w:val="auto"/>
        </w:rPr>
        <w:t>The amounts payable to Executive following termination of employment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shall be in full and complete satisfaction of Executive's rights under this Agreement and any other claims that Executive may have in respect of Executive's employment with the Company or any of its Affiliates,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25"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21"/>
          <w:szCs w:val="21"/>
          <w:color w:val="auto"/>
        </w:rPr>
        <w:t xml:space="preserve">Executive acknowledges that such amounts are fair and reasonable, and are Executive's sole and exclusive remedy, in lieu of all other remedies at law or in equity, with respect to the termination of Executive's employment hereunder or any breach of this Agreement. Without limiting the foregoing, payments and benefits provided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be in lieu of any termination or severance payments or benefits for which Executive may be eligible under any of the plans, policies or programs of the Company or under the Worker Adjustment Retraining Notification Act of 1988 or any similar state statute or regulation.</w:t>
      </w:r>
    </w:p>
    <w:p>
      <w:pPr>
        <w:spacing w:after="0" w:line="200" w:lineRule="exact"/>
        <w:rPr>
          <w:sz w:val="20"/>
          <w:szCs w:val="20"/>
          <w:color w:val="auto"/>
        </w:rPr>
      </w:pPr>
    </w:p>
    <w:p>
      <w:pPr>
        <w:spacing w:after="0" w:line="228" w:lineRule="exact"/>
        <w:rPr>
          <w:sz w:val="20"/>
          <w:szCs w:val="20"/>
          <w:color w:val="auto"/>
        </w:rPr>
      </w:pPr>
    </w:p>
    <w:p>
      <w:pPr>
        <w:jc w:val="both"/>
        <w:ind w:firstLine="656"/>
        <w:spacing w:after="0" w:line="252" w:lineRule="auto"/>
        <w:tabs>
          <w:tab w:leader="none" w:pos="1296" w:val="left"/>
        </w:tabs>
        <w:numPr>
          <w:ilvl w:val="0"/>
          <w:numId w:val="20"/>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Any and all amounts payable and benefits (other than the Accrued Benefits) or additional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pursuant to this Agreement on termination of Executive's employment, shall only be payable if Executive delivers to the Company and does not revoke a general release of claims in favor of the Company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subject to modifications as may be reasonably requested by the Company to address changes in applicable law relating to waivers of claims or relating to any other provisions included in Exhibit A, such that the Release becomes effective within sixty (60) days following Executive's termination of employment.</w:t>
      </w:r>
    </w:p>
    <w:p>
      <w:pPr>
        <w:spacing w:after="0" w:line="174" w:lineRule="exact"/>
        <w:rPr>
          <w:rFonts w:ascii="Times New Roman" w:cs="Times New Roman" w:eastAsia="Times New Roman" w:hAnsi="Times New Roman"/>
          <w:sz w:val="22"/>
          <w:szCs w:val="22"/>
          <w:b w:val="1"/>
          <w:bCs w:val="1"/>
          <w:color w:val="1E1E1E"/>
        </w:rPr>
      </w:pPr>
    </w:p>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RESTRICTIVE COVENANTS.</w:t>
      </w:r>
    </w:p>
    <w:p>
      <w:pPr>
        <w:spacing w:after="0" w:line="233" w:lineRule="exact"/>
        <w:rPr>
          <w:sz w:val="20"/>
          <w:szCs w:val="20"/>
          <w:color w:val="auto"/>
        </w:rPr>
      </w:pPr>
    </w:p>
    <w:p>
      <w:pPr>
        <w:jc w:val="both"/>
        <w:ind w:firstLine="656"/>
        <w:spacing w:after="0" w:line="247" w:lineRule="auto"/>
        <w:tabs>
          <w:tab w:leader="none" w:pos="1291" w:val="left"/>
        </w:tabs>
        <w:numPr>
          <w:ilvl w:val="0"/>
          <w:numId w:val="21"/>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During the course of Executive's employment with the Company, Executive has had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have access to Confidential Information. For purposes of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all non-public, confidential, or proprietary materials,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all of the foregoing in any form or medium (whether merely remembered or embodied in a tangible or intangible form or medium) whether now or hereafter existing, relating to or arising from the past, current or potential business, activities and/or operations of the Company or any of its Affiliates (or any of their respective predecessors, successors or permitted assigns), including, without limitation, any such information relating to or concerning finances, sales, marketing, advertising, transition, promotions, pricing, personnel, customers, suppliers, vendors, partners and/or competitors, and any Inventions. Executive agrees that Executive shall not, directly or indirectly, use, make available, sell, disclose or otherwise communicate to any person, other than in the course of Executive's assigned duties and for the benefit of the Company, either during the period of Executive's employment or at any time thereafter, any Confidential Information or other confidential or proprietary information received from third parties subject to a duty on the Company's or its subsidiaries' or Affiliates' part to maintain the confidentiality of such information, and to use such information only for certain limited purposes strictly for the benefit of the Company or any of its Affiliates. Except to the extent this Agreement is publicly disclosed, the terms and conditions of this Agreement shall remain strictly confidential, and Executive hereby agrees not to disclose the terms and conditions hereof to any person or entity, other than immediate family members, legal advisors or personal tax or financial advisors,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solely for the purpose of disclosing the limitations on Executive's conduct imposed by the provisions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prospective future employers who, in each case, agree in writing to keep such information confidential consistent with the terms of this Agreement.</w:t>
      </w:r>
    </w:p>
    <w:p>
      <w:pPr>
        <w:spacing w:after="0" w:line="169" w:lineRule="exact"/>
        <w:rPr>
          <w:sz w:val="20"/>
          <w:szCs w:val="20"/>
          <w:color w:val="auto"/>
        </w:rPr>
      </w:pPr>
    </w:p>
    <w:p>
      <w:pPr>
        <w:jc w:val="both"/>
        <w:ind w:firstLine="656"/>
        <w:spacing w:after="0" w:line="251" w:lineRule="auto"/>
        <w:tabs>
          <w:tab w:leader="none" w:pos="1290" w:val="left"/>
        </w:tabs>
        <w:numPr>
          <w:ilvl w:val="1"/>
          <w:numId w:val="22"/>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NONCOMPETITION. </w:t>
      </w:r>
      <w:r>
        <w:rPr>
          <w:rFonts w:ascii="Times New Roman" w:cs="Times New Roman" w:eastAsia="Times New Roman" w:hAnsi="Times New Roman"/>
          <w:sz w:val="22"/>
          <w:szCs w:val="22"/>
          <w:color w:val="auto"/>
        </w:rPr>
        <w:t>Executive acknowledges that (i) Executive performs services of a unique nature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that are irreplaceable, and that Executive's performance of such services to a competing business will result in irreparable harm to the Company, (ii) Executive has had and will continue to have access to Confidential Information, which, if disclosed, would unfairly and inappropriately assist in competition against the Company or any of its subsidiaries, (iii) in the course of Executive's employment by a competitor, Executive would inevitably use or disclose such Confidential Information,</w:t>
      </w:r>
    </w:p>
    <w:p>
      <w:pPr>
        <w:spacing w:after="0" w:line="1" w:lineRule="exact"/>
        <w:rPr>
          <w:rFonts w:ascii="Times New Roman" w:cs="Times New Roman" w:eastAsia="Times New Roman" w:hAnsi="Times New Roman"/>
          <w:sz w:val="22"/>
          <w:szCs w:val="22"/>
          <w:b w:val="1"/>
          <w:bCs w:val="1"/>
          <w:color w:val="1E1E1E"/>
        </w:rPr>
      </w:pPr>
    </w:p>
    <w:p>
      <w:pPr>
        <w:jc w:val="both"/>
        <w:ind w:firstLine="8"/>
        <w:spacing w:after="0" w:line="246" w:lineRule="auto"/>
        <w:tabs>
          <w:tab w:leader="none" w:pos="36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substantial relationships with their customers and Executive has had and will continue to have access to these customers, (v) Executive has received and will receive specialized training from the Company and its subsidiaries, and (vi) Executive has generated and will continue to generate goodwill for the Company and its subsidiaries in the course of Executive's employment. Accordingly, during the Employment Term and for one (1) year thereafter, Executive agrees that Executive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subsidiaries or in any other material business in which the Company or any of its subsidiaries is engaged on the date of termination or in which, to Executive’s knowledge, they have actively planned, on or prior to such date, to be engaged in on or after such date, in any locale of any country in which the Company conducts business or, to Executive’s knowledge, plans to conduct business. Notwithstanding the foregoing, nothing herein shall prohibit Executive from being a passive owner of not more than two percent (2%) of the equity securities of a publicly traded corporation engaged in a business that is in competition with the Company or any of its subsidiaries, so long as Executive has no active participation in the business of such corporation. For purposes of this Agreement, "control" means the possession, directly or indirectly, of the power to direct, or cause the direction of, the management and policies of any entity or person, whether through ownership of voting securities, contract or otherwise, and "controlled" and "controlling" shall have correlative meanings.</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NONSOLICITATION; NONINTERFERENCE.</w:t>
      </w:r>
    </w:p>
    <w:p>
      <w:pPr>
        <w:spacing w:after="0" w:line="237" w:lineRule="exact"/>
        <w:rPr>
          <w:rFonts w:ascii="Times New Roman" w:cs="Times New Roman" w:eastAsia="Times New Roman" w:hAnsi="Times New Roman"/>
          <w:sz w:val="22"/>
          <w:szCs w:val="22"/>
          <w:b w:val="1"/>
          <w:bCs w:val="1"/>
          <w:color w:val="1E1E1E"/>
        </w:rPr>
      </w:pPr>
    </w:p>
    <w:p>
      <w:pPr>
        <w:jc w:val="both"/>
        <w:ind w:left="660" w:firstLine="644"/>
        <w:spacing w:after="0" w:line="250" w:lineRule="auto"/>
        <w:tabs>
          <w:tab w:leader="none" w:pos="1944"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Term and for one year thereafter, Executive agrees that Executive shall not, except in the furtherance of Executive's duties hereunder, directly or indirectly, individually or on behalf of any other person, firm, corporation or other entity, (A) solicit, aid or induce any individual or entity that is, or was during the twelve-month period immediately prior to the termination of Executive's employment for any reason, a customer of the Company or any of its subsidiaries to purchase goods or services then sold by the Company or any of its subsidiaries from another person, firm, corporation or other entity or assist or aid any other persons or entity in identifying or soliciting any such customer or (B) interfere, or aid or induce any other person or entity in interfering,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the relationship between the Company or any of its subsidiaries and any of their respective vendors, or licensors.</w:t>
      </w:r>
    </w:p>
    <w:p>
      <w:pPr>
        <w:spacing w:after="0" w:line="220" w:lineRule="exact"/>
        <w:rPr>
          <w:sz w:val="20"/>
          <w:szCs w:val="20"/>
          <w:color w:val="auto"/>
        </w:rPr>
      </w:pPr>
    </w:p>
    <w:p>
      <w:pPr>
        <w:jc w:val="both"/>
        <w:ind w:left="660" w:firstLine="644"/>
        <w:spacing w:after="0" w:line="259" w:lineRule="auto"/>
        <w:tabs>
          <w:tab w:leader="none" w:pos="195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Employment Term and for two years thereafter, Executive agrees that Executive shall not, except in the furtherance of Executive's duties hereunder, directly or indirectly, individually or on behalf of any other person, firm, corporation or other entity, (A) solicit, aid or induce any employee of the Company or any of its subsidiaries to leave such employment or to accept employment with any other person, firm, corporation or other entity unaffiliated with the Company or hire or retain any such employee, or take any action to materially assist or aid any other person, firm, corporation or other entity in identifying, hiring or soliciting any such employee, or (B) interfere, or aid or induce any other person or entity in interfering, with the relationship between the Company or any of its subsidiaries and any of their joint ventures;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9(c)(ii)</w:t>
      </w:r>
      <w:r>
        <w:rPr>
          <w:rFonts w:ascii="Times New Roman" w:cs="Times New Roman" w:eastAsia="Times New Roman" w:hAnsi="Times New Roman"/>
          <w:sz w:val="21"/>
          <w:szCs w:val="21"/>
          <w:color w:val="auto"/>
        </w:rPr>
        <w:t xml:space="preserve"> shall not preclude Executive from (x) making generalized solicitations for employees of the Company through advertisements or search firms, (or hiring any such persons through such solicitation), provided that such solicitations are not specifically targeted at any such employee of the Company, or</w:t>
      </w:r>
    </w:p>
    <w:p>
      <w:pPr>
        <w:spacing w:after="0" w:line="10" w:lineRule="exact"/>
        <w:rPr>
          <w:rFonts w:ascii="Times New Roman" w:cs="Times New Roman" w:eastAsia="Times New Roman" w:hAnsi="Times New Roman"/>
          <w:sz w:val="21"/>
          <w:szCs w:val="21"/>
          <w:color w:val="auto"/>
        </w:rPr>
      </w:pPr>
    </w:p>
    <w:p>
      <w:pPr>
        <w:jc w:val="both"/>
        <w:ind w:left="660" w:right="20" w:hanging="4"/>
        <w:spacing w:after="0" w:line="245" w:lineRule="auto"/>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or hiring any former employee of the Company, whose employment with the Company was terminated by such party at least three (3) months prior to such solicitation or hiring and whose termination was not encouraged, solicited or induced by Executive.</w:t>
      </w:r>
    </w:p>
    <w:p>
      <w:pPr>
        <w:spacing w:after="0" w:line="196" w:lineRule="exact"/>
        <w:rPr>
          <w:sz w:val="20"/>
          <w:szCs w:val="20"/>
          <w:color w:val="auto"/>
        </w:rPr>
      </w:pPr>
    </w:p>
    <w:p>
      <w:pPr>
        <w:jc w:val="both"/>
        <w:ind w:firstLine="656"/>
        <w:spacing w:after="0" w:line="248" w:lineRule="auto"/>
        <w:tabs>
          <w:tab w:leader="none" w:pos="129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PERMITTED USES OF TRADE SECRETS. </w:t>
      </w:r>
      <w:r>
        <w:rPr>
          <w:rFonts w:ascii="Times New Roman" w:cs="Times New Roman" w:eastAsia="Times New Roman" w:hAnsi="Times New Roman"/>
          <w:sz w:val="22"/>
          <w:szCs w:val="22"/>
          <w:color w:val="auto"/>
        </w:rPr>
        <w:t>Misappropriation of a trade secret of the Company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in breach of this Agreement may subject Executive to liability under the Defend Trade Secrets Act of 2016 (the "DTSA"),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84"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293"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DISCLOSURE TO GOVERNMENTAL AND QUASI-GOVERNMENTAL ENTITIES. </w:t>
      </w:r>
      <w:r>
        <w:rPr>
          <w:rFonts w:ascii="Times New Roman" w:cs="Times New Roman" w:eastAsia="Times New Roman" w:hAnsi="Times New Roman"/>
          <w:sz w:val="22"/>
          <w:szCs w:val="22"/>
          <w:color w:val="auto"/>
        </w:rPr>
        <w:t>Nothing in this Agreement prohibits or restricts Executive from reporting possible violations of federal, state, or local 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Equal Employment Opportunity Commission, FINRA, and the Occupational Safety and Health Administration, or making any other disclosures that are protected by the whistleblower provisions of any federal, state, or local law or regulation.</w:t>
      </w:r>
    </w:p>
    <w:p>
      <w:pPr>
        <w:spacing w:after="0" w:line="154" w:lineRule="exact"/>
        <w:rPr>
          <w:sz w:val="20"/>
          <w:szCs w:val="20"/>
          <w:color w:val="auto"/>
        </w:rPr>
      </w:pPr>
    </w:p>
    <w:p>
      <w:pPr>
        <w:jc w:val="both"/>
        <w:ind w:firstLine="656"/>
        <w:spacing w:after="0" w:line="258" w:lineRule="auto"/>
        <w:tabs>
          <w:tab w:leader="none" w:pos="129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EXTENSION OPTION. </w:t>
      </w:r>
      <w:r>
        <w:rPr>
          <w:rFonts w:ascii="Times New Roman" w:cs="Times New Roman" w:eastAsia="Times New Roman" w:hAnsi="Times New Roman"/>
          <w:sz w:val="22"/>
          <w:szCs w:val="22"/>
          <w:color w:val="auto"/>
        </w:rPr>
        <w:t>By notice given to Executive at least nine months before the end of the one-year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referred to in Sections </w:t>
      </w:r>
      <w:r>
        <w:rPr>
          <w:rFonts w:ascii="Times New Roman" w:cs="Times New Roman" w:eastAsia="Times New Roman" w:hAnsi="Times New Roman"/>
          <w:sz w:val="22"/>
          <w:szCs w:val="22"/>
          <w:u w:val="single" w:color="auto"/>
          <w:color w:val="auto"/>
        </w:rPr>
        <w:t>9(b)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(c)(i),</w:t>
      </w:r>
      <w:r>
        <w:rPr>
          <w:rFonts w:ascii="Times New Roman" w:cs="Times New Roman" w:eastAsia="Times New Roman" w:hAnsi="Times New Roman"/>
          <w:sz w:val="22"/>
          <w:szCs w:val="22"/>
          <w:color w:val="auto"/>
        </w:rPr>
        <w:t xml:space="preserve"> Company may extend such periods for up to an additional year, as long as the Company pays the monthly Base Salary, as referred to in </w:t>
      </w:r>
      <w:r>
        <w:rPr>
          <w:rFonts w:ascii="Times New Roman" w:cs="Times New Roman" w:eastAsia="Times New Roman" w:hAnsi="Times New Roman"/>
          <w:sz w:val="22"/>
          <w:szCs w:val="22"/>
          <w:u w:val="single" w:color="auto"/>
          <w:color w:val="auto"/>
        </w:rPr>
        <w:t>Section 7(b)(ii)(A)(1)</w:t>
      </w:r>
      <w:r>
        <w:rPr>
          <w:rFonts w:ascii="Times New Roman" w:cs="Times New Roman" w:eastAsia="Times New Roman" w:hAnsi="Times New Roman"/>
          <w:sz w:val="22"/>
          <w:szCs w:val="22"/>
          <w:color w:val="auto"/>
        </w:rPr>
        <w:t xml:space="preserve"> whether employment was terminated pursuant to any of </w:t>
      </w:r>
      <w:r>
        <w:rPr>
          <w:rFonts w:ascii="Times New Roman" w:cs="Times New Roman" w:eastAsia="Times New Roman" w:hAnsi="Times New Roman"/>
          <w:sz w:val="22"/>
          <w:szCs w:val="22"/>
          <w:u w:val="single" w:color="auto"/>
          <w:color w:val="auto"/>
        </w:rPr>
        <w:t>Sections 6(c), 6(d), or 6(e)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INVENTIONS.</w:t>
      </w:r>
    </w:p>
    <w:p>
      <w:pPr>
        <w:spacing w:after="0" w:line="223" w:lineRule="exact"/>
        <w:rPr>
          <w:rFonts w:ascii="Times New Roman" w:cs="Times New Roman" w:eastAsia="Times New Roman" w:hAnsi="Times New Roman"/>
          <w:sz w:val="22"/>
          <w:szCs w:val="22"/>
          <w:b w:val="1"/>
          <w:bCs w:val="1"/>
          <w:color w:val="auto"/>
        </w:rPr>
      </w:pPr>
    </w:p>
    <w:p>
      <w:pPr>
        <w:jc w:val="both"/>
        <w:ind w:left="660" w:firstLine="644"/>
        <w:spacing w:after="0" w:line="247" w:lineRule="auto"/>
        <w:tabs>
          <w:tab w:leader="none" w:pos="19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acknowledges and agrees that all ideas, designs, methods, inventions, discoveries, improvements, developments, technology, works of authorship, and all work product of any kind or nature whatsoever, whether patentable or unpatentable, (A) that relate to the business, products, activities, research, or development of the Company or Executive's work with the Company, made or conceived or developed by Executive, solely or jointly with others, during the Employment Term, or (B) that arise from any work that Executive performs in connection with the Company, either while performing Executive's duties with the Company or on Executive's own time, and all rights therein including without limitation in claims related thereto (all of the foregoing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xml:space="preserve"> shall belong exclusively to the Company (or its designee), whether or not patent applications are filed thereon. Executive hereby irrevocably conveys, transfers and assigns to the Company the Inventions and all intellectual property, proprietary, and other rights therein, including without limitation all rights in and to any patents, copyright registrations, trademark registrations, or other forms of protection that may issue thereon in any and all countries, whether during or subsequent to the Employment Term, together with the right to file, in Executive's name or in the name of the Company (or its designee), applications for patents and other rights and registrations (the </w:t>
      </w:r>
      <w:r>
        <w:rPr>
          <w:rFonts w:ascii="Times New Roman" w:cs="Times New Roman" w:eastAsia="Times New Roman" w:hAnsi="Times New Roman"/>
          <w:sz w:val="22"/>
          <w:szCs w:val="22"/>
          <w:u w:val="single" w:color="auto"/>
          <w:color w:val="auto"/>
        </w:rPr>
        <w:t>"Applications").</w:t>
      </w:r>
      <w:r>
        <w:rPr>
          <w:rFonts w:ascii="Times New Roman" w:cs="Times New Roman" w:eastAsia="Times New Roman" w:hAnsi="Times New Roman"/>
          <w:sz w:val="22"/>
          <w:szCs w:val="22"/>
          <w:color w:val="auto"/>
        </w:rPr>
        <w:t xml:space="preserve"> Executive will, at the Company's sole cost and expense and at any time during and subsequent to the Employment Term, make such applications, sign such papers, take all rightful oaths, and perform all acts as may be requested from time to time by the Company with respect to the Inventions including without limitation to the perfection, registration, maintenance, or enforcement of any rights therein. Executive will also execute assignments to the Company (or its designee) of the Applications, and give the Company and its attorneys all reasonable assistance (including the giving of testimony) to obtain the Inventions and all intellectual property, proprietary, and other rights therein for the Company's benefit, all without additional compensation to Executive from the Company, but entirely at the Company's expense.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 if the Company is unable for any other reason to secure Executive's signature on any document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39" w:lineRule="exact"/>
        <w:rPr>
          <w:sz w:val="20"/>
          <w:szCs w:val="20"/>
          <w:color w:val="auto"/>
        </w:rPr>
      </w:pPr>
    </w:p>
    <w:p>
      <w:pPr>
        <w:jc w:val="both"/>
        <w:ind w:left="660" w:firstLine="644"/>
        <w:spacing w:after="0" w:line="246" w:lineRule="auto"/>
        <w:tabs>
          <w:tab w:leader="none" w:pos="195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Executive acknowledges that the Inventions are and will be deemed "work made for hire", as such term is defined under the copyright laws of the United States, on behalf of the Company and Executive agrees that the Company will be the sole owner of the Inventions, and all underlying rights therein, in all media now known or hereinafter devised, throughout the universe and in perpetuity without any further obligations to Executive. If the Inventions, or any portion thereof, are not or are deemed not to be "works made for hire", Executive hereby irrevocably conveys, transfers and assigns to the Company, all rights, in all media now known or hereinafter devised, throughout the universe and in perpetuity, in and to the Inventions, including, without limitation, all of Executive's right, title and interest in the copyrights, trademarks, and other intellectual property and proprietary rights (and all renewals, revivals and extensions thereof) in or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or any intellectual property or other proprietary rights therein, known or unknown, including without limitation prior to the date hereof, including, without limitation, the right to receive all proceeds and damages therefrom. In addition, Executive hereby waives any so-called "moral rights" with respect to the Inventions. To the extent that Executive has any rights in the results and proceeds of Executive's service to the Company that cannot be assigned in the manner described herein, Executive agrees to and hereby does unconditionally waive the enforcement of such rights. Executive hereby waives any and all currently existing and future monetary rights in and to the Inventions and all patents, copyright registrations, trademark registrations, and other forms of protection that may issue thereon, including, without limitation, any rights that would otherwise accrue to Executive's benefit by virtue of Executive being an employee of or other service provider to the Company. Nothing contained in this </w:t>
      </w:r>
      <w:r>
        <w:rPr>
          <w:rFonts w:ascii="Times New Roman" w:cs="Times New Roman" w:eastAsia="Times New Roman" w:hAnsi="Times New Roman"/>
          <w:sz w:val="22"/>
          <w:szCs w:val="22"/>
          <w:u w:val="single" w:color="auto"/>
          <w:color w:val="auto"/>
        </w:rPr>
        <w:t>Section 9(g)</w:t>
      </w:r>
      <w:r>
        <w:rPr>
          <w:rFonts w:ascii="Times New Roman" w:cs="Times New Roman" w:eastAsia="Times New Roman" w:hAnsi="Times New Roman"/>
          <w:sz w:val="22"/>
          <w:szCs w:val="22"/>
          <w:color w:val="auto"/>
        </w:rPr>
        <w:t xml:space="preserve"> or otherwise this Agreement shall be construed to reduce or limit the Company's right, title, or interest in any Inventions or any intellectual property, proprietary, or other rights therein so as to be less in any respect than the Company would have had in the absence of this Agreement.</w:t>
      </w:r>
    </w:p>
    <w:p>
      <w:pPr>
        <w:spacing w:after="0" w:line="205"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to the extent that Executive (i) was or is an employee of the Company and (ii) was or is based in the state of Washington or any other state that has enacted laws concerning employee non-assignability of inventions, or otherwise entitled to the benefits of the state statutes of Washington or any other state that has enacted laws concerning employee non-assignability of inventions, during the Employment Term, then, to the extent the assignment of Inventions to the Company in this </w:t>
      </w:r>
      <w:r>
        <w:rPr>
          <w:rFonts w:ascii="Times New Roman" w:cs="Times New Roman" w:eastAsia="Times New Roman" w:hAnsi="Times New Roman"/>
          <w:sz w:val="22"/>
          <w:szCs w:val="22"/>
          <w:u w:val="single" w:color="auto"/>
          <w:color w:val="auto"/>
        </w:rPr>
        <w:t>Section 9(g)</w:t>
      </w:r>
      <w:r>
        <w:rPr>
          <w:rFonts w:ascii="Times New Roman" w:cs="Times New Roman" w:eastAsia="Times New Roman" w:hAnsi="Times New Roman"/>
          <w:sz w:val="22"/>
          <w:szCs w:val="22"/>
          <w:color w:val="auto"/>
        </w:rPr>
        <w:t xml:space="preserve"> can be construed to cover inventions excluded under the appropriate state statutes (including, but not limited to, Revised Code of Washington Section 49.44.140(1), the full terms of which are set forth on Exhibit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attached hereto and which is incorporated herein by reference), </w:t>
      </w:r>
      <w:r>
        <w:rPr>
          <w:rFonts w:ascii="Times New Roman" w:cs="Times New Roman" w:eastAsia="Times New Roman" w:hAnsi="Times New Roman"/>
          <w:sz w:val="22"/>
          <w:szCs w:val="22"/>
          <w:u w:val="single" w:color="auto"/>
          <w:color w:val="auto"/>
        </w:rPr>
        <w:t>Sections 9(g)(i)</w:t>
      </w:r>
      <w:r>
        <w:rPr>
          <w:rFonts w:ascii="Times New Roman" w:cs="Times New Roman" w:eastAsia="Times New Roman" w:hAnsi="Times New Roman"/>
          <w:sz w:val="22"/>
          <w:szCs w:val="22"/>
          <w:color w:val="auto"/>
        </w:rPr>
        <w:t xml:space="preserve"> and (ii) shall not apply to such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39" w:lineRule="exact"/>
        <w:rPr>
          <w:sz w:val="20"/>
          <w:szCs w:val="20"/>
          <w:color w:val="auto"/>
        </w:rPr>
      </w:pPr>
    </w:p>
    <w:p>
      <w:pPr>
        <w:jc w:val="both"/>
        <w:ind w:left="660" w:firstLine="644"/>
        <w:spacing w:after="0" w:line="262" w:lineRule="auto"/>
        <w:tabs>
          <w:tab w:leader="none" w:pos="194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improperly use for the benefit of, bring to any premises of, divulge, disclose, communicate, reveal, transfer or provide access to, integrate into or use for or to create any Inventions, or share with the Company, any confidential, proprietary or non-public information or intellectual property relating to a former employer or other third party without the prior written permission of such third party and any other necessary rights. Executive represents and warrants that she does not possess or own any rights in or to any confidential, proprietary or non-public information or intellectual property related to the business of the Company. Executive shall comply with all relevant agreements, policies and guidelines of the Company regarding the protection of confidential information and intellectual property and potential conflicts of interest, provided the same are consistent with the terms of this Agreement and Executive's duties to the Company and its Affiliates. Executive acknowledges that the Company may amend any such policies and guidelines from time to time, and that Executive remains at all times bound by their most current version.</w:t>
      </w:r>
    </w:p>
    <w:p>
      <w:pPr>
        <w:spacing w:after="0" w:line="167" w:lineRule="exact"/>
        <w:rPr>
          <w:rFonts w:ascii="Times New Roman" w:cs="Times New Roman" w:eastAsia="Times New Roman" w:hAnsi="Times New Roman"/>
          <w:sz w:val="21"/>
          <w:szCs w:val="21"/>
          <w:color w:val="auto"/>
        </w:rPr>
      </w:pPr>
    </w:p>
    <w:p>
      <w:pPr>
        <w:jc w:val="both"/>
        <w:ind w:firstLine="656"/>
        <w:spacing w:after="0" w:line="253" w:lineRule="auto"/>
        <w:tabs>
          <w:tab w:leader="none" w:pos="138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On the date of Executive's termination of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for any reason (or at any time prior thereto at the Company's request), Executive shall return all Confidential Information and other property belonging to the Company or any of its Affiliates (including, but not limited to, any Company-provided wireless electronic mail devices or other equipment, or documents and property belonging to the Company).</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8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REASONABLENESS OF COVENANTS. </w:t>
      </w:r>
      <w:r>
        <w:rPr>
          <w:rFonts w:ascii="Times New Roman" w:cs="Times New Roman" w:eastAsia="Times New Roman" w:hAnsi="Times New Roman"/>
          <w:sz w:val="22"/>
          <w:szCs w:val="22"/>
          <w:color w:val="auto"/>
        </w:rPr>
        <w:t>In signing this Agreement, Executive gives the Company assurance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Executive has carefully read and considered all of the terms and conditions of this Agreement, including the restraints imposed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Executive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Executive from obtaining other suitable employment during the period in which Executive is bound by the restraints. Executive agrees that, before providing services, whether as an employee or consultant, to any entity during the period of time that Executive is subject to the constraints in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hereof, Executive will provide a copy of this Agreement (including, without limitation, this Section 9) to such entity, and the Company shall be entitled to share a copy of this Agreement (including, without limitation,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with such entity or any other entity to which Executive performs services. Executive acknowledges that each of these covenants has a unique, very substantial and immeasurable value to the Company and its Affiliates and that Executive has sufficient assets and skills to provide a livelihood while such covenants remain in force. Executive further covenants that Executive will not challenge the reasonableness or enforceability of any of the covenants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that Executive will reimburse the Company and its Affiliates for all costs (including reasonable attorneys' fees) incurred in connection with any action to enforce any of the provisions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if either the Company and/or any of its Affiliates prevails on any material issue involved in such dispute. It is also agreed that each of the Company's Affiliates will have the right to enforce all of Executive's obligations to that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under this Agreement and shall be third party beneficiaries hereunder, including without limitation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Notwithstanding the foregoing, the provisions of this Section 9 are not intended to restrict the Employee’s right to engage in the practice of law or restrict her ability to represent clients as an attorney as required by Rule 5.6 of the Illinois Rules of Professional Conduct for attorneys, or similar rules in other states that are or become applicable to the Executive, and, to the extent that this Section 9 conflicts with such rules, this Section 9 shall not apply.</w:t>
      </w:r>
    </w:p>
    <w:p>
      <w:pPr>
        <w:spacing w:after="0" w:line="175" w:lineRule="exact"/>
        <w:rPr>
          <w:sz w:val="20"/>
          <w:szCs w:val="20"/>
          <w:color w:val="auto"/>
        </w:rPr>
      </w:pPr>
    </w:p>
    <w:p>
      <w:pPr>
        <w:jc w:val="both"/>
        <w:ind w:firstLine="656"/>
        <w:spacing w:after="0" w:line="253" w:lineRule="auto"/>
        <w:tabs>
          <w:tab w:leader="none" w:pos="129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REFORMATION. </w:t>
      </w:r>
      <w:r>
        <w:rPr>
          <w:rFonts w:ascii="Times New Roman" w:cs="Times New Roman" w:eastAsia="Times New Roman" w:hAnsi="Times New Roman"/>
          <w:sz w:val="22"/>
          <w:szCs w:val="22"/>
          <w:color w:val="auto"/>
        </w:rPr>
        <w:t>If it is determined by a court of competent jurisdiction in any state that any restriction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is excessive in duration or scope or is unreasonable or unenforceable under applicable law or professional ethical rules, it is the intention of the parties that such restriction may be modified or amended by the court to render it enforceable to the maximum extent permitted by the laws of that state or professional governing body.</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9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In the event of any violation of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and agrees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post-termination restrictions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84"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SURVIVAL OF PROVISIONS. </w:t>
      </w:r>
      <w:r>
        <w:rPr>
          <w:rFonts w:ascii="Times New Roman" w:cs="Times New Roman" w:eastAsia="Times New Roman" w:hAnsi="Times New Roman"/>
          <w:sz w:val="22"/>
          <w:szCs w:val="22"/>
          <w:color w:val="auto"/>
        </w:rPr>
        <w:t>The obligations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10 hereof shall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Employment Term, the non-renewal of this Agreement and Executive's employment with the Company and shall be fully enforceable thereafter.</w:t>
      </w:r>
    </w:p>
    <w:p>
      <w:pPr>
        <w:spacing w:after="0" w:line="161" w:lineRule="exact"/>
        <w:rPr>
          <w:sz w:val="20"/>
          <w:szCs w:val="20"/>
          <w:color w:val="auto"/>
        </w:rPr>
      </w:pPr>
    </w:p>
    <w:p>
      <w:pPr>
        <w:jc w:val="both"/>
        <w:ind w:firstLine="656"/>
        <w:spacing w:after="0" w:line="248" w:lineRule="auto"/>
        <w:tabs>
          <w:tab w:leader="none" w:pos="1296" w:val="left"/>
        </w:tabs>
        <w:numPr>
          <w:ilvl w:val="0"/>
          <w:numId w:val="32"/>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Upon the receipt of reasonable notice from the Company (including outside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 agrees that while employed by the Company and thereafter, Executive will respond and provide information with regard to matters in which Executive has knowledge as a result of Executive's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Executive's employment with the Company (collectively,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all at the Company's sole cost and expense. Executive agrees to promptly inform the Board if Executive becomes aware of any lawsuits involving Claims that may be filed or threatened against the Company or its Affiliates. Executive also agrees to promptly inform the Board (to the extent that Executive is legally permitted to do so) if Executive is asked to assist in any investigation of the Company or its Affiliates (or their actions) or another party attempts to obtain information or documents from Executive (other than in connection with any litigation or other proceeding in which Executive is a party-in-opposition) with respect to matters Executive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Executive shall not communicate with anyone (other than Executive's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and tax and/or financial advisors and except to the extent that Executive determines in good faith is necessary in connection with the performance of Executive's duties hereunder) with respect to the facts or subject matter of any pending or potential litigation or regulatory or administrative proceeding involving the Company or any of its Affiliates without giving prior written notice to the Board or the Company's counsel.</w:t>
      </w:r>
    </w:p>
    <w:p>
      <w:pPr>
        <w:spacing w:after="0" w:line="189" w:lineRule="exact"/>
        <w:rPr>
          <w:sz w:val="20"/>
          <w:szCs w:val="20"/>
          <w:color w:val="auto"/>
        </w:rPr>
      </w:pPr>
    </w:p>
    <w:p>
      <w:pPr>
        <w:jc w:val="both"/>
        <w:ind w:firstLine="656"/>
        <w:spacing w:after="0" w:line="249" w:lineRule="auto"/>
        <w:tabs>
          <w:tab w:leader="none" w:pos="1284" w:val="left"/>
        </w:tabs>
        <w:numPr>
          <w:ilvl w:val="0"/>
          <w:numId w:val="3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EQUITABLE RELIEF AND OTHER REMEDIES. </w:t>
      </w:r>
      <w:r>
        <w:rPr>
          <w:rFonts w:ascii="Times New Roman" w:cs="Times New Roman" w:eastAsia="Times New Roman" w:hAnsi="Times New Roman"/>
          <w:sz w:val="22"/>
          <w:szCs w:val="22"/>
          <w:color w:val="auto"/>
        </w:rPr>
        <w:t>Executive acknowledges and agrees that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remedies at law for a breach or threatened breach of any of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would be inadequate and, in recognition of this fact,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In the event of a violation by Executive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any severance or other benefits being paid or provided to Executive and/or Executive's dependents pursuant to this Agreement or otherwise shall immediately cease, and any severance previously paid to Executive shall be immediately repaid to the Company.</w:t>
      </w:r>
    </w:p>
    <w:p>
      <w:pPr>
        <w:spacing w:after="0" w:line="181" w:lineRule="exact"/>
        <w:rPr>
          <w:rFonts w:ascii="Times New Roman" w:cs="Times New Roman" w:eastAsia="Times New Roman" w:hAnsi="Times New Roman"/>
          <w:sz w:val="22"/>
          <w:szCs w:val="22"/>
          <w:b w:val="1"/>
          <w:bCs w:val="1"/>
          <w:color w:val="1E1E1E"/>
        </w:rPr>
      </w:pPr>
    </w:p>
    <w:p>
      <w:pPr>
        <w:jc w:val="both"/>
        <w:ind w:firstLine="656"/>
        <w:spacing w:after="0" w:line="250" w:lineRule="auto"/>
        <w:tabs>
          <w:tab w:leader="none" w:pos="1296" w:val="left"/>
        </w:tabs>
        <w:numPr>
          <w:ilvl w:val="0"/>
          <w:numId w:val="3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NO ASSIGNMENTS. </w:t>
      </w:r>
      <w:r>
        <w:rPr>
          <w:rFonts w:ascii="Times New Roman" w:cs="Times New Roman" w:eastAsia="Times New Roman" w:hAnsi="Times New Roman"/>
          <w:sz w:val="22"/>
          <w:szCs w:val="22"/>
          <w:color w:val="auto"/>
        </w:rPr>
        <w:t>This Agreement shall be binding on and inure to the benefit of the parties hereto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respective heirs, executors and administrators, successors and assigns, except that the rights and obligations of Executive hereunder are personal and may not be assigned without the Company's prior written consent. In addition, the Company may assign this Agreement and its rights and obligations to any successor to all or substantially all of the business and/or assets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shall mean the Company and any assignee set forth above or successor to its business and/or assets, which assumes and agrees to perform the duties and obligations of the Company under this Agreement by operation of law or otherwise.</w:t>
      </w:r>
    </w:p>
    <w:p>
      <w:pPr>
        <w:spacing w:after="0" w:line="179" w:lineRule="exact"/>
        <w:rPr>
          <w:rFonts w:ascii="Times New Roman" w:cs="Times New Roman" w:eastAsia="Times New Roman" w:hAnsi="Times New Roman"/>
          <w:sz w:val="22"/>
          <w:szCs w:val="22"/>
          <w:b w:val="1"/>
          <w:bCs w:val="1"/>
          <w:color w:val="1E1E1E"/>
        </w:rPr>
      </w:pPr>
    </w:p>
    <w:p>
      <w:pPr>
        <w:jc w:val="both"/>
        <w:ind w:firstLine="656"/>
        <w:spacing w:after="0" w:line="249" w:lineRule="auto"/>
        <w:tabs>
          <w:tab w:leader="none" w:pos="1296" w:val="left"/>
        </w:tabs>
        <w:numPr>
          <w:ilvl w:val="0"/>
          <w:numId w:val="3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NOTICE. </w:t>
      </w:r>
      <w:r>
        <w:rPr>
          <w:rFonts w:ascii="Times New Roman" w:cs="Times New Roman" w:eastAsia="Times New Roman" w:hAnsi="Times New Roman"/>
          <w:sz w:val="22"/>
          <w:szCs w:val="22"/>
          <w:color w:val="auto"/>
        </w:rPr>
        <w:t>For purposes of this Agreement, notices and all other communications provided for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if to Executive at the address (or to the facsimile number) shown in the books and records of the Company, and if to the Company at its principal executive office, or to such other address as either party may have furnished to the other in writing in accordance herewith, except that notices of change of address shall be effective only upon receipt.</w:t>
      </w:r>
    </w:p>
    <w:p>
      <w:pPr>
        <w:spacing w:after="0" w:line="181" w:lineRule="exact"/>
        <w:rPr>
          <w:rFonts w:ascii="Times New Roman" w:cs="Times New Roman" w:eastAsia="Times New Roman" w:hAnsi="Times New Roman"/>
          <w:sz w:val="22"/>
          <w:szCs w:val="22"/>
          <w:b w:val="1"/>
          <w:bCs w:val="1"/>
          <w:color w:val="1E1E1E"/>
        </w:rPr>
      </w:pPr>
    </w:p>
    <w:p>
      <w:pPr>
        <w:jc w:val="both"/>
        <w:ind w:firstLine="656"/>
        <w:spacing w:after="0" w:line="265" w:lineRule="auto"/>
        <w:tabs>
          <w:tab w:leader="none" w:pos="1296" w:val="left"/>
        </w:tabs>
        <w:numPr>
          <w:ilvl w:val="0"/>
          <w:numId w:val="3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INSURANCE. </w:t>
      </w:r>
      <w:r>
        <w:rPr>
          <w:rFonts w:ascii="Times New Roman" w:cs="Times New Roman" w:eastAsia="Times New Roman" w:hAnsi="Times New Roman"/>
          <w:sz w:val="22"/>
          <w:szCs w:val="22"/>
          <w:color w:val="1E1E1E"/>
        </w:rPr>
        <w:t>Executive will be covered by the Company’s director and officer insurance policy to the same</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extent as all other senior executive officers of the Company. Subsequent to the cessation of Executive’s employment with the Company, the Company shall ensure that the insurance coverage is continued with respect to any claims made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Executive with respect to acts or omissions during the time Executive was employed by the Company.</w:t>
      </w:r>
    </w:p>
    <w:p>
      <w:pPr>
        <w:spacing w:after="0" w:line="216" w:lineRule="exact"/>
        <w:rPr>
          <w:sz w:val="20"/>
          <w:szCs w:val="20"/>
          <w:color w:val="auto"/>
        </w:rPr>
      </w:pPr>
    </w:p>
    <w:p>
      <w:pPr>
        <w:jc w:val="both"/>
        <w:ind w:firstLine="656"/>
        <w:spacing w:after="0" w:line="258" w:lineRule="auto"/>
        <w:tabs>
          <w:tab w:leader="none" w:pos="1296" w:val="left"/>
        </w:tabs>
        <w:numPr>
          <w:ilvl w:val="0"/>
          <w:numId w:val="34"/>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SECTION HEADINGS; INCONSISTENCY. </w:t>
      </w:r>
      <w:r>
        <w:rPr>
          <w:rFonts w:ascii="Times New Roman" w:cs="Times New Roman" w:eastAsia="Times New Roman" w:hAnsi="Times New Roman"/>
          <w:sz w:val="22"/>
          <w:szCs w:val="22"/>
          <w:color w:val="auto"/>
        </w:rPr>
        <w:t>The section headings used in this Agreement are included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convenience and shall 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67" w:lineRule="exact"/>
        <w:rPr>
          <w:rFonts w:ascii="Times New Roman" w:cs="Times New Roman" w:eastAsia="Times New Roman" w:hAnsi="Times New Roman"/>
          <w:sz w:val="22"/>
          <w:szCs w:val="22"/>
          <w:b w:val="1"/>
          <w:bCs w:val="1"/>
          <w:color w:val="1E1E1E"/>
        </w:rPr>
      </w:pPr>
    </w:p>
    <w:p>
      <w:pPr>
        <w:ind w:firstLine="656"/>
        <w:spacing w:after="0" w:line="275" w:lineRule="auto"/>
        <w:tabs>
          <w:tab w:leader="none" w:pos="1296" w:val="left"/>
        </w:tabs>
        <w:numPr>
          <w:ilvl w:val="0"/>
          <w:numId w:val="34"/>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provisions of this Agreement shall be deemed severable and the invalidity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unenforceability of any provision shall not affect the validity or enforceability of the other provisions hereof.</w:t>
      </w:r>
    </w:p>
    <w:p>
      <w:pPr>
        <w:spacing w:after="0" w:line="149" w:lineRule="exact"/>
        <w:rPr>
          <w:rFonts w:ascii="Times New Roman" w:cs="Times New Roman" w:eastAsia="Times New Roman" w:hAnsi="Times New Roman"/>
          <w:sz w:val="22"/>
          <w:szCs w:val="22"/>
          <w:b w:val="1"/>
          <w:bCs w:val="1"/>
          <w:color w:val="1E1E1E"/>
        </w:rPr>
      </w:pPr>
    </w:p>
    <w:p>
      <w:pPr>
        <w:ind w:firstLine="656"/>
        <w:spacing w:after="0" w:line="275" w:lineRule="auto"/>
        <w:tabs>
          <w:tab w:leader="none" w:pos="1296" w:val="left"/>
        </w:tabs>
        <w:numPr>
          <w:ilvl w:val="0"/>
          <w:numId w:val="34"/>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several counterparts, each of which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an original but all of which together will constitute one and the same instrument.</w:t>
      </w:r>
    </w:p>
    <w:p>
      <w:pPr>
        <w:spacing w:after="0" w:line="162" w:lineRule="exact"/>
        <w:rPr>
          <w:rFonts w:ascii="Times New Roman" w:cs="Times New Roman" w:eastAsia="Times New Roman" w:hAnsi="Times New Roman"/>
          <w:sz w:val="22"/>
          <w:szCs w:val="22"/>
          <w:b w:val="1"/>
          <w:bCs w:val="1"/>
          <w:color w:val="1E1E1E"/>
        </w:rPr>
      </w:pPr>
    </w:p>
    <w:p>
      <w:pPr>
        <w:jc w:val="both"/>
        <w:ind w:firstLine="656"/>
        <w:spacing w:after="0" w:line="259" w:lineRule="auto"/>
        <w:tabs>
          <w:tab w:leader="none" w:pos="1296" w:val="left"/>
        </w:tabs>
        <w:numPr>
          <w:ilvl w:val="0"/>
          <w:numId w:val="34"/>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auto"/>
        </w:rPr>
        <w:t xml:space="preserve">GOVERNING LAW; JURISDICTION. </w:t>
      </w:r>
      <w:r>
        <w:rPr>
          <w:rFonts w:ascii="Times New Roman" w:cs="Times New Roman" w:eastAsia="Times New Roman" w:hAnsi="Times New Roman"/>
          <w:sz w:val="21"/>
          <w:szCs w:val="21"/>
          <w:color w:val="auto"/>
        </w:rPr>
        <w:t>This Agreement, the rights and obligations of the parties hereto,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claims or disputes relating thereto, shall be governed by and construed in accordance with the laws of the State of Delaware without regard to its choice of law provisions. Each of the parties agrees that any dispute between the parties shall be resolved only in the courts of the State of Delaware or the United States District Court for the District of Delaware and the appellate courts having jurisdiction of appeals in such courts. In that context, and without limiting the generality of the foregoing, each of the parties hereto irrevocably and unconditionally (a) submits in any proceeding relating to this Agreement or Executive's employment by the Company or any Affiliate, or for the recognition and enforcement of any judgment in respect thereof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to the exclusive jurisdiction of the courts of the State of Delaware, the court of the United States of America for the District of Delaware, and appellate courts having jurisdiction of appeals from any of the foregoing, and agrees that all claims in respect of any such Proceeding shall be heard and determined in such Delaware State court or, to the extent permitted by law, in such federal court, (b) consents that any such Proceeding may and shall be brought in such courts and waives any objection that Executive or the Company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EXECUTIVE'S EMPLOYMENT BY THE COMPANY OR ANY AFFILIATE OF THE COMPANY, OR EXECUTIVE'S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Executive's or the Company's address as provided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hereof, and (e) agrees that nothing in this Agreement shall affect the right to effect service of process in any other manner permitted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35" w:lineRule="exact"/>
        <w:rPr>
          <w:sz w:val="20"/>
          <w:szCs w:val="20"/>
          <w:color w:val="auto"/>
        </w:rPr>
      </w:pPr>
    </w:p>
    <w:p>
      <w:pPr>
        <w:jc w:val="both"/>
        <w:ind w:firstLine="656"/>
        <w:spacing w:after="0" w:line="248" w:lineRule="auto"/>
        <w:tabs>
          <w:tab w:leader="none" w:pos="1296" w:val="left"/>
        </w:tabs>
        <w:numPr>
          <w:ilvl w:val="0"/>
          <w:numId w:val="3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No provision of this Agreement may be modified, waived or discharged unless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waiver, modification or discharge is agreed to in writing and signed by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hereto in respect of the subject matter contained herein and supersedes any and all prior agreements or understandings (including, without limitation, the offer letter dated April 1, 2026 (the </w:t>
      </w:r>
      <w:r>
        <w:rPr>
          <w:rFonts w:ascii="Times New Roman" w:cs="Times New Roman" w:eastAsia="Times New Roman" w:hAnsi="Times New Roman"/>
          <w:sz w:val="22"/>
          <w:szCs w:val="22"/>
          <w:u w:val="single" w:color="auto"/>
          <w:color w:val="auto"/>
        </w:rPr>
        <w:t>"Former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and the Company and its subsidiaries shall have no liability with respect to the Former Agreement) between Executive and the Company and its subsidiaries with respect to the subject matter hereof; provided that in the event that Executive becomes a party to any other agreement providing for restrictive covenants similar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such agreement shall also apply pursuant to its terms. No agreements or representations, oral or otherwise, express or implied, with respect to the subject matter hereof have been made by either party which are not expressly set forth in this Agreement.</w:t>
      </w:r>
    </w:p>
    <w:p>
      <w:pPr>
        <w:spacing w:after="0" w:line="184" w:lineRule="exact"/>
        <w:rPr>
          <w:rFonts w:ascii="Times New Roman" w:cs="Times New Roman" w:eastAsia="Times New Roman" w:hAnsi="Times New Roman"/>
          <w:sz w:val="22"/>
          <w:szCs w:val="22"/>
          <w:b w:val="1"/>
          <w:bCs w:val="1"/>
          <w:color w:val="1E1E1E"/>
        </w:rPr>
      </w:pPr>
    </w:p>
    <w:p>
      <w:pPr>
        <w:jc w:val="both"/>
        <w:ind w:firstLine="656"/>
        <w:spacing w:after="0" w:line="254" w:lineRule="auto"/>
        <w:tabs>
          <w:tab w:leader="none" w:pos="1296" w:val="left"/>
        </w:tabs>
        <w:numPr>
          <w:ilvl w:val="0"/>
          <w:numId w:val="3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 xml:space="preserve">REPRESENTATIONS. </w:t>
      </w:r>
      <w:r>
        <w:rPr>
          <w:rFonts w:ascii="Times New Roman" w:cs="Times New Roman" w:eastAsia="Times New Roman" w:hAnsi="Times New Roman"/>
          <w:sz w:val="22"/>
          <w:szCs w:val="22"/>
          <w:color w:val="auto"/>
        </w:rPr>
        <w:t>Executive represents and warrants to the Company that (a) Executive has the legal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enter into this Agreement and to perform all of the obligations on Executive's part to be performed hereunder in accordance with its terms, and (b) Executive is not a party to any agreement or understanding, written or oral, and is not subject to any restriction, which, in either case, could prevent Executive from entering into this Agreement or impede Executive from performing all of Executive's duties and obligations hereunder.</w:t>
      </w:r>
    </w:p>
    <w:p>
      <w:pPr>
        <w:spacing w:after="0" w:line="173" w:lineRule="exact"/>
        <w:rPr>
          <w:rFonts w:ascii="Times New Roman" w:cs="Times New Roman" w:eastAsia="Times New Roman" w:hAnsi="Times New Roman"/>
          <w:sz w:val="22"/>
          <w:szCs w:val="22"/>
          <w:b w:val="1"/>
          <w:bCs w:val="1"/>
          <w:color w:val="1E1E1E"/>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auto"/>
        </w:rPr>
        <w:t>TAX MATTERS.</w:t>
      </w:r>
    </w:p>
    <w:p>
      <w:pPr>
        <w:spacing w:after="0" w:line="220" w:lineRule="exact"/>
        <w:rPr>
          <w:sz w:val="20"/>
          <w:szCs w:val="20"/>
          <w:color w:val="auto"/>
        </w:rPr>
      </w:pPr>
    </w:p>
    <w:p>
      <w:pPr>
        <w:jc w:val="both"/>
        <w:ind w:firstLine="656"/>
        <w:spacing w:after="0" w:line="254" w:lineRule="auto"/>
        <w:tabs>
          <w:tab w:leader="none" w:pos="1291"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The Company may withhold from any and all amounts payable under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such federal, state and local taxes as may be required to be withheld pursuant to any applicable law or regulation. In the event that the Company fails to withhold any taxes required to be withheld by applicable law or regulation, Executive agrees to indemnify the Company for any amount paid with respect to any such taxes, together with any interest, penalty and/or expense related thereto.</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COMPLIANCE.</w:t>
      </w:r>
    </w:p>
    <w:p>
      <w:pPr>
        <w:spacing w:after="0" w:line="223" w:lineRule="exact"/>
        <w:rPr>
          <w:rFonts w:ascii="Times New Roman" w:cs="Times New Roman" w:eastAsia="Times New Roman" w:hAnsi="Times New Roman"/>
          <w:sz w:val="22"/>
          <w:szCs w:val="22"/>
          <w:b w:val="1"/>
          <w:bCs w:val="1"/>
          <w:color w:val="auto"/>
        </w:rPr>
      </w:pPr>
    </w:p>
    <w:p>
      <w:pPr>
        <w:jc w:val="both"/>
        <w:ind w:left="660" w:firstLine="644"/>
        <w:spacing w:after="0" w:line="253" w:lineRule="auto"/>
        <w:tabs>
          <w:tab w:leader="none" w:pos="194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intent of the parties is that payments and benefits under this Agreement comply with Internal Revenue Code Section 409A and the regulations and guidance promulgated thereunder (collectively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39" w:lineRule="exact"/>
        <w:rPr>
          <w:sz w:val="20"/>
          <w:szCs w:val="20"/>
          <w:color w:val="auto"/>
        </w:rPr>
      </w:pPr>
    </w:p>
    <w:p>
      <w:pPr>
        <w:jc w:val="both"/>
        <w:ind w:left="660" w:firstLine="644"/>
        <w:spacing w:after="0" w:line="260" w:lineRule="auto"/>
        <w:tabs>
          <w:tab w:leader="none" w:pos="195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 xml:space="preserve">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85"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under this Agreement constitute "nonqualified deferred compensation" for purposes of Code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2"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40" w:right="339" w:bottom="12"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written above.</w:t>
      </w:r>
    </w:p>
    <w:p>
      <w:pPr>
        <w:spacing w:after="0" w:line="20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COMPANY:</w:t>
      </w:r>
    </w:p>
    <w:p>
      <w:pPr>
        <w:spacing w:after="0" w:line="20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HOLLEY INC.</w:t>
      </w:r>
    </w:p>
    <w:p>
      <w:pPr>
        <w:spacing w:after="0" w:line="19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/s/ Matthew Stevenson</w:t>
      </w:r>
    </w:p>
    <w:p>
      <w:pPr>
        <w:spacing w:after="0" w:line="200" w:lineRule="exact"/>
        <w:rPr>
          <w:sz w:val="20"/>
          <w:szCs w:val="20"/>
          <w:color w:val="auto"/>
        </w:rPr>
      </w:pPr>
    </w:p>
    <w:p>
      <w:pPr>
        <w:spacing w:after="0" w:line="22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Matthew Stevenson</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160"/>
          </w:cols>
          <w:pgMar w:left="400" w:top="1440" w:right="339" w:bottom="1440" w:gutter="0" w:footer="0" w:header="0"/>
        </w:sectPr>
      </w:pPr>
    </w:p>
    <w:bookmarkStart w:id="25" w:name="page26"/>
    <w:bookmarkEnd w:id="25"/>
    <w:p>
      <w:pPr>
        <w:jc w:val="right"/>
        <w:ind w:right="4419"/>
        <w:spacing w:after="0"/>
        <w:rPr>
          <w:sz w:val="20"/>
          <w:szCs w:val="20"/>
          <w:color w:val="auto"/>
        </w:rPr>
      </w:pPr>
      <w:r>
        <w:rPr>
          <w:rFonts w:ascii="Times New Roman" w:cs="Times New Roman" w:eastAsia="Times New Roman" w:hAnsi="Times New Roman"/>
          <w:sz w:val="20"/>
          <w:szCs w:val="20"/>
          <w:color w:val="auto"/>
        </w:rPr>
        <w:t>19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0139"/>
          </w:cols>
          <w:pgMar w:left="320" w:top="981" w:right="1440" w:bottom="1440" w:gutter="0" w:footer="0" w:header="0"/>
        </w:sectPr>
      </w:pPr>
    </w:p>
    <w:bookmarkStart w:id="26" w:name="page27"/>
    <w:bookmarkEnd w:id="26"/>
    <w:p>
      <w:pPr>
        <w:jc w:val="right"/>
        <w:ind w:right="2219"/>
        <w:spacing w:after="0"/>
        <w:rPr>
          <w:sz w:val="20"/>
          <w:szCs w:val="20"/>
          <w:color w:val="auto"/>
        </w:rPr>
      </w:pPr>
      <w:r>
        <w:rPr>
          <w:rFonts w:ascii="Times New Roman" w:cs="Times New Roman" w:eastAsia="Times New Roman" w:hAnsi="Times New Roman"/>
          <w:sz w:val="22"/>
          <w:szCs w:val="22"/>
          <w:color w:val="auto"/>
        </w:rPr>
        <w:t>[Signature Page to Employment Agreement (Apple)]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 Sarah Apple</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Sarah Apple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0139"/>
          </w:cols>
          <w:pgMar w:left="320" w:top="1246" w:right="1440" w:bottom="1440" w:gutter="0" w:footer="0" w:header="0"/>
        </w:sectPr>
      </w:pPr>
    </w:p>
    <w:bookmarkStart w:id="27" w:name="page28"/>
    <w:bookmarkEnd w:id="27"/>
    <w:p>
      <w:pPr>
        <w:ind w:left="5020"/>
        <w:spacing w:after="0"/>
        <w:rPr>
          <w:sz w:val="20"/>
          <w:szCs w:val="20"/>
          <w:color w:val="auto"/>
        </w:rPr>
      </w:pPr>
      <w:r>
        <w:rPr>
          <w:rFonts w:ascii="Times New Roman" w:cs="Times New Roman" w:eastAsia="Times New Roman" w:hAnsi="Times New Roman"/>
          <w:sz w:val="22"/>
          <w:szCs w:val="22"/>
          <w:b w:val="1"/>
          <w:bCs w:val="1"/>
          <w:color w:val="292929"/>
        </w:rPr>
        <w:t>EXHIBIT A</w:t>
      </w:r>
    </w:p>
    <w:p>
      <w:pPr>
        <w:spacing w:after="0" w:line="1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b w:val="1"/>
          <w:bCs w:val="1"/>
          <w:color w:val="292929"/>
        </w:rPr>
        <w:t>Form of Release</w:t>
      </w:r>
    </w:p>
    <w:p>
      <w:pPr>
        <w:spacing w:after="0" w:line="1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292929"/>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139"/>
          </w:cols>
          <w:pgMar w:left="320" w:top="1310" w:right="1440"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0139"/>
          </w:cols>
          <w:pgMar w:left="320" w:top="1310" w:right="1440"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171719"/>
        </w:rPr>
        <w:t>GENERAL RELEASE</w:t>
      </w:r>
    </w:p>
    <w:p>
      <w:pPr>
        <w:spacing w:after="0" w:line="197" w:lineRule="exact"/>
        <w:rPr>
          <w:sz w:val="20"/>
          <w:szCs w:val="20"/>
          <w:color w:val="auto"/>
        </w:rPr>
      </w:pPr>
    </w:p>
    <w:p>
      <w:pPr>
        <w:jc w:val="both"/>
        <w:ind w:firstLine="1361"/>
        <w:spacing w:after="0" w:line="243" w:lineRule="auto"/>
        <w:rPr>
          <w:sz w:val="20"/>
          <w:szCs w:val="20"/>
          <w:color w:val="auto"/>
        </w:rPr>
      </w:pPr>
      <w:r>
        <w:rPr>
          <w:rFonts w:ascii="Times New Roman" w:cs="Times New Roman" w:eastAsia="Times New Roman" w:hAnsi="Times New Roman"/>
          <w:sz w:val="22"/>
          <w:szCs w:val="22"/>
          <w:color w:val="171719"/>
        </w:rPr>
        <w:t xml:space="preserve">I, Sarah Apple, on behalf of myself and my heirs, successors and assigns, in consideration of the performance by Holley Inc. </w:t>
      </w:r>
      <w:r>
        <w:rPr>
          <w:rFonts w:ascii="Times New Roman" w:cs="Times New Roman" w:eastAsia="Times New Roman" w:hAnsi="Times New Roman"/>
          <w:sz w:val="22"/>
          <w:szCs w:val="22"/>
          <w:u w:val="single" w:color="auto"/>
          <w:color w:val="171719"/>
        </w:rPr>
        <w:t>("Employer"),</w:t>
      </w:r>
      <w:r>
        <w:rPr>
          <w:rFonts w:ascii="Times New Roman" w:cs="Times New Roman" w:eastAsia="Times New Roman" w:hAnsi="Times New Roman"/>
          <w:sz w:val="22"/>
          <w:szCs w:val="22"/>
          <w:color w:val="171719"/>
        </w:rPr>
        <w:t xml:space="preserve"> of its material obligations under the Employment Agreement (the </w:t>
      </w:r>
      <w:r>
        <w:rPr>
          <w:rFonts w:ascii="Times New Roman" w:cs="Times New Roman" w:eastAsia="Times New Roman" w:hAnsi="Times New Roman"/>
          <w:sz w:val="22"/>
          <w:szCs w:val="22"/>
          <w:u w:val="single" w:color="auto"/>
          <w:color w:val="171719"/>
        </w:rPr>
        <w:t>"Agreement"),</w:t>
      </w:r>
      <w:r>
        <w:rPr>
          <w:rFonts w:ascii="Times New Roman" w:cs="Times New Roman" w:eastAsia="Times New Roman" w:hAnsi="Times New Roman"/>
          <w:sz w:val="22"/>
          <w:szCs w:val="22"/>
          <w:color w:val="171719"/>
        </w:rPr>
        <w:t xml:space="preserve"> do hereby release and forever discharge as of the date hereof Employer (together with its Subsidiaries, the </w:t>
      </w:r>
      <w:r>
        <w:rPr>
          <w:rFonts w:ascii="Times New Roman" w:cs="Times New Roman" w:eastAsia="Times New Roman" w:hAnsi="Times New Roman"/>
          <w:sz w:val="22"/>
          <w:szCs w:val="22"/>
          <w:u w:val="single" w:color="auto"/>
          <w:color w:val="171719"/>
        </w:rPr>
        <w:t>"Company"),</w:t>
      </w:r>
      <w:r>
        <w:rPr>
          <w:rFonts w:ascii="Times New Roman" w:cs="Times New Roman" w:eastAsia="Times New Roman" w:hAnsi="Times New Roman"/>
          <w:sz w:val="22"/>
          <w:szCs w:val="22"/>
          <w:color w:val="171719"/>
        </w:rPr>
        <w:t xml:space="preserve"> their respective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w:t>
      </w:r>
      <w:r>
        <w:rPr>
          <w:rFonts w:ascii="Times New Roman" w:cs="Times New Roman" w:eastAsia="Times New Roman" w:hAnsi="Times New Roman"/>
          <w:sz w:val="22"/>
          <w:szCs w:val="22"/>
          <w:u w:val="single" w:color="auto"/>
          <w:color w:val="171719"/>
        </w:rPr>
        <w:t>"Released Parties")</w:t>
      </w:r>
      <w:r>
        <w:rPr>
          <w:rFonts w:ascii="Times New Roman" w:cs="Times New Roman" w:eastAsia="Times New Roman" w:hAnsi="Times New Roman"/>
          <w:sz w:val="22"/>
          <w:szCs w:val="22"/>
          <w:color w:val="171719"/>
        </w:rPr>
        <w:t xml:space="preserve"> to the extent provided below.</w:t>
      </w:r>
    </w:p>
    <w:p>
      <w:pPr>
        <w:spacing w:after="0" w:line="178" w:lineRule="exact"/>
        <w:rPr>
          <w:sz w:val="20"/>
          <w:szCs w:val="20"/>
          <w:color w:val="auto"/>
        </w:rPr>
      </w:pPr>
    </w:p>
    <w:p>
      <w:pPr>
        <w:jc w:val="both"/>
        <w:ind w:left="80" w:firstLine="641"/>
        <w:spacing w:after="0" w:line="238" w:lineRule="auto"/>
        <w:tabs>
          <w:tab w:leader="none" w:pos="1308" w:val="left"/>
        </w:tabs>
        <w:numPr>
          <w:ilvl w:val="0"/>
          <w:numId w:val="38"/>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9"/>
        </w:rPr>
        <w:t xml:space="preserve">I understand that any payments or benefits paid or granted to me under </w:t>
      </w:r>
      <w:r>
        <w:rPr>
          <w:rFonts w:ascii="Times New Roman" w:cs="Times New Roman" w:eastAsia="Times New Roman" w:hAnsi="Times New Roman"/>
          <w:sz w:val="22"/>
          <w:szCs w:val="22"/>
          <w:u w:val="single" w:color="auto"/>
          <w:color w:val="171719"/>
        </w:rPr>
        <w:t>Section 7</w:t>
      </w:r>
      <w:r>
        <w:rPr>
          <w:rFonts w:ascii="Times New Roman" w:cs="Times New Roman" w:eastAsia="Times New Roman" w:hAnsi="Times New Roman"/>
          <w:sz w:val="22"/>
          <w:szCs w:val="22"/>
          <w:color w:val="171719"/>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Times New Roman" w:cs="Times New Roman" w:eastAsia="Times New Roman" w:hAnsi="Times New Roman"/>
          <w:sz w:val="22"/>
          <w:szCs w:val="22"/>
          <w:u w:val="single" w:color="auto"/>
          <w:color w:val="171719"/>
        </w:rPr>
        <w:t>Section 7</w:t>
      </w:r>
      <w:r>
        <w:rPr>
          <w:rFonts w:ascii="Times New Roman" w:cs="Times New Roman" w:eastAsia="Times New Roman" w:hAnsi="Times New Roman"/>
          <w:sz w:val="22"/>
          <w:szCs w:val="22"/>
          <w:color w:val="171719"/>
        </w:rPr>
        <w:t xml:space="preserve"> of the Agreement unless I execute this General Release and do not revoke this General Release within the time period permitted hereafter or breach this General Release.</w:t>
      </w:r>
    </w:p>
    <w:p>
      <w:pPr>
        <w:spacing w:after="0" w:line="165" w:lineRule="exact"/>
        <w:rPr>
          <w:rFonts w:ascii="Times New Roman" w:cs="Times New Roman" w:eastAsia="Times New Roman" w:hAnsi="Times New Roman"/>
          <w:sz w:val="23"/>
          <w:szCs w:val="23"/>
          <w:b w:val="1"/>
          <w:bCs w:val="1"/>
          <w:color w:val="171719"/>
        </w:rPr>
      </w:pPr>
    </w:p>
    <w:p>
      <w:pPr>
        <w:jc w:val="both"/>
        <w:ind w:left="80" w:firstLine="641"/>
        <w:spacing w:after="0" w:line="249" w:lineRule="auto"/>
        <w:tabs>
          <w:tab w:leader="none" w:pos="1308" w:val="left"/>
        </w:tabs>
        <w:numPr>
          <w:ilvl w:val="0"/>
          <w:numId w:val="38"/>
        </w:numPr>
        <w:rPr>
          <w:rFonts w:ascii="Times New Roman" w:cs="Times New Roman" w:eastAsia="Times New Roman" w:hAnsi="Times New Roman"/>
          <w:sz w:val="22"/>
          <w:szCs w:val="22"/>
          <w:b w:val="1"/>
          <w:bCs w:val="1"/>
          <w:color w:val="171719"/>
        </w:rPr>
      </w:pPr>
      <w:r>
        <w:rPr>
          <w:rFonts w:ascii="Times New Roman" w:cs="Times New Roman" w:eastAsia="Times New Roman" w:hAnsi="Times New Roman"/>
          <w:sz w:val="21"/>
          <w:szCs w:val="21"/>
          <w:color w:val="171719"/>
        </w:rPr>
        <w:t xml:space="preserve">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including, but not limited to,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21"/>
          <w:szCs w:val="21"/>
          <w:u w:val="single" w:color="auto"/>
          <w:color w:val="171719"/>
        </w:rPr>
        <w:t>"Claims"); provided,</w:t>
      </w:r>
      <w:r>
        <w:rPr>
          <w:rFonts w:ascii="Times New Roman" w:cs="Times New Roman" w:eastAsia="Times New Roman" w:hAnsi="Times New Roman"/>
          <w:sz w:val="21"/>
          <w:szCs w:val="21"/>
          <w:color w:val="171719"/>
        </w:rPr>
        <w:t xml:space="preserve"> however, that nothing contained in this General Release shall apply to, or release the Company from, any obligation of the Company (i) contained in the Agreement to be performed after the date hereof or (ii) with respect to Accrued Benefits (as defined in the Agreement).</w:t>
      </w:r>
    </w:p>
    <w:p>
      <w:pPr>
        <w:spacing w:after="0" w:line="168" w:lineRule="exact"/>
        <w:rPr>
          <w:rFonts w:ascii="Times New Roman" w:cs="Times New Roman" w:eastAsia="Times New Roman" w:hAnsi="Times New Roman"/>
          <w:sz w:val="22"/>
          <w:szCs w:val="22"/>
          <w:b w:val="1"/>
          <w:bCs w:val="1"/>
          <w:color w:val="171719"/>
        </w:rPr>
      </w:pPr>
    </w:p>
    <w:p>
      <w:pPr>
        <w:ind w:left="80" w:firstLine="641"/>
        <w:spacing w:after="0" w:line="260" w:lineRule="auto"/>
        <w:tabs>
          <w:tab w:leader="none" w:pos="1308" w:val="left"/>
        </w:tabs>
        <w:numPr>
          <w:ilvl w:val="0"/>
          <w:numId w:val="38"/>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9"/>
        </w:rPr>
        <w:t>I represent that I have made no assignment or transfer of any right, claim, demand, cause of action, or other matter covered by paragraph 2 above.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256" w:right="339" w:bottom="1440" w:gutter="0" w:footer="0" w:header="0"/>
        </w:sectPr>
      </w:pPr>
    </w:p>
    <w:bookmarkStart w:id="29" w:name="page30"/>
    <w:bookmarkEnd w:id="29"/>
    <w:p>
      <w:pPr>
        <w:jc w:val="both"/>
        <w:ind w:left="80" w:firstLine="641"/>
        <w:spacing w:after="0" w:line="241" w:lineRule="auto"/>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9" w:lineRule="exact"/>
        <w:rPr>
          <w:rFonts w:ascii="Times New Roman" w:cs="Times New Roman" w:eastAsia="Times New Roman" w:hAnsi="Times New Roman"/>
          <w:sz w:val="23"/>
          <w:szCs w:val="23"/>
          <w:b w:val="1"/>
          <w:bCs w:val="1"/>
          <w:color w:val="171719"/>
        </w:rPr>
      </w:pPr>
    </w:p>
    <w:p>
      <w:pPr>
        <w:jc w:val="both"/>
        <w:ind w:left="80" w:firstLine="641"/>
        <w:spacing w:after="0" w:line="237" w:lineRule="auto"/>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Parties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83" w:lineRule="exact"/>
        <w:rPr>
          <w:rFonts w:ascii="Times New Roman" w:cs="Times New Roman" w:eastAsia="Times New Roman" w:hAnsi="Times New Roman"/>
          <w:sz w:val="23"/>
          <w:szCs w:val="23"/>
          <w:b w:val="1"/>
          <w:bCs w:val="1"/>
          <w:color w:val="171719"/>
        </w:rPr>
      </w:pPr>
    </w:p>
    <w:p>
      <w:pPr>
        <w:jc w:val="both"/>
        <w:ind w:left="80" w:firstLine="641"/>
        <w:spacing w:after="0" w:line="245" w:lineRule="auto"/>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85" w:lineRule="exact"/>
        <w:rPr>
          <w:rFonts w:ascii="Times New Roman" w:cs="Times New Roman" w:eastAsia="Times New Roman" w:hAnsi="Times New Roman"/>
          <w:sz w:val="23"/>
          <w:szCs w:val="23"/>
          <w:b w:val="1"/>
          <w:bCs w:val="1"/>
          <w:color w:val="171719"/>
        </w:rPr>
      </w:pPr>
    </w:p>
    <w:p>
      <w:pPr>
        <w:jc w:val="both"/>
        <w:ind w:left="80" w:firstLine="641"/>
        <w:spacing w:after="0" w:line="239" w:lineRule="auto"/>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91" w:lineRule="exact"/>
        <w:rPr>
          <w:rFonts w:ascii="Times New Roman" w:cs="Times New Roman" w:eastAsia="Times New Roman" w:hAnsi="Times New Roman"/>
          <w:sz w:val="23"/>
          <w:szCs w:val="23"/>
          <w:b w:val="1"/>
          <w:bCs w:val="1"/>
          <w:color w:val="171719"/>
        </w:rPr>
      </w:pPr>
    </w:p>
    <w:p>
      <w:pPr>
        <w:jc w:val="both"/>
        <w:ind w:left="80" w:firstLine="641"/>
        <w:spacing w:after="0"/>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any other self-regulatory organization or governmental entity.</w:t>
      </w:r>
    </w:p>
    <w:p>
      <w:pPr>
        <w:spacing w:after="0" w:line="178" w:lineRule="exact"/>
        <w:rPr>
          <w:rFonts w:ascii="Times New Roman" w:cs="Times New Roman" w:eastAsia="Times New Roman" w:hAnsi="Times New Roman"/>
          <w:sz w:val="23"/>
          <w:szCs w:val="23"/>
          <w:b w:val="1"/>
          <w:bCs w:val="1"/>
          <w:color w:val="171719"/>
        </w:rPr>
      </w:pPr>
    </w:p>
    <w:p>
      <w:pPr>
        <w:ind w:left="80" w:firstLine="641"/>
        <w:spacing w:after="0" w:line="260" w:lineRule="auto"/>
        <w:tabs>
          <w:tab w:leader="none" w:pos="1308"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 xml:space="preserve">Without limitation of any provision of the Agreement, I hereby expressly re-affirm my obligations under </w:t>
      </w:r>
      <w:r>
        <w:rPr>
          <w:rFonts w:ascii="Times New Roman" w:cs="Times New Roman" w:eastAsia="Times New Roman" w:hAnsi="Times New Roman"/>
          <w:sz w:val="22"/>
          <w:szCs w:val="22"/>
          <w:u w:val="single" w:color="auto"/>
          <w:color w:val="171717"/>
        </w:rPr>
        <w:t>Sections</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u w:val="single" w:color="auto"/>
          <w:color w:val="171717"/>
        </w:rPr>
        <w:t>9</w:t>
      </w:r>
      <w:r>
        <w:rPr>
          <w:rFonts w:ascii="Times New Roman" w:cs="Times New Roman" w:eastAsia="Times New Roman" w:hAnsi="Times New Roman"/>
          <w:sz w:val="22"/>
          <w:szCs w:val="22"/>
          <w:color w:val="171717"/>
        </w:rPr>
        <w:t xml:space="preserve"> and 10 of the Agreement.</w:t>
      </w:r>
    </w:p>
    <w:p>
      <w:pPr>
        <w:spacing w:after="0" w:line="154" w:lineRule="exact"/>
        <w:rPr>
          <w:rFonts w:ascii="Times New Roman" w:cs="Times New Roman" w:eastAsia="Times New Roman" w:hAnsi="Times New Roman"/>
          <w:sz w:val="23"/>
          <w:szCs w:val="23"/>
          <w:b w:val="1"/>
          <w:bCs w:val="1"/>
          <w:color w:val="171719"/>
        </w:rPr>
      </w:pPr>
    </w:p>
    <w:p>
      <w:pPr>
        <w:jc w:val="both"/>
        <w:ind w:left="80" w:firstLine="641"/>
        <w:spacing w:after="0" w:line="244" w:lineRule="auto"/>
        <w:tabs>
          <w:tab w:leader="none" w:pos="1304" w:val="left"/>
        </w:tabs>
        <w:numPr>
          <w:ilvl w:val="0"/>
          <w:numId w:val="39"/>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7"/>
        </w:rPr>
        <w:t xml:space="preserve">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w:t>
      </w:r>
      <w:r>
        <w:rPr>
          <w:rFonts w:ascii="Times New Roman" w:cs="Times New Roman" w:eastAsia="Times New Roman" w:hAnsi="Times New Roman"/>
          <w:sz w:val="22"/>
          <w:szCs w:val="22"/>
          <w:color w:val="000000"/>
        </w:rPr>
        <w:t>provision or any other jurisdiction, but this General Release shall be reformed,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35" w:right="339" w:bottom="1440" w:gutter="0" w:footer="0" w:header="0"/>
        </w:sectPr>
      </w:pPr>
    </w:p>
    <w:bookmarkStart w:id="30" w:name="page31"/>
    <w:bookmarkEnd w:id="30"/>
    <w:p>
      <w:pPr>
        <w:ind w:left="80"/>
        <w:spacing w:after="0" w:line="271" w:lineRule="auto"/>
        <w:rPr>
          <w:sz w:val="20"/>
          <w:szCs w:val="20"/>
          <w:color w:val="auto"/>
        </w:rPr>
      </w:pPr>
      <w:r>
        <w:rPr>
          <w:rFonts w:ascii="Times New Roman" w:cs="Times New Roman" w:eastAsia="Times New Roman" w:hAnsi="Times New Roman"/>
          <w:sz w:val="22"/>
          <w:szCs w:val="22"/>
          <w:color w:val="auto"/>
        </w:rPr>
        <w:t>construed and enforced in such jurisdiction as if such invalid, illegal or unenforceable provision had never been contained herein.</w:t>
      </w:r>
    </w:p>
    <w:p>
      <w:pPr>
        <w:spacing w:after="0" w:line="144" w:lineRule="exact"/>
        <w:rPr>
          <w:sz w:val="20"/>
          <w:szCs w:val="20"/>
          <w:color w:val="auto"/>
        </w:rPr>
      </w:pPr>
    </w:p>
    <w:p>
      <w:pPr>
        <w:jc w:val="both"/>
        <w:ind w:left="80" w:firstLine="641"/>
        <w:spacing w:after="0" w:line="251" w:lineRule="auto"/>
        <w:tabs>
          <w:tab w:leader="none" w:pos="1291" w:val="left"/>
        </w:tabs>
        <w:numPr>
          <w:ilvl w:val="1"/>
          <w:numId w:val="40"/>
        </w:numPr>
        <w:rPr>
          <w:rFonts w:ascii="Times New Roman" w:cs="Times New Roman" w:eastAsia="Times New Roman" w:hAnsi="Times New Roman"/>
          <w:sz w:val="22"/>
          <w:szCs w:val="22"/>
          <w:b w:val="1"/>
          <w:bCs w:val="1"/>
          <w:color w:val="171719"/>
        </w:rPr>
      </w:pPr>
      <w:r>
        <w:rPr>
          <w:rFonts w:ascii="Times New Roman" w:cs="Times New Roman" w:eastAsia="Times New Roman" w:hAnsi="Times New Roman"/>
          <w:sz w:val="21"/>
          <w:szCs w:val="21"/>
          <w:color w:val="auto"/>
        </w:rPr>
        <w:t>Notwithstanding anything to the contrary, nothing herein or in any Company policy or agreement shall prevent me from (i) speaking with law enforcement, the Equal Employment Opportunity Commission, any state or local division of human rights or fair employment agency, or my attorney; (ii) filing a charge or complaint with, participating in an investigation or proceeding conducted by, or reporting possible violations of law or regulation to any federal, state or local government agency;</w:t>
      </w:r>
    </w:p>
    <w:p>
      <w:pPr>
        <w:jc w:val="both"/>
        <w:ind w:left="80" w:hanging="7"/>
        <w:spacing w:after="0" w:line="252" w:lineRule="auto"/>
        <w:tabs>
          <w:tab w:leader="none" w:pos="46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truthfully responding to or complying with a subpoena, court order, or other legal process; (iv) filing or disclosing any facts necessary to receive unemployment insurance, Medicaid, or other public benefits to which I may be entitled; or (v) exercising any right I may have under applicable labor laws to engage in protected concerted activity with other employees;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I agree to forgo any monetary benefit from the filing of a charge or complaint with a government agency except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to a whistleblower program or where my right to receive such a monetary benefit is otherwise not waivable by law.</w:t>
      </w:r>
    </w:p>
    <w:p>
      <w:pPr>
        <w:spacing w:after="0" w:line="166" w:lineRule="exact"/>
        <w:rPr>
          <w:rFonts w:ascii="Times New Roman" w:cs="Times New Roman" w:eastAsia="Times New Roman" w:hAnsi="Times New Roman"/>
          <w:sz w:val="21"/>
          <w:szCs w:val="21"/>
          <w:color w:val="auto"/>
        </w:rPr>
      </w:pPr>
    </w:p>
    <w:p>
      <w:pPr>
        <w:ind w:left="1300" w:hanging="579"/>
        <w:spacing w:after="0"/>
        <w:tabs>
          <w:tab w:leader="none" w:pos="1300" w:val="left"/>
        </w:tabs>
        <w:numPr>
          <w:ilvl w:val="1"/>
          <w:numId w:val="41"/>
        </w:numPr>
        <w:rPr>
          <w:rFonts w:ascii="Times New Roman" w:cs="Times New Roman" w:eastAsia="Times New Roman" w:hAnsi="Times New Roman"/>
          <w:sz w:val="23"/>
          <w:szCs w:val="23"/>
          <w:b w:val="1"/>
          <w:bCs w:val="1"/>
          <w:color w:val="171719"/>
        </w:rPr>
      </w:pPr>
      <w:r>
        <w:rPr>
          <w:rFonts w:ascii="Times New Roman" w:cs="Times New Roman" w:eastAsia="Times New Roman" w:hAnsi="Times New Roman"/>
          <w:sz w:val="22"/>
          <w:szCs w:val="22"/>
          <w:color w:val="171719"/>
        </w:rPr>
        <w:t>For purposes of this General Release, the following terms have the following meanings:</w:t>
      </w:r>
    </w:p>
    <w:p>
      <w:pPr>
        <w:spacing w:after="0" w:line="195" w:lineRule="exact"/>
        <w:rPr>
          <w:sz w:val="20"/>
          <w:szCs w:val="20"/>
          <w:color w:val="auto"/>
        </w:rPr>
      </w:pPr>
    </w:p>
    <w:p>
      <w:pPr>
        <w:jc w:val="both"/>
        <w:ind w:left="80" w:right="20" w:firstLine="38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Person, any Person that controls, is controlled by or is under common control with such Person or an Affiliate of such Person.</w:t>
      </w:r>
    </w:p>
    <w:p>
      <w:pPr>
        <w:spacing w:after="0" w:line="144" w:lineRule="exact"/>
        <w:rPr>
          <w:sz w:val="20"/>
          <w:szCs w:val="20"/>
          <w:color w:val="auto"/>
        </w:rPr>
      </w:pPr>
    </w:p>
    <w:p>
      <w:pPr>
        <w:jc w:val="both"/>
        <w:ind w:left="80" w:firstLine="38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68" w:lineRule="exact"/>
        <w:rPr>
          <w:sz w:val="20"/>
          <w:szCs w:val="20"/>
          <w:color w:val="auto"/>
        </w:rPr>
      </w:pPr>
    </w:p>
    <w:p>
      <w:pPr>
        <w:jc w:val="both"/>
        <w:ind w:left="80" w:firstLine="38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SIGNING THIS GENERAL RELEASE, I REPRESENT AND AGREE THAT:</w:t>
      </w:r>
    </w:p>
    <w:p>
      <w:pPr>
        <w:spacing w:after="0" w:line="98" w:lineRule="exact"/>
        <w:rPr>
          <w:sz w:val="20"/>
          <w:szCs w:val="20"/>
          <w:color w:val="auto"/>
        </w:rPr>
      </w:pPr>
    </w:p>
    <w:p>
      <w:pPr>
        <w:ind w:left="640" w:hanging="567"/>
        <w:spacing w:after="0"/>
        <w:tabs>
          <w:tab w:leader="none" w:pos="640"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I HAVE READ IT CAREFULLY;</w:t>
      </w:r>
    </w:p>
    <w:p>
      <w:pPr>
        <w:spacing w:after="0" w:line="86" w:lineRule="exact"/>
        <w:rPr>
          <w:rFonts w:ascii="Times New Roman" w:cs="Times New Roman" w:eastAsia="Times New Roman" w:hAnsi="Times New Roman"/>
          <w:sz w:val="23"/>
          <w:szCs w:val="23"/>
          <w:color w:val="auto"/>
        </w:rPr>
      </w:pPr>
    </w:p>
    <w:p>
      <w:pPr>
        <w:ind w:left="80" w:hanging="7"/>
        <w:spacing w:after="0" w:line="260" w:lineRule="auto"/>
        <w:tabs>
          <w:tab w:leader="none" w:pos="663"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I UNDERSTAND ALL OF ITS TERMS AND KNOW THAT I AM GIVING UP IMPORTANT RIGHTS, INCLUDING BUT NOT LIMITED TO, RIGHTS UNDER THE AGE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p>
      <w:pPr>
        <w:sectPr>
          <w:pgSz w:w="11900" w:h="16838" w:orient="portrait"/>
          <w:cols w:equalWidth="0" w:num="1">
            <w:col w:w="11240"/>
          </w:cols>
          <w:pgMar w:left="320" w:top="1435" w:right="339" w:bottom="1440" w:gutter="0" w:footer="0" w:header="0"/>
        </w:sectPr>
      </w:pPr>
    </w:p>
    <w:bookmarkStart w:id="31" w:name="page32"/>
    <w:bookmarkEnd w:id="31"/>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 xml:space="preserve">DISCRIMINATION IN EMPLOYMENT ACT OF 1967, AS AMENDED, TITLE VII OF THE </w:t>
      </w:r>
      <w:r>
        <w:rPr>
          <w:rFonts w:ascii="Times New Roman" w:cs="Times New Roman" w:eastAsia="Times New Roman" w:hAnsi="Times New Roman"/>
          <w:sz w:val="22"/>
          <w:szCs w:val="22"/>
          <w:color w:val="0D0D0D"/>
        </w:rPr>
        <w:t>CIVIL RIGHTS ACT OF 1964,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D0D0D"/>
        </w:rPr>
        <w:t>AS AMENDED; THE EQUAL PAY ACT OF 1963, THE AMERICANS WITH DISABILITIES ACT OF 1990; AND THE EMPLOYEE RETIREMENT INCOME SECURITY ACT OF 1974, AS AMENDED;</w:t>
      </w:r>
    </w:p>
    <w:p>
      <w:pPr>
        <w:spacing w:after="0" w:line="79" w:lineRule="exact"/>
        <w:rPr>
          <w:sz w:val="20"/>
          <w:szCs w:val="20"/>
          <w:color w:val="auto"/>
        </w:rPr>
      </w:pPr>
    </w:p>
    <w:p>
      <w:pPr>
        <w:ind w:left="640" w:hanging="567"/>
        <w:spacing w:after="0"/>
        <w:tabs>
          <w:tab w:leader="none" w:pos="640"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VOLUNTARILY CONSENT TO EVERYTHING IN IT;</w:t>
      </w:r>
    </w:p>
    <w:p>
      <w:pPr>
        <w:spacing w:after="0" w:line="86" w:lineRule="exact"/>
        <w:rPr>
          <w:rFonts w:ascii="Times New Roman" w:cs="Times New Roman" w:eastAsia="Times New Roman" w:hAnsi="Times New Roman"/>
          <w:sz w:val="23"/>
          <w:szCs w:val="23"/>
          <w:color w:val="auto"/>
        </w:rPr>
      </w:pPr>
    </w:p>
    <w:p>
      <w:pPr>
        <w:jc w:val="both"/>
        <w:ind w:left="80" w:hanging="7"/>
        <w:spacing w:after="0" w:line="245" w:lineRule="auto"/>
        <w:tabs>
          <w:tab w:leader="none" w:pos="663"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HAVE BEEN ADVISED TO CONSULT WITH AN ATTORNEY (VIA THE AGREEMENT AND THIS RELEASE) BEFORE EXECUTING IT AND I HAVE DONE SO OR, AFTER CAREFUL READING AND CONSIDERATION, I HAVE CHOSEN NOT TO DO SO OF MY OWN VOLITION;</w:t>
      </w:r>
    </w:p>
    <w:p>
      <w:pPr>
        <w:spacing w:after="0" w:line="77" w:lineRule="exact"/>
        <w:rPr>
          <w:rFonts w:ascii="Times New Roman" w:cs="Times New Roman" w:eastAsia="Times New Roman" w:hAnsi="Times New Roman"/>
          <w:sz w:val="23"/>
          <w:szCs w:val="23"/>
          <w:color w:val="auto"/>
        </w:rPr>
      </w:pPr>
    </w:p>
    <w:p>
      <w:pPr>
        <w:jc w:val="both"/>
        <w:ind w:left="80" w:hanging="7"/>
        <w:spacing w:after="0" w:line="239" w:lineRule="auto"/>
        <w:tabs>
          <w:tab w:leader="none" w:pos="650"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HAVE HAD AT LEAST 21 DAYS FROM THE DATE OF MY RECEIPT OF THIS RELEASE SUBSTANTIALLY IN ITS FINAL FORM TO CONSIDER IT AND THE CHANGES MADE SINCE THE LATEST VERSION OF THIS RELEASE ARE NOT MATERIAL AND WILL NOT RESTART THE REQUIRED 21-DAY PERIOD;</w:t>
      </w:r>
    </w:p>
    <w:p>
      <w:pPr>
        <w:spacing w:after="0" w:line="83" w:lineRule="exact"/>
        <w:rPr>
          <w:rFonts w:ascii="Times New Roman" w:cs="Times New Roman" w:eastAsia="Times New Roman" w:hAnsi="Times New Roman"/>
          <w:sz w:val="23"/>
          <w:szCs w:val="23"/>
          <w:color w:val="auto"/>
        </w:rPr>
      </w:pPr>
    </w:p>
    <w:p>
      <w:pPr>
        <w:jc w:val="both"/>
        <w:ind w:left="80" w:hanging="7"/>
        <w:spacing w:after="0" w:line="239" w:lineRule="auto"/>
        <w:tabs>
          <w:tab w:leader="none" w:pos="651"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UNDERSTAND THAT I HAVE SEVEN DAYS AFTER THE EXECUTION OF THIS RELEASE TO REVOKE IT AND THAT THIS RELEASE SHALL NOT BECOME EFFECTIVE OR ENFORCEABLE UNTIL THE EIGHTH DAY FOLLOWING EXECUTION OF THIS RELEASE;</w:t>
      </w:r>
    </w:p>
    <w:p>
      <w:pPr>
        <w:spacing w:after="0" w:line="83" w:lineRule="exact"/>
        <w:rPr>
          <w:rFonts w:ascii="Times New Roman" w:cs="Times New Roman" w:eastAsia="Times New Roman" w:hAnsi="Times New Roman"/>
          <w:sz w:val="23"/>
          <w:szCs w:val="23"/>
          <w:color w:val="auto"/>
        </w:rPr>
      </w:pPr>
    </w:p>
    <w:p>
      <w:pPr>
        <w:ind w:left="80" w:right="160" w:hanging="7"/>
        <w:spacing w:after="0" w:line="247" w:lineRule="auto"/>
        <w:tabs>
          <w:tab w:leader="none" w:pos="663"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HAVE SIGNED THIS GENERAL RELEASE KNOWINGLY AND VOLUNTARILY AND WITH THE ADVICE OF ANY COUNSEL RETAINED TO ADVISE ME WITH RESPECT TO IT; AND</w:t>
      </w:r>
    </w:p>
    <w:p>
      <w:pPr>
        <w:spacing w:after="0" w:line="61" w:lineRule="exact"/>
        <w:rPr>
          <w:rFonts w:ascii="Times New Roman" w:cs="Times New Roman" w:eastAsia="Times New Roman" w:hAnsi="Times New Roman"/>
          <w:sz w:val="23"/>
          <w:szCs w:val="23"/>
          <w:color w:val="auto"/>
        </w:rPr>
      </w:pPr>
    </w:p>
    <w:p>
      <w:pPr>
        <w:jc w:val="both"/>
        <w:ind w:left="80" w:hanging="7"/>
        <w:spacing w:after="0" w:line="245" w:lineRule="auto"/>
        <w:tabs>
          <w:tab w:leader="none" w:pos="663"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0D0D0D"/>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tabs>
          <w:tab w:leader="none" w:pos="1160" w:val="left"/>
          <w:tab w:leader="none" w:pos="5800" w:val="left"/>
        </w:tabs>
        <w:rPr>
          <w:sz w:val="20"/>
          <w:szCs w:val="20"/>
          <w:color w:val="auto"/>
        </w:rPr>
      </w:pPr>
      <w:r>
        <w:rPr>
          <w:rFonts w:ascii="Times New Roman" w:cs="Times New Roman" w:eastAsia="Times New Roman" w:hAnsi="Times New Roman"/>
          <w:sz w:val="20"/>
          <w:szCs w:val="20"/>
          <w:color w:val="0D0D0D"/>
        </w:rPr>
        <w:t>DATE:</w:t>
      </w:r>
      <w:r>
        <w:rPr>
          <w:sz w:val="20"/>
          <w:szCs w:val="20"/>
          <w:color w:val="auto"/>
        </w:rPr>
        <w:tab/>
      </w:r>
      <w:r>
        <w:rPr>
          <w:rFonts w:ascii="Times New Roman" w:cs="Times New Roman" w:eastAsia="Times New Roman" w:hAnsi="Times New Roman"/>
          <w:sz w:val="22"/>
          <w:szCs w:val="22"/>
          <w:color w:val="auto"/>
        </w:rPr>
        <w:t>4/27/2026</w:t>
      </w:r>
      <w:r>
        <w:rPr>
          <w:sz w:val="20"/>
          <w:szCs w:val="20"/>
          <w:color w:val="auto"/>
        </w:rPr>
        <w:tab/>
      </w:r>
      <w:r>
        <w:rPr>
          <w:rFonts w:ascii="Times New Roman" w:cs="Times New Roman" w:eastAsia="Times New Roman" w:hAnsi="Times New Roman"/>
          <w:sz w:val="21"/>
          <w:szCs w:val="21"/>
          <w:color w:val="auto"/>
        </w:rPr>
        <w:t>/s/ Sarah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19685</wp:posOffset>
            </wp:positionV>
            <wp:extent cx="6103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2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0D0D0D"/>
        </w:rPr>
        <w:t>Sarah Apple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41"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1759112401.11</w:t>
      </w:r>
    </w:p>
    <w:sectPr>
      <w:pgSz w:w="11900" w:h="16838" w:orient="portrait"/>
      <w:cols w:equalWidth="0" w:num="1">
        <w:col w:w="11240"/>
      </w:cols>
      <w:pgMar w:left="320" w:top="13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3"/>
    </w:lvl>
    <w:lvl w:ilvl="1">
      <w:lvlJc w:val="left"/>
      <w:lvlText w:val="%2."/>
      <w:numFmt w:val="decimal"/>
      <w:start w:val="5"/>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3"/>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lvl w:ilvl="1">
      <w:lvlJc w:val="left"/>
      <w:lvlText w:val="(%2)"/>
      <w:numFmt w:val="lowerLetter"/>
      <w:start w:val="4"/>
    </w:lvl>
  </w:abstractNum>
  <w:abstractNum w:abstractNumId="12">
    <w:nsid w:val="2CA88611"/>
    <w:multiLevelType w:val="hybridMultilevel"/>
    <w:lvl w:ilvl="0">
      <w:lvlJc w:val="left"/>
      <w:lvlText w:val="(%1)"/>
      <w:numFmt w:val="lowerLetter"/>
      <w:start w:val="9"/>
    </w:lvl>
    <w:lvl w:ilvl="1">
      <w:lvlJc w:val="left"/>
      <w:lvlText w:val="%2"/>
      <w:numFmt w:val="lowerLetter"/>
      <w:start w:val="1"/>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lvl w:ilvl="1">
      <w:lvlJc w:val="left"/>
      <w:lvlText w:val="(%2)"/>
      <w:numFmt w:val="lowerRoman"/>
      <w:start w:val="1"/>
    </w:lvl>
  </w:abstractNum>
  <w:abstractNum w:abstractNumId="16">
    <w:nsid w:val="8138641"/>
    <w:multiLevelType w:val="hybridMultilevel"/>
    <w:lvl w:ilvl="0">
      <w:lvlJc w:val="left"/>
      <w:lvlText w:val="(%1)"/>
      <w:numFmt w:val="lowerLetter"/>
      <w:start w:val="2"/>
    </w:lvl>
    <w:lvl w:ilvl="1">
      <w:lvlJc w:val="left"/>
      <w:lvlText w:val="(%2)"/>
      <w:numFmt w:val="lowerRoman"/>
      <w:start w:val="1"/>
    </w:lvl>
  </w:abstractNum>
  <w:abstractNum w:abstractNumId="17">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18">
    <w:nsid w:val="7C3DBD3D"/>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5"/>
    </w:lvl>
    <w:lvl w:ilvl="3">
      <w:lvlJc w:val="left"/>
      <w:lvlText w:val="(%4)"/>
      <w:numFmt w:val="lowerRoman"/>
      <w:start w:val="1"/>
    </w:lvl>
  </w:abstractNum>
  <w:abstractNum w:abstractNumId="19">
    <w:nsid w:val="737B8DDC"/>
    <w:multiLevelType w:val="hybridMultilevel"/>
    <w:lvl w:ilvl="0">
      <w:lvlJc w:val="left"/>
      <w:lvlText w:val="%1."/>
      <w:numFmt w:val="decimal"/>
      <w:start w:val="8"/>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22">
    <w:nsid w:val="4516DDE9"/>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9"/>
    </w:lvl>
  </w:abstractNum>
  <w:abstractNum w:abstractNumId="23">
    <w:nsid w:val="3006C83E"/>
    <w:multiLevelType w:val="hybridMultilevel"/>
    <w:lvl w:ilvl="0">
      <w:lvlJc w:val="left"/>
      <w:lvlText w:val="%1"/>
      <w:numFmt w:val="lowerLetter"/>
      <w:start w:val="1"/>
    </w:lvl>
    <w:lvl w:ilvl="1">
      <w:lvlJc w:val="left"/>
      <w:lvlText w:val="(%2)"/>
      <w:numFmt w:val="lowerLetter"/>
      <w:start w:val="35"/>
    </w:lvl>
  </w:abstractNum>
  <w:abstractNum w:abstractNumId="24">
    <w:nsid w:val="614FD4A1"/>
    <w:multiLevelType w:val="hybridMultilevel"/>
    <w:lvl w:ilvl="0">
      <w:lvlJc w:val="left"/>
      <w:lvlText w:val="(%1)"/>
      <w:numFmt w:val="lowerLetter"/>
      <w:start w:val="25"/>
    </w:lvl>
    <w:lvl w:ilvl="1">
      <w:lvlJc w:val="left"/>
      <w:lvlText w:val="%2"/>
      <w:numFmt w:val="lowerLetter"/>
      <w:start w:val="1"/>
    </w:lvl>
  </w:abstractNum>
  <w:abstractNum w:abstractNumId="25">
    <w:nsid w:val="419AC241"/>
    <w:multiLevelType w:val="hybridMultilevel"/>
    <w:lvl w:ilvl="0">
      <w:lvlJc w:val="left"/>
      <w:lvlText w:val="(%1)"/>
      <w:numFmt w:val="lowerLetter"/>
      <w:start w:val="4"/>
    </w:lvl>
  </w:abstractNum>
  <w:abstractNum w:abstractNumId="26">
    <w:nsid w:val="5577F8E1"/>
    <w:multiLevelType w:val="hybridMultilevel"/>
    <w:lvl w:ilvl="0">
      <w:lvlJc w:val="left"/>
      <w:lvlText w:val="(%1)"/>
      <w:numFmt w:val="lowerLetter"/>
      <w:start w:val="6"/>
    </w:lvl>
    <w:lvl w:ilvl="1">
      <w:lvlJc w:val="left"/>
      <w:lvlText w:val="(%2)"/>
      <w:numFmt w:val="lowerLetter"/>
      <w:start w:val="9"/>
    </w:lvl>
  </w:abstractNum>
  <w:abstractNum w:abstractNumId="27">
    <w:nsid w:val="440BADFC"/>
    <w:multiLevelType w:val="hybridMultilevel"/>
    <w:lvl w:ilvl="0">
      <w:lvlJc w:val="left"/>
      <w:lvlText w:val="(%1)"/>
      <w:numFmt w:val="lowerRoman"/>
      <w:start w:val="2"/>
    </w:lvl>
  </w:abstractNum>
  <w:abstractNum w:abstractNumId="28">
    <w:nsid w:val="5072367"/>
    <w:multiLevelType w:val="hybridMultilevel"/>
    <w:lvl w:ilvl="0">
      <w:lvlJc w:val="left"/>
      <w:lvlText w:val="%1"/>
      <w:numFmt w:val="lowerLetter"/>
      <w:start w:val="1"/>
    </w:lvl>
    <w:lvl w:ilvl="1">
      <w:lvlJc w:val="left"/>
      <w:lvlText w:val="(%2)"/>
      <w:numFmt w:val="lowerRoman"/>
      <w:start w:val="4"/>
    </w:lvl>
  </w:abstractNum>
  <w:abstractNum w:abstractNumId="29">
    <w:nsid w:val="3804823E"/>
    <w:multiLevelType w:val="hybridMultilevel"/>
    <w:lvl w:ilvl="0">
      <w:lvlJc w:val="left"/>
      <w:lvlText w:val="(%1)"/>
      <w:numFmt w:val="lowerLetter"/>
      <w:start w:val="8"/>
    </w:lvl>
    <w:lvl w:ilvl="1">
      <w:lvlJc w:val="left"/>
      <w:lvlText w:val="%2"/>
      <w:numFmt w:val="lowerRoman"/>
      <w:start w:val="1"/>
    </w:lvl>
  </w:abstractNum>
  <w:abstractNum w:abstractNumId="30">
    <w:nsid w:val="77465F01"/>
    <w:multiLevelType w:val="hybridMultilevel"/>
    <w:lvl w:ilvl="0">
      <w:lvlJc w:val="left"/>
      <w:lvlText w:val="(%1)"/>
      <w:numFmt w:val="lowerLetter"/>
      <w:start w:val="10"/>
    </w:lvl>
  </w:abstractNum>
  <w:abstractNum w:abstractNumId="31">
    <w:nsid w:val="7724C67E"/>
    <w:multiLevelType w:val="hybridMultilevel"/>
    <w:lvl w:ilvl="0">
      <w:lvlJc w:val="left"/>
      <w:lvlText w:val="%1."/>
      <w:numFmt w:val="decimal"/>
      <w:start w:val="10"/>
    </w:lvl>
  </w:abstractNum>
  <w:abstractNum w:abstractNumId="32">
    <w:nsid w:val="5C482A97"/>
    <w:multiLevelType w:val="hybridMultilevel"/>
    <w:lvl w:ilvl="0">
      <w:lvlJc w:val="left"/>
      <w:lvlText w:val="%1."/>
      <w:numFmt w:val="decimal"/>
      <w:start w:val="11"/>
    </w:lvl>
  </w:abstractNum>
  <w:abstractNum w:abstractNumId="33">
    <w:nsid w:val="2463B9EA"/>
    <w:multiLevelType w:val="hybridMultilevel"/>
    <w:lvl w:ilvl="0">
      <w:lvlJc w:val="left"/>
      <w:lvlText w:val="%1."/>
      <w:numFmt w:val="decimal"/>
      <w:start w:val="15"/>
    </w:lvl>
  </w:abstractNum>
  <w:abstractNum w:abstractNumId="34">
    <w:nsid w:val="5E884ADC"/>
    <w:multiLevelType w:val="hybridMultilevel"/>
    <w:lvl w:ilvl="0">
      <w:lvlJc w:val="left"/>
      <w:lvlText w:val="%1."/>
      <w:numFmt w:val="decimal"/>
      <w:start w:val="19"/>
    </w:lvl>
  </w:abstractNum>
  <w:abstractNum w:abstractNumId="35">
    <w:nsid w:val="51EAD36B"/>
    <w:multiLevelType w:val="hybridMultilevel"/>
    <w:lvl w:ilvl="0">
      <w:lvlJc w:val="left"/>
      <w:lvlText w:val="(%1)"/>
      <w:numFmt w:val="lowerLetter"/>
      <w:start w:val="1"/>
    </w:lvl>
    <w:lvl w:ilvl="1">
      <w:lvlJc w:val="left"/>
      <w:lvlText w:val="(%2)"/>
      <w:numFmt w:val="lowerLetter"/>
      <w:start w:val="9"/>
    </w:lvl>
  </w:abstractNum>
  <w:abstractNum w:abstractNumId="36">
    <w:nsid w:val="2D517796"/>
    <w:multiLevelType w:val="hybridMultilevel"/>
    <w:lvl w:ilvl="0">
      <w:lvlJc w:val="left"/>
      <w:lvlText w:val="(%1)"/>
      <w:numFmt w:val="lowerRoman"/>
      <w:start w:val="2"/>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4"/>
    </w:lvl>
  </w:abstractNum>
  <w:abstractNum w:abstractNumId="39">
    <w:nsid w:val="3855585C"/>
    <w:multiLevelType w:val="hybridMultilevel"/>
    <w:lvl w:ilvl="0">
      <w:lvlJc w:val="left"/>
      <w:lvlText w:val="%1"/>
      <w:numFmt w:val="lowerRoman"/>
      <w:start w:val="1"/>
    </w:lvl>
    <w:lvl w:ilvl="1">
      <w:lvlJc w:val="left"/>
      <w:lvlText w:val="%2."/>
      <w:numFmt w:val="decimal"/>
      <w:start w:val="11"/>
    </w:lvl>
  </w:abstractNum>
  <w:abstractNum w:abstractNumId="40">
    <w:nsid w:val="70A64E2A"/>
    <w:multiLevelType w:val="hybridMultilevel"/>
    <w:lvl w:ilvl="0">
      <w:lvlJc w:val="left"/>
      <w:lvlText w:val="(%1)"/>
      <w:numFmt w:val="lowerRoman"/>
      <w:start w:val="3"/>
    </w:lvl>
    <w:lvl w:ilvl="1">
      <w:lvlJc w:val="left"/>
      <w:lvlText w:val="%2."/>
      <w:numFmt w:val="decimal"/>
      <w:start w:val="12"/>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2026-05-18T05:11:22Z</dcterms:created>
  <dcterms:modified xsi:type="dcterms:W3CDTF">2026-05-18T05:11:22Z</dcterms:modified>
</cp:coreProperties>
</file>