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jc w:val="center"/>
        <w:spacing w:after="0" w:line="230"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21" w:lineRule="exact"/>
        <w:rPr>
          <w:sz w:val="24"/>
          <w:szCs w:val="24"/>
          <w:color w:val="auto"/>
        </w:rPr>
      </w:pPr>
    </w:p>
    <w:p>
      <w:pPr>
        <w:ind w:left="3720" w:right="1540" w:hanging="3712"/>
        <w:spacing w:after="0" w:line="281" w:lineRule="auto"/>
        <w:tabs>
          <w:tab w:leader="none" w:pos="80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23"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780" w:type="dxa"/>
        <w:tblCellMar>
          <w:top w:w="0" w:type="dxa"/>
          <w:left w:w="0" w:type="dxa"/>
          <w:bottom w:w="0" w:type="dxa"/>
          <w:right w:w="0" w:type="dxa"/>
        </w:tblCellMar>
      </w:tblPr>
      <w:tr>
        <w:trPr>
          <w:trHeight w:val="190"/>
        </w:trPr>
        <w:tc>
          <w:tcPr>
            <w:tcW w:w="5600" w:type="dxa"/>
            <w:vAlign w:val="bottom"/>
          </w:tcPr>
          <w:p>
            <w:pPr>
              <w:ind w:left="3020"/>
              <w:spacing w:after="0" w:line="190" w:lineRule="exact"/>
              <w:rPr>
                <w:sz w:val="20"/>
                <w:szCs w:val="20"/>
                <w:color w:val="auto"/>
              </w:rPr>
            </w:pPr>
            <w:r>
              <w:rPr>
                <w:rFonts w:ascii="Arial" w:cs="Arial" w:eastAsia="Arial" w:hAnsi="Arial"/>
                <w:sz w:val="18"/>
                <w:szCs w:val="18"/>
                <w:b w:val="1"/>
                <w:bCs w:val="1"/>
                <w:color w:val="auto"/>
              </w:rPr>
              <w:t>For the transition period from</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b w:val="1"/>
                <w:bCs w:val="1"/>
                <w:color w:val="auto"/>
                <w:w w:val="93"/>
              </w:rPr>
              <w:t>to</w:t>
            </w:r>
          </w:p>
        </w:tc>
        <w:tc>
          <w:tcPr>
            <w:tcW w:w="440" w:type="dxa"/>
            <w:vAlign w:val="bottom"/>
            <w:tcBorders>
              <w:bottom w:val="single" w:sz="8" w:color="auto"/>
            </w:tcBorders>
          </w:tcPr>
          <w:p>
            <w:pPr>
              <w:spacing w:after="0"/>
              <w:rPr>
                <w:sz w:val="16"/>
                <w:szCs w:val="16"/>
                <w:color w:val="auto"/>
              </w:rPr>
            </w:pPr>
          </w:p>
        </w:tc>
        <w:tc>
          <w:tcPr>
            <w:tcW w:w="2180" w:type="dxa"/>
            <w:vAlign w:val="bottom"/>
          </w:tcPr>
          <w:p>
            <w:pPr>
              <w:spacing w:after="0"/>
              <w:rPr>
                <w:sz w:val="16"/>
                <w:szCs w:val="16"/>
                <w:color w:val="auto"/>
              </w:rPr>
            </w:pPr>
          </w:p>
        </w:tc>
      </w:tr>
      <w:tr>
        <w:trPr>
          <w:trHeight w:val="240"/>
        </w:trPr>
        <w:tc>
          <w:tcPr>
            <w:tcW w:w="8840" w:type="dxa"/>
            <w:vAlign w:val="bottom"/>
            <w:gridSpan w:val="5"/>
          </w:tcPr>
          <w:p>
            <w:pPr>
              <w:jc w:val="center"/>
              <w:ind w:left="750"/>
              <w:spacing w:after="0"/>
              <w:rPr>
                <w:sz w:val="20"/>
                <w:szCs w:val="20"/>
                <w:color w:val="auto"/>
              </w:rPr>
            </w:pPr>
            <w:r>
              <w:rPr>
                <w:rFonts w:ascii="Arial" w:cs="Arial" w:eastAsia="Arial" w:hAnsi="Arial"/>
                <w:sz w:val="18"/>
                <w:szCs w:val="18"/>
                <w:b w:val="1"/>
                <w:bCs w:val="1"/>
                <w:color w:val="auto"/>
              </w:rPr>
              <w:t>Commission file number: 001-39599</w:t>
            </w:r>
          </w:p>
        </w:tc>
      </w:tr>
      <w:tr>
        <w:trPr>
          <w:trHeight w:val="315"/>
        </w:trPr>
        <w:tc>
          <w:tcPr>
            <w:tcW w:w="5600" w:type="dxa"/>
            <w:vAlign w:val="bottom"/>
          </w:tcPr>
          <w:p>
            <w:pPr>
              <w:jc w:val="center"/>
              <w:ind w:left="3990"/>
              <w:spacing w:after="0"/>
              <w:rPr>
                <w:sz w:val="20"/>
                <w:szCs w:val="20"/>
                <w:color w:val="auto"/>
              </w:rPr>
            </w:pPr>
            <w:r>
              <w:rPr>
                <w:rFonts w:ascii="Arial" w:cs="Arial" w:eastAsia="Arial" w:hAnsi="Arial"/>
                <w:sz w:val="22"/>
                <w:szCs w:val="22"/>
                <w:b w:val="1"/>
                <w:bCs w:val="1"/>
                <w:color w:val="auto"/>
                <w:w w:val="97"/>
              </w:rPr>
              <w:t>HOLLEY INC.</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47"/>
        </w:trPr>
        <w:tc>
          <w:tcPr>
            <w:tcW w:w="8840" w:type="dxa"/>
            <w:vAlign w:val="bottom"/>
            <w:gridSpan w:val="5"/>
          </w:tcPr>
          <w:p>
            <w:pPr>
              <w:jc w:val="center"/>
              <w:ind w:left="750"/>
              <w:spacing w:after="0"/>
              <w:rPr>
                <w:sz w:val="20"/>
                <w:szCs w:val="20"/>
                <w:color w:val="auto"/>
              </w:rPr>
            </w:pPr>
            <w:r>
              <w:rPr>
                <w:rFonts w:ascii="Arial" w:cs="Arial" w:eastAsia="Arial" w:hAnsi="Arial"/>
                <w:sz w:val="18"/>
                <w:szCs w:val="18"/>
                <w:b w:val="1"/>
                <w:bCs w:val="1"/>
                <w:color w:val="auto"/>
              </w:rPr>
              <w:t>(Exact name of registrant as specified in its charter)</w:t>
            </w:r>
          </w:p>
        </w:tc>
      </w:tr>
      <w:tr>
        <w:trPr>
          <w:trHeight w:val="289"/>
        </w:trPr>
        <w:tc>
          <w:tcPr>
            <w:tcW w:w="5600" w:type="dxa"/>
            <w:vAlign w:val="bottom"/>
          </w:tcPr>
          <w:p>
            <w:pPr>
              <w:jc w:val="center"/>
              <w:ind w:right="1430"/>
              <w:spacing w:after="0"/>
              <w:rPr>
                <w:sz w:val="20"/>
                <w:szCs w:val="20"/>
                <w:color w:val="auto"/>
              </w:rPr>
            </w:pPr>
            <w:r>
              <w:rPr>
                <w:rFonts w:ascii="Arial" w:cs="Arial" w:eastAsia="Arial" w:hAnsi="Arial"/>
                <w:sz w:val="18"/>
                <w:szCs w:val="18"/>
                <w:b w:val="1"/>
                <w:bCs w:val="1"/>
                <w:color w:val="auto"/>
              </w:rPr>
              <w:t>Delaware</w:t>
            </w:r>
          </w:p>
        </w:tc>
        <w:tc>
          <w:tcPr>
            <w:tcW w:w="324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87-1727560</w:t>
            </w:r>
          </w:p>
        </w:tc>
      </w:tr>
      <w:tr>
        <w:trPr>
          <w:trHeight w:val="196"/>
        </w:trPr>
        <w:tc>
          <w:tcPr>
            <w:tcW w:w="5600" w:type="dxa"/>
            <w:vAlign w:val="bottom"/>
          </w:tcPr>
          <w:p>
            <w:pPr>
              <w:jc w:val="center"/>
              <w:ind w:right="143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rPr>
              <w:t>(I.R.S. Employer Identification No.)</w:t>
            </w:r>
          </w:p>
        </w:tc>
      </w:tr>
    </w:tbl>
    <w:p>
      <w:pPr>
        <w:spacing w:after="0" w:line="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1801 Russellville Road, Bowling Green, KY 42101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(270) 782-2900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w:t>
      </w:r>
      <w:r>
        <w:rPr>
          <w:rFonts w:ascii="Arial" w:cs="Arial" w:eastAsia="Arial" w:hAnsi="Arial"/>
          <w:sz w:val="14"/>
          <w:szCs w:val="14"/>
          <w:color w:val="auto"/>
        </w:rPr>
        <w:t>’</w:t>
      </w:r>
      <w:r>
        <w:rPr>
          <w:rFonts w:ascii="Arial" w:cs="Arial" w:eastAsia="Arial" w:hAnsi="Arial"/>
          <w:sz w:val="14"/>
          <w:szCs w:val="14"/>
          <w:b w:val="1"/>
          <w:bCs w:val="1"/>
          <w:color w:val="auto"/>
        </w:rPr>
        <w:t>s telephone number, including area code)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 N/A</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0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0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7"/>
                <w:szCs w:val="17"/>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7"/>
                <w:szCs w:val="17"/>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68"/>
        </w:trPr>
        <w:tc>
          <w:tcPr>
            <w:tcW w:w="3720" w:type="dxa"/>
            <w:vAlign w:val="bottom"/>
          </w:tcPr>
          <w:p>
            <w:pPr>
              <w:jc w:val="center"/>
              <w:spacing w:after="0" w:line="168" w:lineRule="exact"/>
              <w:rPr>
                <w:sz w:val="20"/>
                <w:szCs w:val="20"/>
                <w:color w:val="auto"/>
              </w:rPr>
            </w:pPr>
            <w:r>
              <w:rPr>
                <w:rFonts w:ascii="Arial" w:cs="Arial" w:eastAsia="Arial" w:hAnsi="Arial"/>
                <w:sz w:val="16"/>
                <w:szCs w:val="16"/>
                <w:color w:val="auto"/>
              </w:rPr>
              <w:t>Common Stock, par value $0.0001</w:t>
            </w:r>
          </w:p>
        </w:tc>
        <w:tc>
          <w:tcPr>
            <w:tcW w:w="120" w:type="dxa"/>
            <w:vAlign w:val="bottom"/>
          </w:tcPr>
          <w:p>
            <w:pPr>
              <w:spacing w:after="0"/>
              <w:rPr>
                <w:sz w:val="14"/>
                <w:szCs w:val="14"/>
                <w:color w:val="auto"/>
              </w:rPr>
            </w:pPr>
          </w:p>
        </w:tc>
        <w:tc>
          <w:tcPr>
            <w:tcW w:w="3600" w:type="dxa"/>
            <w:vAlign w:val="bottom"/>
          </w:tcPr>
          <w:p>
            <w:pPr>
              <w:jc w:val="center"/>
              <w:spacing w:after="0" w:line="168" w:lineRule="exact"/>
              <w:rPr>
                <w:sz w:val="20"/>
                <w:szCs w:val="20"/>
                <w:color w:val="auto"/>
              </w:rPr>
            </w:pPr>
            <w:r>
              <w:rPr>
                <w:rFonts w:ascii="Arial" w:cs="Arial" w:eastAsia="Arial" w:hAnsi="Arial"/>
                <w:sz w:val="16"/>
                <w:szCs w:val="16"/>
                <w:color w:val="auto"/>
                <w:w w:val="99"/>
              </w:rPr>
              <w:t>HLLY</w:t>
            </w:r>
          </w:p>
        </w:tc>
        <w:tc>
          <w:tcPr>
            <w:tcW w:w="100" w:type="dxa"/>
            <w:vAlign w:val="bottom"/>
          </w:tcPr>
          <w:p>
            <w:pPr>
              <w:spacing w:after="0"/>
              <w:rPr>
                <w:sz w:val="14"/>
                <w:szCs w:val="14"/>
                <w:color w:val="auto"/>
              </w:rPr>
            </w:pPr>
          </w:p>
        </w:tc>
        <w:tc>
          <w:tcPr>
            <w:tcW w:w="3700" w:type="dxa"/>
            <w:vAlign w:val="bottom"/>
          </w:tcPr>
          <w:p>
            <w:pPr>
              <w:jc w:val="center"/>
              <w:spacing w:after="0" w:line="168" w:lineRule="exact"/>
              <w:rPr>
                <w:sz w:val="20"/>
                <w:szCs w:val="20"/>
                <w:color w:val="auto"/>
              </w:rPr>
            </w:pPr>
            <w:r>
              <w:rPr>
                <w:rFonts w:ascii="Arial" w:cs="Arial" w:eastAsia="Arial" w:hAnsi="Arial"/>
                <w:sz w:val="16"/>
                <w:szCs w:val="16"/>
                <w:color w:val="auto"/>
              </w:rPr>
              <w:t>New York Stock Exchange</w:t>
            </w:r>
          </w:p>
        </w:tc>
      </w:tr>
      <w:tr>
        <w:trPr>
          <w:trHeight w:val="215"/>
        </w:trPr>
        <w:tc>
          <w:tcPr>
            <w:tcW w:w="3720" w:type="dxa"/>
            <w:vAlign w:val="bottom"/>
          </w:tcPr>
          <w:p>
            <w:pPr>
              <w:jc w:val="center"/>
              <w:spacing w:after="0"/>
              <w:rPr>
                <w:sz w:val="20"/>
                <w:szCs w:val="20"/>
                <w:color w:val="auto"/>
              </w:rPr>
            </w:pPr>
            <w:r>
              <w:rPr>
                <w:rFonts w:ascii="Arial" w:cs="Arial" w:eastAsia="Arial" w:hAnsi="Arial"/>
                <w:sz w:val="16"/>
                <w:szCs w:val="16"/>
                <w:color w:val="auto"/>
              </w:rPr>
              <w:t>Warrants to Purchase Common Stock</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HLLY WS</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2" w:lineRule="exact"/>
        <w:rPr>
          <w:sz w:val="24"/>
          <w:szCs w:val="24"/>
          <w:color w:val="auto"/>
        </w:rPr>
      </w:pPr>
    </w:p>
    <w:p>
      <w:pPr>
        <w:jc w:val="both"/>
        <w:ind w:right="460"/>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220"/>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60" w:type="dxa"/>
        <w:tblCellMar>
          <w:top w:w="0" w:type="dxa"/>
          <w:left w:w="0" w:type="dxa"/>
          <w:bottom w:w="0" w:type="dxa"/>
          <w:right w:w="0" w:type="dxa"/>
        </w:tblCellMar>
      </w:tblPr>
      <w:tr>
        <w:trPr>
          <w:trHeight w:val="189"/>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120"/>
              <w:spacing w:after="0"/>
              <w:rPr>
                <w:sz w:val="20"/>
                <w:szCs w:val="20"/>
                <w:color w:val="auto"/>
              </w:rPr>
            </w:pPr>
            <w:r>
              <w:rPr>
                <w:rFonts w:ascii="Arial" w:cs="Arial" w:eastAsia="Arial" w:hAnsi="Arial"/>
                <w:sz w:val="16"/>
                <w:szCs w:val="16"/>
                <w:color w:val="auto"/>
              </w:rPr>
              <w:t>Accelerated filer</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120"/>
              <w:spacing w:after="0"/>
              <w:rPr>
                <w:sz w:val="20"/>
                <w:szCs w:val="20"/>
                <w:color w:val="auto"/>
              </w:rPr>
            </w:pPr>
            <w:r>
              <w:rPr>
                <w:rFonts w:ascii="Arial" w:cs="Arial" w:eastAsia="Arial" w:hAnsi="Arial"/>
                <w:sz w:val="16"/>
                <w:szCs w:val="16"/>
                <w:color w:val="auto"/>
              </w:rPr>
              <w:t>Smaller reporting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820" w:type="dxa"/>
            <w:vAlign w:val="bottom"/>
          </w:tcPr>
          <w:p>
            <w:pPr>
              <w:ind w:left="2120"/>
              <w:spacing w:after="0"/>
              <w:rPr>
                <w:sz w:val="20"/>
                <w:szCs w:val="20"/>
                <w:color w:val="auto"/>
              </w:rPr>
            </w:pPr>
            <w:r>
              <w:rPr>
                <w:rFonts w:ascii="Arial" w:cs="Arial" w:eastAsia="Arial" w:hAnsi="Arial"/>
                <w:sz w:val="16"/>
                <w:szCs w:val="16"/>
                <w:color w:val="auto"/>
              </w:rPr>
              <w:t>Emerging growth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2" w:lineRule="exact"/>
        <w:rPr>
          <w:sz w:val="24"/>
          <w:szCs w:val="24"/>
          <w:color w:val="auto"/>
        </w:rPr>
      </w:pPr>
    </w:p>
    <w:p>
      <w:pPr>
        <w:ind w:right="14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2" w:lineRule="exact"/>
        <w:rPr>
          <w:sz w:val="24"/>
          <w:szCs w:val="24"/>
          <w:color w:val="auto"/>
        </w:rPr>
      </w:pPr>
    </w:p>
    <w:p>
      <w:pPr>
        <w:jc w:val="both"/>
        <w:ind w:right="40"/>
        <w:spacing w:after="0" w:line="202"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0" w:lineRule="exact"/>
        <w:rPr>
          <w:sz w:val="24"/>
          <w:szCs w:val="24"/>
          <w:color w:val="auto"/>
        </w:rPr>
      </w:pPr>
    </w:p>
    <w:p>
      <w:pPr>
        <w:jc w:val="both"/>
        <w:ind w:right="40"/>
        <w:spacing w:after="0" w:line="209"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8" w:lineRule="exact"/>
        <w:rPr>
          <w:sz w:val="24"/>
          <w:szCs w:val="24"/>
          <w:color w:val="auto"/>
        </w:rPr>
      </w:pPr>
    </w:p>
    <w:p>
      <w:pPr>
        <w:ind w:right="80"/>
        <w:spacing w:after="0" w:line="216"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w:t>
      </w:r>
      <w:r>
        <w:rPr>
          <w:rFonts w:ascii="Arial" w:cs="Arial" w:eastAsia="Arial" w:hAnsi="Arial"/>
          <w:sz w:val="16"/>
          <w:szCs w:val="16"/>
          <w:u w:val="single" w:color="auto"/>
          <w:color w:val="auto"/>
        </w:rPr>
        <w:t>Rule12b-2 of the Exchange Act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8" w:lineRule="exact"/>
        <w:rPr>
          <w:sz w:val="24"/>
          <w:szCs w:val="24"/>
          <w:color w:val="auto"/>
        </w:rPr>
      </w:pPr>
    </w:p>
    <w:p>
      <w:pPr>
        <w:ind w:right="380"/>
        <w:spacing w:after="0" w:line="266" w:lineRule="auto"/>
        <w:rPr>
          <w:sz w:val="20"/>
          <w:szCs w:val="20"/>
          <w:color w:val="auto"/>
        </w:rPr>
      </w:pPr>
      <w:r>
        <w:rPr>
          <w:rFonts w:ascii="Arial" w:cs="Arial" w:eastAsia="Arial" w:hAnsi="Arial"/>
          <w:sz w:val="16"/>
          <w:szCs w:val="16"/>
          <w:color w:val="auto"/>
        </w:rPr>
        <w:t>As of July 1, 2022, the last business day of the registrant’s most recently completed second fiscal quarter, the aggregate market value of the registrant’s common stock held by non-affiliates, computed by reference to the closing sales price of $10.98 reported on the New York Stock Exchange, was approximately $560 million.</w:t>
      </w:r>
    </w:p>
    <w:p>
      <w:pPr>
        <w:spacing w:after="0" w:line="23" w:lineRule="exact"/>
        <w:rPr>
          <w:sz w:val="24"/>
          <w:szCs w:val="24"/>
          <w:color w:val="auto"/>
        </w:rPr>
      </w:pPr>
    </w:p>
    <w:p>
      <w:pPr>
        <w:ind w:right="140"/>
        <w:spacing w:after="0" w:line="286" w:lineRule="auto"/>
        <w:rPr>
          <w:sz w:val="20"/>
          <w:szCs w:val="20"/>
          <w:color w:val="auto"/>
        </w:rPr>
      </w:pPr>
      <w:r>
        <w:rPr>
          <w:rFonts w:ascii="Arial" w:cs="Arial" w:eastAsia="Arial" w:hAnsi="Arial"/>
          <w:sz w:val="16"/>
          <w:szCs w:val="16"/>
          <w:color w:val="auto"/>
        </w:rPr>
        <w:t>There were 118,241,747 shares of Common Stock, including 1,093,750 restricted earn-out shares, par value $0.0001 per share, issued and outstanding as of March 10, 2023.</w:t>
      </w:r>
    </w:p>
    <w:p>
      <w:pPr>
        <w:spacing w:after="0" w:line="21"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Documents incorporated by reference: Parts of the registrant’s Proxy Statement for the registrant’s 2023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00" w:type="dxa"/>
            <w:vAlign w:val="bottom"/>
            <w:gridSpan w:val="33"/>
          </w:tcPr>
          <w:p>
            <w:pPr>
              <w:spacing w:after="0"/>
              <w:rPr>
                <w:sz w:val="20"/>
                <w:szCs w:val="20"/>
                <w:color w:val="auto"/>
              </w:rPr>
            </w:pPr>
            <w:r>
              <w:rPr>
                <w:rFonts w:ascii="Arial" w:cs="Arial" w:eastAsia="Arial" w:hAnsi="Arial"/>
                <w:sz w:val="18"/>
                <w:szCs w:val="18"/>
                <w:color w:val="0000EE"/>
              </w:rPr>
              <w:t>Table of Contents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0" w:type="dxa"/>
            <w:vAlign w:val="bottom"/>
          </w:tcPr>
          <w:p>
            <w:pPr>
              <w:spacing w:after="0"/>
              <w:rPr>
                <w:sz w:val="24"/>
                <w:szCs w:val="24"/>
                <w:color w:val="auto"/>
              </w:rPr>
            </w:pPr>
          </w:p>
        </w:tc>
        <w:tc>
          <w:tcPr>
            <w:tcW w:w="800" w:type="dxa"/>
            <w:vAlign w:val="bottom"/>
            <w:gridSpan w:val="10"/>
          </w:tcPr>
          <w:p>
            <w:pPr>
              <w:spacing w:after="0"/>
              <w:rPr>
                <w:sz w:val="20"/>
                <w:szCs w:val="20"/>
                <w:color w:val="auto"/>
              </w:rPr>
            </w:pPr>
            <w:r>
              <w:rPr>
                <w:rFonts w:ascii="Arial" w:cs="Arial" w:eastAsia="Arial" w:hAnsi="Arial"/>
                <w:sz w:val="18"/>
                <w:szCs w:val="18"/>
                <w:color w:val="0000EE"/>
              </w:rPr>
              <w:t>PART I</w:t>
            </w:r>
          </w:p>
        </w:tc>
        <w:tc>
          <w:tcPr>
            <w:tcW w:w="9260" w:type="dxa"/>
            <w:vAlign w:val="bottom"/>
            <w:gridSpan w:val="22"/>
            <w:vMerge w:val="restart"/>
          </w:tcPr>
          <w:p>
            <w:pPr>
              <w:spacing w:after="0"/>
              <w:rPr>
                <w:sz w:val="20"/>
                <w:szCs w:val="20"/>
                <w:color w:val="auto"/>
              </w:rPr>
            </w:pPr>
            <w:r>
              <w:rPr>
                <w:rFonts w:ascii="Arial" w:cs="Arial" w:eastAsia="Arial" w:hAnsi="Arial"/>
                <w:sz w:val="18"/>
                <w:szCs w:val="18"/>
                <w:color w:val="0000EE"/>
              </w:rPr>
              <w:t>Business</w:t>
            </w:r>
          </w:p>
        </w:tc>
        <w:tc>
          <w:tcPr>
            <w:tcW w:w="600" w:type="dxa"/>
            <w:vAlign w:val="bottom"/>
            <w:gridSpan w:val="3"/>
            <w:vMerge w:val="restart"/>
          </w:tcPr>
          <w:p>
            <w:pPr>
              <w:ind w:left="400"/>
              <w:spacing w:after="0"/>
              <w:rPr>
                <w:sz w:val="20"/>
                <w:szCs w:val="20"/>
                <w:color w:val="auto"/>
              </w:rPr>
            </w:pPr>
            <w:r>
              <w:rPr>
                <w:rFonts w:ascii="Arial" w:cs="Arial" w:eastAsia="Arial" w:hAnsi="Arial"/>
                <w:sz w:val="18"/>
                <w:szCs w:val="18"/>
                <w:color w:val="0000EE"/>
              </w:rPr>
              <w:t>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6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Item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60" w:type="dxa"/>
            <w:vAlign w:val="bottom"/>
            <w:gridSpan w:val="22"/>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800" w:type="dxa"/>
            <w:vAlign w:val="bottom"/>
            <w:gridSpan w:val="10"/>
          </w:tcPr>
          <w:p>
            <w:pPr>
              <w:spacing w:after="0" w:line="182" w:lineRule="exact"/>
              <w:rPr>
                <w:sz w:val="20"/>
                <w:szCs w:val="20"/>
                <w:color w:val="auto"/>
              </w:rPr>
            </w:pPr>
            <w:r>
              <w:rPr>
                <w:rFonts w:ascii="Arial" w:cs="Arial" w:eastAsia="Arial" w:hAnsi="Arial"/>
                <w:sz w:val="18"/>
                <w:szCs w:val="18"/>
                <w:color w:val="0000EE"/>
              </w:rPr>
              <w:t>Item 1A</w:t>
            </w:r>
            <w:r>
              <w:rPr>
                <w:rFonts w:ascii="Arial" w:cs="Arial" w:eastAsia="Arial" w:hAnsi="Arial"/>
                <w:sz w:val="18"/>
                <w:szCs w:val="18"/>
                <w:color w:val="000000"/>
              </w:rPr>
              <w:t>.</w:t>
            </w:r>
          </w:p>
        </w:tc>
        <w:tc>
          <w:tcPr>
            <w:tcW w:w="9260" w:type="dxa"/>
            <w:vAlign w:val="bottom"/>
            <w:gridSpan w:val="22"/>
          </w:tcPr>
          <w:p>
            <w:pPr>
              <w:spacing w:after="0" w:line="182" w:lineRule="exact"/>
              <w:rPr>
                <w:sz w:val="20"/>
                <w:szCs w:val="20"/>
                <w:color w:val="auto"/>
              </w:rPr>
            </w:pPr>
            <w:r>
              <w:rPr>
                <w:rFonts w:ascii="Arial" w:cs="Arial" w:eastAsia="Arial" w:hAnsi="Arial"/>
                <w:sz w:val="18"/>
                <w:szCs w:val="18"/>
                <w:color w:val="0000EE"/>
              </w:rPr>
              <w:t>Risk Factors</w:t>
            </w:r>
          </w:p>
        </w:tc>
        <w:tc>
          <w:tcPr>
            <w:tcW w:w="400" w:type="dxa"/>
            <w:vAlign w:val="bottom"/>
            <w:vMerge w:val="continue"/>
          </w:tcPr>
          <w:p>
            <w:pPr>
              <w:spacing w:after="0"/>
              <w:rPr>
                <w:sz w:val="15"/>
                <w:szCs w:val="15"/>
                <w:color w:val="auto"/>
              </w:rPr>
            </w:pPr>
          </w:p>
        </w:tc>
        <w:tc>
          <w:tcPr>
            <w:tcW w:w="100" w:type="dxa"/>
            <w:vAlign w:val="bottom"/>
          </w:tcPr>
          <w:p>
            <w:pPr>
              <w:spacing w:after="0" w:line="182" w:lineRule="exact"/>
              <w:rPr>
                <w:sz w:val="20"/>
                <w:szCs w:val="20"/>
                <w:color w:val="auto"/>
              </w:rPr>
            </w:pPr>
            <w:r>
              <w:rPr>
                <w:rFonts w:ascii="Arial" w:cs="Arial" w:eastAsia="Arial" w:hAnsi="Arial"/>
                <w:sz w:val="18"/>
                <w:szCs w:val="18"/>
                <w:color w:val="0000EE"/>
                <w:w w:val="79"/>
              </w:rPr>
              <w:t>4</w:t>
            </w:r>
          </w:p>
        </w:tc>
        <w:tc>
          <w:tcPr>
            <w:tcW w:w="1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2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89"/>
              </w:rPr>
              <w:t>Item 1B.</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Unresolved</w:t>
            </w:r>
          </w:p>
        </w:tc>
        <w:tc>
          <w:tcPr>
            <w:tcW w:w="8260" w:type="dxa"/>
            <w:vAlign w:val="bottom"/>
            <w:gridSpan w:val="18"/>
          </w:tcPr>
          <w:p>
            <w:pPr>
              <w:spacing w:after="0" w:line="182" w:lineRule="exact"/>
              <w:rPr>
                <w:sz w:val="20"/>
                <w:szCs w:val="20"/>
                <w:color w:val="auto"/>
              </w:rPr>
            </w:pPr>
            <w:r>
              <w:rPr>
                <w:rFonts w:ascii="Arial" w:cs="Arial" w:eastAsia="Arial" w:hAnsi="Arial"/>
                <w:sz w:val="18"/>
                <w:szCs w:val="18"/>
                <w:color w:val="0000EE"/>
              </w:rPr>
              <w:t>Staff Comments</w:t>
            </w:r>
          </w:p>
        </w:tc>
        <w:tc>
          <w:tcPr>
            <w:tcW w:w="400" w:type="dxa"/>
            <w:vAlign w:val="bottom"/>
          </w:tcPr>
          <w:p>
            <w:pPr>
              <w:spacing w:after="0"/>
              <w:rPr>
                <w:sz w:val="15"/>
                <w:szCs w:val="15"/>
                <w:color w:val="auto"/>
              </w:rPr>
            </w:pPr>
          </w:p>
        </w:tc>
        <w:tc>
          <w:tcPr>
            <w:tcW w:w="1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79"/>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2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720" w:type="dxa"/>
            <w:vAlign w:val="bottom"/>
            <w:gridSpan w:val="8"/>
          </w:tcPr>
          <w:p>
            <w:pPr>
              <w:spacing w:after="0" w:line="182" w:lineRule="exact"/>
              <w:rPr>
                <w:sz w:val="20"/>
                <w:szCs w:val="20"/>
                <w:color w:val="auto"/>
              </w:rPr>
            </w:pPr>
            <w:r>
              <w:rPr>
                <w:rFonts w:ascii="Arial" w:cs="Arial" w:eastAsia="Arial" w:hAnsi="Arial"/>
                <w:sz w:val="18"/>
                <w:szCs w:val="18"/>
                <w:color w:val="0000EE"/>
              </w:rPr>
              <w:t>Item 2.</w:t>
            </w: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240" w:type="dxa"/>
            <w:vAlign w:val="bottom"/>
            <w:gridSpan w:val="10"/>
          </w:tcPr>
          <w:p>
            <w:pPr>
              <w:spacing w:after="0" w:line="182" w:lineRule="exact"/>
              <w:rPr>
                <w:sz w:val="20"/>
                <w:szCs w:val="20"/>
                <w:color w:val="auto"/>
              </w:rPr>
            </w:pPr>
            <w:r>
              <w:rPr>
                <w:rFonts w:ascii="Arial" w:cs="Arial" w:eastAsia="Arial" w:hAnsi="Arial"/>
                <w:sz w:val="18"/>
                <w:szCs w:val="18"/>
                <w:color w:val="0000EE"/>
              </w:rPr>
              <w:t>Properties</w:t>
            </w:r>
          </w:p>
        </w:tc>
        <w:tc>
          <w:tcPr>
            <w:tcW w:w="9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440" w:type="dxa"/>
            <w:vAlign w:val="bottom"/>
            <w:gridSpan w:val="3"/>
          </w:tcPr>
          <w:p>
            <w:pPr>
              <w:spacing w:after="0" w:line="182" w:lineRule="exact"/>
              <w:rPr>
                <w:sz w:val="20"/>
                <w:szCs w:val="20"/>
                <w:color w:val="auto"/>
              </w:rPr>
            </w:pPr>
            <w:r>
              <w:rPr>
                <w:rFonts w:ascii="Arial" w:cs="Arial" w:eastAsia="Arial" w:hAnsi="Arial"/>
                <w:sz w:val="18"/>
                <w:szCs w:val="18"/>
                <w:color w:val="0000EE"/>
              </w:rPr>
              <w:t>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2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5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Item 3.</w:t>
            </w:r>
          </w:p>
        </w:tc>
        <w:tc>
          <w:tcPr>
            <w:tcW w:w="6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50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Legal Proceedings</w:t>
            </w:r>
          </w:p>
        </w:tc>
        <w:tc>
          <w:tcPr>
            <w:tcW w:w="7760" w:type="dxa"/>
            <w:vAlign w:val="bottom"/>
            <w:gridSpan w:val="16"/>
          </w:tcPr>
          <w:p>
            <w:pPr>
              <w:spacing w:after="0"/>
              <w:rPr>
                <w:sz w:val="15"/>
                <w:szCs w:val="15"/>
                <w:color w:val="auto"/>
              </w:rPr>
            </w:pPr>
          </w:p>
        </w:tc>
        <w:tc>
          <w:tcPr>
            <w:tcW w:w="400" w:type="dxa"/>
            <w:vAlign w:val="bottom"/>
            <w:vMerge w:val="continue"/>
          </w:tcPr>
          <w:p>
            <w:pPr>
              <w:spacing w:after="0"/>
              <w:rPr>
                <w:sz w:val="15"/>
                <w:szCs w:val="15"/>
                <w:color w:val="auto"/>
              </w:rPr>
            </w:pPr>
          </w:p>
        </w:tc>
        <w:tc>
          <w:tcPr>
            <w:tcW w:w="20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30</w:t>
            </w: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Item 4.</w:t>
            </w: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Borders>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Mine Safety Disclosures</w:t>
            </w:r>
          </w:p>
        </w:tc>
        <w:tc>
          <w:tcPr>
            <w:tcW w:w="7320" w:type="dxa"/>
            <w:vAlign w:val="bottom"/>
            <w:gridSpan w:val="14"/>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30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340" w:type="dxa"/>
            <w:vAlign w:val="bottom"/>
          </w:tcPr>
          <w:p>
            <w:pPr>
              <w:spacing w:after="0"/>
              <w:rPr>
                <w:sz w:val="24"/>
                <w:szCs w:val="24"/>
                <w:color w:val="auto"/>
              </w:rPr>
            </w:pPr>
          </w:p>
        </w:tc>
        <w:tc>
          <w:tcPr>
            <w:tcW w:w="800" w:type="dxa"/>
            <w:vAlign w:val="bottom"/>
            <w:gridSpan w:val="10"/>
          </w:tcPr>
          <w:p>
            <w:pPr>
              <w:spacing w:after="0"/>
              <w:rPr>
                <w:sz w:val="20"/>
                <w:szCs w:val="20"/>
                <w:color w:val="auto"/>
              </w:rPr>
            </w:pPr>
            <w:r>
              <w:rPr>
                <w:rFonts w:ascii="Arial" w:cs="Arial" w:eastAsia="Arial" w:hAnsi="Arial"/>
                <w:sz w:val="18"/>
                <w:szCs w:val="18"/>
                <w:color w:val="0000EE"/>
              </w:rPr>
              <w:t>PART II</w:t>
            </w:r>
          </w:p>
        </w:tc>
        <w:tc>
          <w:tcPr>
            <w:tcW w:w="9260" w:type="dxa"/>
            <w:vAlign w:val="bottom"/>
            <w:gridSpan w:val="22"/>
            <w:vMerge w:val="restart"/>
          </w:tcPr>
          <w:p>
            <w:pPr>
              <w:spacing w:after="0"/>
              <w:rPr>
                <w:sz w:val="20"/>
                <w:szCs w:val="20"/>
                <w:color w:val="auto"/>
              </w:rPr>
            </w:pPr>
            <w:r>
              <w:rPr>
                <w:rFonts w:ascii="Arial" w:cs="Arial" w:eastAsia="Arial" w:hAnsi="Arial"/>
                <w:sz w:val="18"/>
                <w:szCs w:val="18"/>
                <w:color w:val="0000EE"/>
              </w:rPr>
              <w:t>Market for Registrant’s Common Equity, Related Stockholder Matters and Issuer Purchases of Equity Securities</w:t>
            </w:r>
          </w:p>
        </w:tc>
        <w:tc>
          <w:tcPr>
            <w:tcW w:w="840" w:type="dxa"/>
            <w:vAlign w:val="bottom"/>
            <w:gridSpan w:val="4"/>
            <w:vMerge w:val="restart"/>
          </w:tcPr>
          <w:p>
            <w:pPr>
              <w:ind w:left="400"/>
              <w:spacing w:after="0"/>
              <w:rPr>
                <w:sz w:val="20"/>
                <w:szCs w:val="20"/>
                <w:color w:val="auto"/>
              </w:rPr>
            </w:pPr>
            <w:r>
              <w:rPr>
                <w:rFonts w:ascii="Arial" w:cs="Arial" w:eastAsia="Arial" w:hAnsi="Arial"/>
                <w:sz w:val="18"/>
                <w:szCs w:val="18"/>
                <w:color w:val="0000EE"/>
              </w:rPr>
              <w:t>31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0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Item 5.</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60" w:type="dxa"/>
            <w:vAlign w:val="bottom"/>
            <w:gridSpan w:val="22"/>
            <w:vMerge w:val="continue"/>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Item 6.</w:t>
            </w: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Reserved</w:t>
            </w:r>
          </w:p>
        </w:tc>
        <w:tc>
          <w:tcPr>
            <w:tcW w:w="8060" w:type="dxa"/>
            <w:vAlign w:val="bottom"/>
            <w:tcBorders>
              <w:top w:val="single" w:sz="8" w:color="0000EE"/>
            </w:tcBorders>
            <w:gridSpan w:val="18"/>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31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Item 7.</w:t>
            </w: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80" w:type="dxa"/>
            <w:vAlign w:val="bottom"/>
            <w:tcBorders>
              <w:bottom w:val="single" w:sz="8" w:color="0000EE"/>
            </w:tcBorders>
            <w:gridSpan w:val="18"/>
          </w:tcPr>
          <w:p>
            <w:pPr>
              <w:spacing w:after="0" w:line="182" w:lineRule="exact"/>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2180" w:type="dxa"/>
            <w:vAlign w:val="bottom"/>
            <w:gridSpan w:val="4"/>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32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00" w:type="dxa"/>
            <w:vAlign w:val="bottom"/>
            <w:gridSpan w:val="10"/>
          </w:tcPr>
          <w:p>
            <w:pPr>
              <w:spacing w:after="0" w:line="182" w:lineRule="exact"/>
              <w:rPr>
                <w:sz w:val="20"/>
                <w:szCs w:val="20"/>
                <w:color w:val="auto"/>
              </w:rPr>
            </w:pPr>
            <w:r>
              <w:rPr>
                <w:rFonts w:ascii="Arial" w:cs="Arial" w:eastAsia="Arial" w:hAnsi="Arial"/>
                <w:sz w:val="18"/>
                <w:szCs w:val="18"/>
                <w:color w:val="0000EE"/>
              </w:rPr>
              <w:t>Item 7A.</w:t>
            </w:r>
          </w:p>
        </w:tc>
        <w:tc>
          <w:tcPr>
            <w:tcW w:w="7080" w:type="dxa"/>
            <w:vAlign w:val="bottom"/>
            <w:gridSpan w:val="18"/>
          </w:tcPr>
          <w:p>
            <w:pPr>
              <w:spacing w:after="0" w:line="182" w:lineRule="exact"/>
              <w:rPr>
                <w:sz w:val="20"/>
                <w:szCs w:val="20"/>
                <w:color w:val="auto"/>
              </w:rPr>
            </w:pPr>
            <w:r>
              <w:rPr>
                <w:rFonts w:ascii="Arial" w:cs="Arial" w:eastAsia="Arial" w:hAnsi="Arial"/>
                <w:sz w:val="18"/>
                <w:szCs w:val="18"/>
                <w:color w:val="0000EE"/>
              </w:rPr>
              <w:t>Quantitative and Qualitative Disclosures About Market Risk</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0000EE"/>
                <w:w w:val="89"/>
              </w:rPr>
              <w:t>45</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Item 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72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Financial Statements and Supplementary Data</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45</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Item 9.</w:t>
            </w: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20" w:type="dxa"/>
            <w:vAlign w:val="bottom"/>
            <w:tcBorders>
              <w:top w:val="single" w:sz="8" w:color="0000EE"/>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4"/>
              </w:rPr>
              <w:t>Changes in and Disagreements with Accountants</w:t>
            </w:r>
          </w:p>
        </w:tc>
        <w:tc>
          <w:tcPr>
            <w:tcW w:w="3420" w:type="dxa"/>
            <w:vAlign w:val="bottom"/>
            <w:tcBorders>
              <w:bottom w:val="single" w:sz="8" w:color="0000EE"/>
            </w:tcBorders>
            <w:gridSpan w:val="6"/>
          </w:tcPr>
          <w:p>
            <w:pPr>
              <w:ind w:left="260"/>
              <w:spacing w:after="0" w:line="182" w:lineRule="exact"/>
              <w:rPr>
                <w:sz w:val="20"/>
                <w:szCs w:val="20"/>
                <w:color w:val="auto"/>
              </w:rPr>
            </w:pPr>
            <w:r>
              <w:rPr>
                <w:rFonts w:ascii="Arial" w:cs="Arial" w:eastAsia="Arial" w:hAnsi="Arial"/>
                <w:sz w:val="18"/>
                <w:szCs w:val="18"/>
                <w:color w:val="0000EE"/>
                <w:w w:val="99"/>
              </w:rPr>
              <w:t>on Accounting and Financial Disclosure</w:t>
            </w:r>
          </w:p>
        </w:tc>
        <w:tc>
          <w:tcPr>
            <w:tcW w:w="212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46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00" w:type="dxa"/>
            <w:vAlign w:val="bottom"/>
            <w:gridSpan w:val="10"/>
          </w:tcPr>
          <w:p>
            <w:pPr>
              <w:spacing w:after="0" w:line="182" w:lineRule="exact"/>
              <w:rPr>
                <w:sz w:val="20"/>
                <w:szCs w:val="20"/>
                <w:color w:val="auto"/>
              </w:rPr>
            </w:pPr>
            <w:r>
              <w:rPr>
                <w:rFonts w:ascii="Arial" w:cs="Arial" w:eastAsia="Arial" w:hAnsi="Arial"/>
                <w:sz w:val="18"/>
                <w:szCs w:val="18"/>
                <w:color w:val="0000EE"/>
              </w:rPr>
              <w:t>Item 9A.</w:t>
            </w:r>
          </w:p>
        </w:tc>
        <w:tc>
          <w:tcPr>
            <w:tcW w:w="7140" w:type="dxa"/>
            <w:vAlign w:val="bottom"/>
            <w:gridSpan w:val="19"/>
          </w:tcPr>
          <w:p>
            <w:pPr>
              <w:spacing w:after="0" w:line="182" w:lineRule="exact"/>
              <w:rPr>
                <w:sz w:val="20"/>
                <w:szCs w:val="20"/>
                <w:color w:val="auto"/>
              </w:rPr>
            </w:pPr>
            <w:r>
              <w:rPr>
                <w:rFonts w:ascii="Arial" w:cs="Arial" w:eastAsia="Arial" w:hAnsi="Arial"/>
                <w:sz w:val="18"/>
                <w:szCs w:val="18"/>
                <w:color w:val="0000EE"/>
              </w:rPr>
              <w:t>Controls and Procedures</w:t>
            </w:r>
          </w:p>
        </w:tc>
        <w:tc>
          <w:tcPr>
            <w:tcW w:w="88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0000EE"/>
                <w:w w:val="89"/>
              </w:rPr>
              <w:t>46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4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Item 9B.</w:t>
            </w:r>
          </w:p>
        </w:tc>
        <w:tc>
          <w:tcPr>
            <w:tcW w:w="60" w:type="dxa"/>
            <w:vAlign w:val="bottom"/>
          </w:tcPr>
          <w:p>
            <w:pPr>
              <w:spacing w:after="0"/>
              <w:rPr>
                <w:sz w:val="15"/>
                <w:szCs w:val="15"/>
                <w:color w:val="auto"/>
              </w:rPr>
            </w:pPr>
          </w:p>
        </w:tc>
        <w:tc>
          <w:tcPr>
            <w:tcW w:w="200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Other Information</w:t>
            </w:r>
          </w:p>
        </w:tc>
        <w:tc>
          <w:tcPr>
            <w:tcW w:w="11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9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940" w:type="dxa"/>
            <w:vAlign w:val="bottom"/>
            <w:gridSpan w:val="3"/>
          </w:tcPr>
          <w:p>
            <w:pPr>
              <w:spacing w:after="0"/>
              <w:rPr>
                <w:sz w:val="15"/>
                <w:szCs w:val="15"/>
                <w:color w:val="auto"/>
              </w:rPr>
            </w:pPr>
          </w:p>
        </w:tc>
        <w:tc>
          <w:tcPr>
            <w:tcW w:w="12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46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740" w:type="dxa"/>
            <w:vAlign w:val="bottom"/>
            <w:gridSpan w:val="9"/>
          </w:tcPr>
          <w:p>
            <w:pPr>
              <w:spacing w:after="0" w:line="182" w:lineRule="exact"/>
              <w:rPr>
                <w:sz w:val="20"/>
                <w:szCs w:val="20"/>
                <w:color w:val="auto"/>
              </w:rPr>
            </w:pPr>
            <w:r>
              <w:rPr>
                <w:rFonts w:ascii="Arial" w:cs="Arial" w:eastAsia="Arial" w:hAnsi="Arial"/>
                <w:sz w:val="18"/>
                <w:szCs w:val="18"/>
                <w:color w:val="0000EE"/>
              </w:rPr>
              <w:t>Item 9C.</w:t>
            </w:r>
          </w:p>
        </w:tc>
        <w:tc>
          <w:tcPr>
            <w:tcW w:w="60" w:type="dxa"/>
            <w:vAlign w:val="bottom"/>
            <w:vMerge w:val="continue"/>
          </w:tcPr>
          <w:p>
            <w:pPr>
              <w:spacing w:after="0"/>
              <w:rPr>
                <w:sz w:val="15"/>
                <w:szCs w:val="15"/>
                <w:color w:val="auto"/>
              </w:rPr>
            </w:pPr>
          </w:p>
        </w:tc>
        <w:tc>
          <w:tcPr>
            <w:tcW w:w="9260" w:type="dxa"/>
            <w:vAlign w:val="bottom"/>
            <w:gridSpan w:val="22"/>
          </w:tcPr>
          <w:p>
            <w:pPr>
              <w:spacing w:after="0" w:line="182"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400" w:type="dxa"/>
            <w:vAlign w:val="bottom"/>
            <w:vMerge w:val="continue"/>
          </w:tcPr>
          <w:p>
            <w:pPr>
              <w:spacing w:after="0"/>
              <w:rPr>
                <w:sz w:val="15"/>
                <w:szCs w:val="15"/>
                <w:color w:val="auto"/>
              </w:rPr>
            </w:pP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0000EE"/>
                <w:w w:val="89"/>
              </w:rPr>
              <w:t>46</w:t>
            </w: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40" w:type="dxa"/>
            <w:vAlign w:val="bottom"/>
          </w:tcPr>
          <w:p>
            <w:pPr>
              <w:spacing w:after="0"/>
              <w:rPr>
                <w:sz w:val="24"/>
                <w:szCs w:val="24"/>
                <w:color w:val="auto"/>
              </w:rPr>
            </w:pPr>
          </w:p>
        </w:tc>
        <w:tc>
          <w:tcPr>
            <w:tcW w:w="740" w:type="dxa"/>
            <w:vAlign w:val="bottom"/>
            <w:gridSpan w:val="9"/>
          </w:tcPr>
          <w:p>
            <w:pPr>
              <w:spacing w:after="0"/>
              <w:rPr>
                <w:sz w:val="20"/>
                <w:szCs w:val="20"/>
                <w:color w:val="auto"/>
              </w:rPr>
            </w:pPr>
            <w:r>
              <w:rPr>
                <w:rFonts w:ascii="Arial" w:cs="Arial" w:eastAsia="Arial" w:hAnsi="Arial"/>
                <w:sz w:val="18"/>
                <w:szCs w:val="18"/>
                <w:color w:val="0000EE"/>
              </w:rPr>
              <w:t>PART III</w:t>
            </w:r>
          </w:p>
        </w:tc>
        <w:tc>
          <w:tcPr>
            <w:tcW w:w="60" w:type="dxa"/>
            <w:vAlign w:val="bottom"/>
          </w:tcPr>
          <w:p>
            <w:pPr>
              <w:spacing w:after="0"/>
              <w:rPr>
                <w:sz w:val="24"/>
                <w:szCs w:val="24"/>
                <w:color w:val="auto"/>
              </w:rPr>
            </w:pPr>
          </w:p>
        </w:tc>
        <w:tc>
          <w:tcPr>
            <w:tcW w:w="5400" w:type="dxa"/>
            <w:vAlign w:val="bottom"/>
            <w:gridSpan w:val="16"/>
            <w:vMerge w:val="restart"/>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3860" w:type="dxa"/>
            <w:vAlign w:val="bottom"/>
            <w:gridSpan w:val="6"/>
            <w:vMerge w:val="restart"/>
          </w:tcPr>
          <w:p>
            <w:pPr>
              <w:spacing w:after="0"/>
              <w:rPr>
                <w:sz w:val="24"/>
                <w:szCs w:val="24"/>
                <w:color w:val="auto"/>
              </w:rPr>
            </w:pPr>
          </w:p>
        </w:tc>
        <w:tc>
          <w:tcPr>
            <w:tcW w:w="840" w:type="dxa"/>
            <w:vAlign w:val="bottom"/>
            <w:gridSpan w:val="4"/>
            <w:vMerge w:val="restart"/>
          </w:tcPr>
          <w:p>
            <w:pPr>
              <w:ind w:left="400"/>
              <w:spacing w:after="0"/>
              <w:rPr>
                <w:sz w:val="20"/>
                <w:szCs w:val="20"/>
                <w:color w:val="auto"/>
              </w:rPr>
            </w:pPr>
            <w:r>
              <w:rPr>
                <w:rFonts w:ascii="Arial" w:cs="Arial" w:eastAsia="Arial" w:hAnsi="Arial"/>
                <w:sz w:val="18"/>
                <w:szCs w:val="18"/>
                <w:color w:val="0000EE"/>
              </w:rPr>
              <w:t>47</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Item 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0" w:type="dxa"/>
            <w:vAlign w:val="bottom"/>
            <w:gridSpan w:val="16"/>
            <w:vMerge w:val="continue"/>
          </w:tcPr>
          <w:p>
            <w:pPr>
              <w:spacing w:after="0"/>
              <w:rPr>
                <w:sz w:val="15"/>
                <w:szCs w:val="15"/>
                <w:color w:val="auto"/>
              </w:rPr>
            </w:pPr>
          </w:p>
        </w:tc>
        <w:tc>
          <w:tcPr>
            <w:tcW w:w="3860" w:type="dxa"/>
            <w:vAlign w:val="bottom"/>
            <w:gridSpan w:val="6"/>
            <w:vMerge w:val="continue"/>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4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5"/>
              </w:rPr>
              <w:t>Item 11.</w:t>
            </w: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Executive Compensation</w:t>
            </w:r>
          </w:p>
        </w:tc>
        <w:tc>
          <w:tcPr>
            <w:tcW w:w="2500" w:type="dxa"/>
            <w:vAlign w:val="bottom"/>
            <w:tcBorders>
              <w:top w:val="single" w:sz="8" w:color="0000EE"/>
            </w:tcBorders>
            <w:gridSpan w:val="5"/>
          </w:tcPr>
          <w:p>
            <w:pPr>
              <w:spacing w:after="0"/>
              <w:rPr>
                <w:sz w:val="15"/>
                <w:szCs w:val="15"/>
                <w:color w:val="auto"/>
              </w:rPr>
            </w:pPr>
          </w:p>
        </w:tc>
        <w:tc>
          <w:tcPr>
            <w:tcW w:w="1580" w:type="dxa"/>
            <w:vAlign w:val="bottom"/>
            <w:gridSpan w:val="3"/>
          </w:tcPr>
          <w:p>
            <w:pPr>
              <w:spacing w:after="0"/>
              <w:rPr>
                <w:sz w:val="15"/>
                <w:szCs w:val="15"/>
                <w:color w:val="auto"/>
              </w:rPr>
            </w:pPr>
          </w:p>
        </w:tc>
        <w:tc>
          <w:tcPr>
            <w:tcW w:w="1940" w:type="dxa"/>
            <w:vAlign w:val="bottom"/>
            <w:gridSpan w:val="3"/>
          </w:tcPr>
          <w:p>
            <w:pPr>
              <w:spacing w:after="0"/>
              <w:rPr>
                <w:sz w:val="15"/>
                <w:szCs w:val="15"/>
                <w:color w:val="auto"/>
              </w:rPr>
            </w:pPr>
          </w:p>
        </w:tc>
        <w:tc>
          <w:tcPr>
            <w:tcW w:w="12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47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40" w:type="dxa"/>
            <w:vAlign w:val="bottom"/>
            <w:gridSpan w:val="5"/>
          </w:tcPr>
          <w:p>
            <w:pPr>
              <w:spacing w:after="0" w:line="182" w:lineRule="exact"/>
              <w:rPr>
                <w:sz w:val="20"/>
                <w:szCs w:val="20"/>
                <w:color w:val="auto"/>
              </w:rPr>
            </w:pPr>
            <w:r>
              <w:rPr>
                <w:rFonts w:ascii="Arial" w:cs="Arial" w:eastAsia="Arial" w:hAnsi="Arial"/>
                <w:sz w:val="18"/>
                <w:szCs w:val="18"/>
                <w:color w:val="0000EE"/>
                <w:w w:val="95"/>
              </w:rPr>
              <w:t>Item 12.</w:t>
            </w: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9260" w:type="dxa"/>
            <w:vAlign w:val="bottom"/>
            <w:gridSpan w:val="22"/>
          </w:tcPr>
          <w:p>
            <w:pPr>
              <w:spacing w:after="0" w:line="182"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400" w:type="dxa"/>
            <w:vAlign w:val="bottom"/>
          </w:tcPr>
          <w:p>
            <w:pPr>
              <w:spacing w:after="0"/>
              <w:rPr>
                <w:sz w:val="15"/>
                <w:szCs w:val="15"/>
                <w:color w:val="auto"/>
              </w:rPr>
            </w:pP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0000EE"/>
                <w:w w:val="89"/>
              </w:rPr>
              <w:t>47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13.</w:t>
            </w: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2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12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47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14.</w:t>
            </w: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8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Principal Accountant Fees and Services</w:t>
            </w:r>
          </w:p>
        </w:tc>
        <w:tc>
          <w:tcPr>
            <w:tcW w:w="3180" w:type="dxa"/>
            <w:vAlign w:val="bottom"/>
            <w:gridSpan w:val="5"/>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47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40" w:type="dxa"/>
            <w:vAlign w:val="bottom"/>
          </w:tcPr>
          <w:p>
            <w:pPr>
              <w:spacing w:after="0"/>
              <w:rPr>
                <w:sz w:val="24"/>
                <w:szCs w:val="24"/>
                <w:color w:val="auto"/>
              </w:rPr>
            </w:pPr>
          </w:p>
        </w:tc>
        <w:tc>
          <w:tcPr>
            <w:tcW w:w="680" w:type="dxa"/>
            <w:vAlign w:val="bottom"/>
            <w:gridSpan w:val="7"/>
          </w:tcPr>
          <w:p>
            <w:pPr>
              <w:spacing w:after="0"/>
              <w:rPr>
                <w:sz w:val="20"/>
                <w:szCs w:val="20"/>
                <w:color w:val="auto"/>
              </w:rPr>
            </w:pPr>
            <w:r>
              <w:rPr>
                <w:rFonts w:ascii="Arial" w:cs="Arial" w:eastAsia="Arial" w:hAnsi="Arial"/>
                <w:sz w:val="18"/>
                <w:szCs w:val="18"/>
                <w:color w:val="0000EE"/>
                <w:w w:val="94"/>
              </w:rPr>
              <w:t>PART IV</w:t>
            </w:r>
          </w:p>
        </w:tc>
        <w:tc>
          <w:tcPr>
            <w:tcW w:w="120" w:type="dxa"/>
            <w:vAlign w:val="bottom"/>
            <w:gridSpan w:val="3"/>
          </w:tcPr>
          <w:p>
            <w:pPr>
              <w:spacing w:after="0"/>
              <w:rPr>
                <w:sz w:val="24"/>
                <w:szCs w:val="24"/>
                <w:color w:val="auto"/>
              </w:rPr>
            </w:pPr>
          </w:p>
        </w:tc>
        <w:tc>
          <w:tcPr>
            <w:tcW w:w="9260" w:type="dxa"/>
            <w:vAlign w:val="bottom"/>
            <w:gridSpan w:val="22"/>
            <w:vMerge w:val="restart"/>
          </w:tcPr>
          <w:p>
            <w:pPr>
              <w:spacing w:after="0"/>
              <w:rPr>
                <w:sz w:val="20"/>
                <w:szCs w:val="20"/>
                <w:color w:val="auto"/>
              </w:rPr>
            </w:pPr>
            <w:r>
              <w:rPr>
                <w:rFonts w:ascii="Arial" w:cs="Arial" w:eastAsia="Arial" w:hAnsi="Arial"/>
                <w:sz w:val="18"/>
                <w:szCs w:val="18"/>
                <w:color w:val="0000EE"/>
              </w:rPr>
              <w:t>Exhibits, Financial Statement Schedules</w:t>
            </w:r>
          </w:p>
        </w:tc>
        <w:tc>
          <w:tcPr>
            <w:tcW w:w="840" w:type="dxa"/>
            <w:vAlign w:val="bottom"/>
            <w:gridSpan w:val="4"/>
            <w:vMerge w:val="restart"/>
          </w:tcPr>
          <w:p>
            <w:pPr>
              <w:ind w:left="400"/>
              <w:spacing w:after="0"/>
              <w:rPr>
                <w:sz w:val="20"/>
                <w:szCs w:val="20"/>
                <w:color w:val="auto"/>
              </w:rPr>
            </w:pPr>
            <w:r>
              <w:rPr>
                <w:rFonts w:ascii="Arial" w:cs="Arial" w:eastAsia="Arial" w:hAnsi="Arial"/>
                <w:sz w:val="18"/>
                <w:szCs w:val="18"/>
                <w:color w:val="0000EE"/>
              </w:rPr>
              <w:t>48</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4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Item 15.</w:t>
            </w:r>
          </w:p>
        </w:tc>
        <w:tc>
          <w:tcPr>
            <w:tcW w:w="60" w:type="dxa"/>
            <w:vAlign w:val="bottom"/>
          </w:tcPr>
          <w:p>
            <w:pPr>
              <w:spacing w:after="0"/>
              <w:rPr>
                <w:sz w:val="15"/>
                <w:szCs w:val="15"/>
                <w:color w:val="auto"/>
              </w:rPr>
            </w:pPr>
          </w:p>
        </w:tc>
        <w:tc>
          <w:tcPr>
            <w:tcW w:w="9260" w:type="dxa"/>
            <w:vAlign w:val="bottom"/>
            <w:gridSpan w:val="22"/>
            <w:vMerge w:val="continue"/>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6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8"/>
              </w:rPr>
              <w:t>Item 16.</w:t>
            </w:r>
          </w:p>
        </w:tc>
        <w:tc>
          <w:tcPr>
            <w:tcW w:w="20" w:type="dxa"/>
            <w:vAlign w:val="bottom"/>
            <w:tcBorders>
              <w:top w:val="single" w:sz="8" w:color="0000EE"/>
            </w:tcBorders>
          </w:tcPr>
          <w:p>
            <w:pPr>
              <w:spacing w:after="0"/>
              <w:rPr>
                <w:sz w:val="15"/>
                <w:szCs w:val="15"/>
                <w:color w:val="auto"/>
              </w:rPr>
            </w:pPr>
          </w:p>
        </w:tc>
        <w:tc>
          <w:tcPr>
            <w:tcW w:w="120" w:type="dxa"/>
            <w:vAlign w:val="bottom"/>
            <w:gridSpan w:val="3"/>
          </w:tcPr>
          <w:p>
            <w:pPr>
              <w:spacing w:after="0"/>
              <w:rPr>
                <w:sz w:val="15"/>
                <w:szCs w:val="15"/>
                <w:color w:val="auto"/>
              </w:rPr>
            </w:pPr>
          </w:p>
        </w:tc>
        <w:tc>
          <w:tcPr>
            <w:tcW w:w="168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Form 10-K Summary</w:t>
            </w:r>
          </w:p>
        </w:tc>
        <w:tc>
          <w:tcPr>
            <w:tcW w:w="1540" w:type="dxa"/>
            <w:vAlign w:val="bottom"/>
            <w:tcBorders>
              <w:top w:val="single" w:sz="8" w:color="0000EE"/>
            </w:tcBorders>
            <w:gridSpan w:val="5"/>
          </w:tcPr>
          <w:p>
            <w:pPr>
              <w:spacing w:after="0"/>
              <w:rPr>
                <w:sz w:val="15"/>
                <w:szCs w:val="15"/>
                <w:color w:val="auto"/>
              </w:rPr>
            </w:pPr>
          </w:p>
        </w:tc>
        <w:tc>
          <w:tcPr>
            <w:tcW w:w="6040" w:type="dxa"/>
            <w:vAlign w:val="bottom"/>
            <w:gridSpan w:val="10"/>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48</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3"/>
        </w:trPr>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20" w:type="dxa"/>
            <w:vAlign w:val="bottom"/>
            <w:gridSpan w:val="15"/>
          </w:tcPr>
          <w:p>
            <w:pPr>
              <w:ind w:left="444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Annual Report on Form 10-K includes forward-looking statements within the meaning of Section 27A of the Securities Act of 1933, as amended (the "Securities Act"), and Section 21E of the Securities Exchange Act of 1934, as amended (the "Exchange Act"), that are intended to enjoy the protection of the safe harbor for forward-looking statements provided by the Securities Act and Exchange Act, as well as protections afforded by other federal securities laws. These forward-looking statements relate to expectations for future financial performance, business strategies or expectations for the Company’s business. Forward-looking statements may be accompanied by words such as “believe,” “estimate,” “expect,” “project,” “forecast,” “may,” “will,” “should,” “seek,” “plan,” “scheduled,” “anticipate,” “intend” or similar expressions. These forward-looking statements are subject to various risks and uncertainties, many of which are outside our control. Therefore, you should not place undue reliance on such statements. These forward-looking statements are subject to a number of risks and uncertainties and actual results could differ materially due to numerous factors, including, but not limited to, the Company’s ability to do any of the following:</w:t>
      </w:r>
    </w:p>
    <w:p>
      <w:pPr>
        <w:spacing w:after="0" w:line="85" w:lineRule="exact"/>
        <w:rPr>
          <w:sz w:val="20"/>
          <w:szCs w:val="20"/>
          <w:color w:val="auto"/>
        </w:rPr>
      </w:pPr>
    </w:p>
    <w:p>
      <w:pPr>
        <w:ind w:left="820" w:hanging="488"/>
        <w:spacing w:after="0" w:line="27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its business strategy, including monetization of services provided and expansions in and into existing and new lines of business;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disruptions and higher costs in manufacturing, supply chain, logistical operations, and shortages of certain company products in distribution channels;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supply shortages of key component parts used in our products and the need to shift the mix of products offered in response thereto;</w:t>
      </w:r>
    </w:p>
    <w:p>
      <w:pPr>
        <w:spacing w:after="0" w:line="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respond to interruption from catastrophic events and problems such as terrorism, public health crises, cyber-attacks, or failure of</w:t>
      </w:r>
    </w:p>
    <w:p>
      <w:pPr>
        <w:spacing w:after="0" w:line="13" w:lineRule="exact"/>
        <w:rPr>
          <w:rFonts w:ascii="Arial" w:cs="Arial" w:eastAsia="Arial" w:hAnsi="Arial"/>
          <w:sz w:val="18"/>
          <w:szCs w:val="18"/>
          <w:color w:val="auto"/>
        </w:rPr>
      </w:pPr>
    </w:p>
    <w:p>
      <w:pPr>
        <w:ind w:left="820" w:hanging="488"/>
        <w:spacing w:after="0" w:line="184" w:lineRule="auto"/>
        <w:tabs>
          <w:tab w:leader="none" w:pos="820" w:val="left"/>
        </w:tabs>
        <w:numPr>
          <w:ilvl w:val="0"/>
          <w:numId w:val="3"/>
        </w:numPr>
        <w:rPr>
          <w:rFonts w:ascii="Arial" w:cs="Arial" w:eastAsia="Arial" w:hAnsi="Arial"/>
          <w:sz w:val="25"/>
          <w:szCs w:val="25"/>
          <w:color w:val="auto"/>
          <w:vertAlign w:val="superscript"/>
        </w:rPr>
      </w:pPr>
      <w:r>
        <w:rPr>
          <w:rFonts w:ascii="Arial" w:cs="Arial" w:eastAsia="Arial" w:hAnsi="Arial"/>
          <w:sz w:val="13"/>
          <w:szCs w:val="13"/>
          <w:color w:val="auto"/>
        </w:rPr>
        <w:t>key information technology systems;</w:t>
      </w:r>
    </w:p>
    <w:p>
      <w:pPr>
        <w:spacing w:after="0" w:line="49" w:lineRule="exact"/>
        <w:rPr>
          <w:rFonts w:ascii="Arial" w:cs="Arial" w:eastAsia="Arial" w:hAnsi="Arial"/>
          <w:sz w:val="25"/>
          <w:szCs w:val="25"/>
          <w:color w:val="auto"/>
          <w:vertAlign w:val="superscript"/>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resellers;</w:t>
      </w:r>
    </w:p>
    <w:p>
      <w:pPr>
        <w:spacing w:after="0" w:line="4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the rise in interest rates which would increase the cost of capital, as well as respond to inflationary pressures;</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future operating and financial results;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and retain qualified employees and key personnel;</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and enhance the Company’s corporate reputation and brand awareness;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 store, process and use personal and payment information and other consumer data;</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privacy and data protection laws and other legal obligations related to privacy, information security, and data protection;</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additional capital, including use of the debt market;</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to finance operations on an economically viable basis;</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Holley’s New York Stock Exchange (“NYSE”) listing of its common stock (“Common Stock”) and warrants to purchase Common Stock (“Warrants”);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laws and regulations applicable to its business, including laws and regulations related to environmental health and safety;</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litigation, complaints, product liability claims and/or adverse publicity;</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stay abreast of modified or new laws and regulations;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116" w:lineRule="exact"/>
        <w:rPr>
          <w:sz w:val="20"/>
          <w:szCs w:val="20"/>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new U.S. federal income tax law, including the impact on deferred tax assets;</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time during which we will be an emerging growth company under the Jumpstart Our Business Startups Act of 2012 (the “JOBS Act”);</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and demographic trends; and</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listed under the caption “Risk Factors” included in this Annual Report.</w:t>
      </w:r>
    </w:p>
    <w:p>
      <w:pPr>
        <w:spacing w:after="0" w:line="25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Forward-looking statements are based on information available as of the date of this Annual Report on Form 10-K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may be required under applicable securities laws.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11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following summarizes the principal factors that make an investment in Holley speculative or risky. You should carefully consider the following risks as well as the other information included in this Annual Report on Form 10-K, including “Cautionary Note Regarding Forward-Looking Statements,” “Management’s Discussion and Analysis of Financial Condition and Results of Operations” and the consolidated financial statements and the related notes thereto included elsewhere herein, before investing in our securities. See “Risk Factors” for a more detailed discussion of the risk factors listed below.</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Business and Industry</w:t>
      </w:r>
    </w:p>
    <w:p>
      <w:pPr>
        <w:spacing w:after="0" w:line="117" w:lineRule="exact"/>
        <w:rPr>
          <w:sz w:val="20"/>
          <w:szCs w:val="20"/>
          <w:color w:val="auto"/>
        </w:rPr>
      </w:pPr>
    </w:p>
    <w:p>
      <w:pPr>
        <w:ind w:left="820" w:right="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downturn in consumer spending, including as a result of a severe or prolonged economic downturn, could adversely impact our financial condition and results of operations.</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Inflation could result in higher costs and decreased profitability.</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of supply or shortages of raw materials or components used in our products could harm our business and profitability, as well as the financial condition of our distributors.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significant disruption in the operations of our manufacturing facilities or distribution centers could have a material adverse effect on our business, sales, financial condition and results of operations.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global pandemic, such as the COVID-19 pandemic, could adversely affect our business, sales, financial condition and results of operations and our ability to access current or obtain new lending facilities.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compete effectively or to develop and market new products and a reduction in demand for our products could reduce our business, financial condition and results of operations.</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electric vehicles ownership could impact our financial condition and results of operations.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Inaccurate forecasting of product demand could harm our financial performance.</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effectively manage our growth.</w:t>
      </w:r>
    </w:p>
    <w:p>
      <w:pPr>
        <w:spacing w:after="0" w:line="63" w:lineRule="exact"/>
        <w:rPr>
          <w:rFonts w:ascii="Arial" w:cs="Arial" w:eastAsia="Arial" w:hAnsi="Arial"/>
          <w:sz w:val="18"/>
          <w:szCs w:val="18"/>
          <w:color w:val="auto"/>
        </w:rPr>
      </w:pPr>
    </w:p>
    <w:p>
      <w:pPr>
        <w:ind w:left="820" w:right="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growth partially depends on attracting new customers in a cost-effective manner and expanding into additional consumer markets and we may not successfully do so.</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protect our brand could harm our financial condition and results of operations.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profitability may decline as a result of increasing pressure on pricing.</w:t>
      </w:r>
    </w:p>
    <w:p>
      <w:pPr>
        <w:spacing w:after="0" w:line="63" w:lineRule="exact"/>
        <w:rPr>
          <w:rFonts w:ascii="Arial" w:cs="Arial" w:eastAsia="Arial" w:hAnsi="Arial"/>
          <w:sz w:val="18"/>
          <w:szCs w:val="18"/>
          <w:color w:val="auto"/>
        </w:rPr>
      </w:pPr>
    </w:p>
    <w:p>
      <w:pPr>
        <w:ind w:left="820" w:right="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in our manufacturing facilities or distribution centers could have a material adverse effect on our sales, profitability and results of operations.</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cost, disruption of supply or shortage of raw materials could harm our business.</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and future products may experience quality problems, which could result in negative publicity, litigation, product recalls, and warranty claims, resulting in decreased sales.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maintain relationships with retail partners or increase sales through our direct-to-consumer ("DTC") channel could harm our business.</w:t>
      </w:r>
    </w:p>
    <w:p>
      <w:pPr>
        <w:spacing w:after="0" w:line="5" w:lineRule="exact"/>
        <w:rPr>
          <w:rFonts w:ascii="Arial" w:cs="Arial" w:eastAsia="Arial" w:hAnsi="Arial"/>
          <w:sz w:val="18"/>
          <w:szCs w:val="18"/>
          <w:color w:val="auto"/>
        </w:rPr>
      </w:pPr>
    </w:p>
    <w:p>
      <w:pPr>
        <w:ind w:left="820" w:right="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on the continuing efforts of our employees and retention of skilled personnel, and our results of operations may be adversely affected by labor shortages, turnover and labor cost increases.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failure to upgrade and maintain information technology systems, to respond to cyber-attacks, security breaches, or computer</w:t>
      </w:r>
    </w:p>
    <w:p>
      <w:pPr>
        <w:spacing w:after="0" w:line="14" w:lineRule="exact"/>
        <w:rPr>
          <w:sz w:val="20"/>
          <w:szCs w:val="20"/>
          <w:color w:val="auto"/>
        </w:rPr>
      </w:pPr>
    </w:p>
    <w:p>
      <w:pPr>
        <w:ind w:left="820" w:hanging="488"/>
        <w:spacing w:after="0" w:line="250"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viruses, or to comply with privacy and data protections laws, and respond to privacy or data breaches could adversely impact our business.</w:t>
      </w:r>
    </w:p>
    <w:p>
      <w:pPr>
        <w:spacing w:after="0" w:line="23"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estimates relating to our accounting policies prove to be incorrect, our results of operations could be harmed.</w:t>
      </w:r>
    </w:p>
    <w:p>
      <w:pPr>
        <w:spacing w:after="0" w:line="36"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disclosure controls and procedures may not prevent or detect all acts of fraud.</w:t>
      </w:r>
    </w:p>
    <w:p>
      <w:pPr>
        <w:spacing w:after="0" w:line="36"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could be negatively impacted by the effects of global climate change or the increasing scrutiny and evolving expectations with respect to our environment, social and governance practices.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and Compliance Risks Related to Our Business</w:t>
      </w:r>
    </w:p>
    <w:p>
      <w:pPr>
        <w:spacing w:after="0" w:line="117" w:lineRule="exact"/>
        <w:rPr>
          <w:sz w:val="20"/>
          <w:szCs w:val="20"/>
          <w:color w:val="auto"/>
        </w:rPr>
      </w:pPr>
    </w:p>
    <w:p>
      <w:pPr>
        <w:ind w:left="820" w:hanging="488"/>
        <w:spacing w:after="0" w:line="271"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become involved in legal or regulatory proceedings, including intellectual property claims or lawsuits that could cause us to incur significant costs or that could prohibit us from selling our products.</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Unauthorized sales of our products could harm our reputation.</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environmental, health and safety laws and regulations as well as privacy laws, regulations, and standards, which could subject us to liabilities, increase costs or restrict operations in the future.</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insurance policies may not provide adequate levels of coverage against all claims, and we may incur losses that are not covered by our insurance.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17" w:lineRule="exact"/>
        <w:rPr>
          <w:sz w:val="20"/>
          <w:szCs w:val="20"/>
          <w:color w:val="auto"/>
        </w:rPr>
      </w:pPr>
    </w:p>
    <w:p>
      <w:pPr>
        <w:jc w:val="both"/>
        <w:ind w:left="820" w:hanging="488"/>
        <w:spacing w:after="0" w:line="253"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of our stockholders, including Holley Parent Holdings, LLC (the “Holley Stockholder”) and the Empower Sponsor Holdings LLC (the “Sponsor”) (together with its affiliates), may have conflicts of interest with other stockholders and may limit your ability to influence corporate matters.</w:t>
      </w:r>
    </w:p>
    <w:p>
      <w:pPr>
        <w:spacing w:after="0" w:line="20"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Warrants are exercisable for Common Stock, which could increase the number of shares eligible for future resale in the public market and result in dilution to our stockholders.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Warrants may never be in the money, they may expire worthless, or the terms of the Warrants may be amended in a manner adverse to a holder if holders of at least 50% of the then-outstanding Warrants approve of such amendment.</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price and trading volume of Common Stock and Warrants may be volatile.</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published by analysts could adversely affect the market price and trading volume of Common Stock and Warrants.</w:t>
      </w:r>
    </w:p>
    <w:p>
      <w:pPr>
        <w:spacing w:after="0" w:line="36"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sales of our Common Stock and Warrants in the public market could cause our stock price to fall.</w:t>
      </w:r>
    </w:p>
    <w:p>
      <w:pPr>
        <w:spacing w:after="0" w:line="36" w:lineRule="exact"/>
        <w:rPr>
          <w:rFonts w:ascii="Arial" w:cs="Arial" w:eastAsia="Arial" w:hAnsi="Arial"/>
          <w:sz w:val="18"/>
          <w:szCs w:val="18"/>
          <w:color w:val="auto"/>
        </w:rPr>
      </w:pPr>
    </w:p>
    <w:p>
      <w:pPr>
        <w:ind w:left="820" w:right="20" w:hanging="488"/>
        <w:spacing w:after="0" w:line="271"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redeem unexpired Warrants to their exercise at a time that is disadvantageous to the Warrant holders, thereby making the Warrants worthless.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Us</w:t>
      </w:r>
    </w:p>
    <w:p>
      <w:pPr>
        <w:spacing w:after="0" w:line="1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Founded in 1903, Holley, Inc. (“Holley” or the “Company”) has been a part of the automotive industry for well over a century. We are a leading designer, marketer, and manufacturer of high-performance automotive aftermarket products for car and truck enthusiasts. Our products span a number of automotive platforms and are sold across multiple channels. We attribute a major component of our success to our brands, including “Holley”, “APR”, “MSD” and “Flowmaster”, among others. In addition, we have recently added to our brand lineup through a series of strategic acquisitions, including our 2022 acquisitions of substantially all the assets of John’s Ind., Inc. (“John’s”), Southern Kentucky Classics (“SKC”), and Vesta Motorsports USA, Inc., d.b.a. RaceQuip (“RaceQuip”), our 2021 acquisitions of substantially all the assets of AEM Performance Electronics (“AEM”), Classic Instruments LLC (“Classic Instruments”), ADS Precision Machining, Inc., d.b.a. Arizona Desert Shocks (“ADS”), Baer, Inc, d.b.a. Baer Brakes (“Baer”), Brothers Mail Order Industries, Inc., d.b.a. Brothers Trucks (“Brothers”), Rocket Performance Machine, Inc., d.b.a. Rocket Racing Wheels (“Rocket”), and Speartech Fuel Injections Systems, Inc. (“Speartech”), and our 2020 acquisitions of Simpson Racing Products, Inc. (“Simpson”), Drake Automotive Group LLC (“Drake”) and Detroit Speed, Inc. (“Detroit Speed”). Through these strategic acquisitions, we have increased our market position in the otherwise highly fragmented performance automotive aftermarket industry.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operate in the performance automotive aftermarket parts industry. We believe there is ample opportunity to continue our expansion into new products and markets, such as exterior accessories and mobile electronics, representing a natural progression for us to grow market share as these adjacencies are driven by passionate enthusiasts, consistent with our core categories. See also “</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Relating to Holley</w:t>
      </w:r>
      <w:r>
        <w:rPr>
          <w:rFonts w:ascii="Arial" w:cs="Arial" w:eastAsia="Arial" w:hAnsi="Arial"/>
          <w:sz w:val="18"/>
          <w:szCs w:val="18"/>
          <w:color w:val="auto"/>
        </w:rPr>
        <w:t>’</w:t>
      </w:r>
      <w:r>
        <w:rPr>
          <w:rFonts w:ascii="Arial" w:cs="Arial" w:eastAsia="Arial" w:hAnsi="Arial"/>
          <w:sz w:val="18"/>
          <w:szCs w:val="18"/>
          <w:i w:val="1"/>
          <w:iCs w:val="1"/>
          <w:color w:val="auto"/>
        </w:rPr>
        <w:t>s Business and Industry</w:t>
      </w:r>
      <w:r>
        <w:rPr>
          <w:rFonts w:ascii="Arial" w:cs="Arial" w:eastAsia="Arial" w:hAnsi="Arial"/>
          <w:sz w:val="18"/>
          <w:szCs w:val="18"/>
          <w:color w:val="auto"/>
        </w:rPr>
        <w:t>—</w:t>
      </w:r>
      <w:r>
        <w:rPr>
          <w:rFonts w:ascii="Arial" w:cs="Arial" w:eastAsia="Arial" w:hAnsi="Arial"/>
          <w:sz w:val="18"/>
          <w:szCs w:val="18"/>
          <w:i w:val="1"/>
          <w:iCs w:val="1"/>
          <w:color w:val="auto"/>
        </w:rPr>
        <w:t>If the Company is unable to successfully design, develop and market new products, the Company business may be harmed</w:t>
      </w:r>
      <w:r>
        <w:rPr>
          <w:rFonts w:ascii="Arial" w:cs="Arial" w:eastAsia="Arial" w:hAnsi="Arial"/>
          <w:sz w:val="18"/>
          <w:szCs w:val="18"/>
          <w:color w:val="auto"/>
        </w:rPr>
        <w:t>” for a discussion of the risks related to the Company’s new product development.</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July 16, 2021, we consummated a business combination (“Business Combination”) pursuant to that certain Agreement and Plan of Merger dated March 11, 2021 (the “Merger Agreement”), by and among Empower Ltd., (“Empower”), Empower Merger Sub I Inc., a direct wholly owned subsidiary of Empower (“Merger Sub I”), Empower Merger Sub II LLC, a direct wholly owned subsidiary of Empower (“Merger Sub II”), and Holley Intermediate Holdings, Inc. ("Holdings"). The Merger Agreement provided for, among other things, the following transactions: (i) Merger Sub I merged with and into Holdings, the separate corporate existence of Merger Sub I ceased, and Holdings became the surviving corporation, and (ii) Holdings merged with and into Merger Sub II, the separate corporate existence of Holdings ceased, and Merger Sub II became the surviving limited liability company. Upon closing, Empower changed its name to Holley Inc. and its trading symbol on the New York Stock Exchange (the “NYSE”) from “EMPW” to “HLLY.”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vision is to be the most compelling and inclusive platform for automotive enthusiasts, to inspire and support enthusiasts’ transition to cleaner, more sustainable technologies, and to further accelerate the automotive lifestyle. Our aim is to provide a platform where automotive enthusiasts can purchase aftermarket auto parts for both old model restorations and new vehicle enhancements. We believe our consumers are enthusiastic and passionate about the performance and the personalization of their classic and modern cars. We aim to provide the products and service they need to pursue that passion. We will continue to drive growth and value for our shareholders through our key strategies:</w:t>
      </w:r>
    </w:p>
    <w:p>
      <w:pPr>
        <w:spacing w:after="0" w:line="165" w:lineRule="exact"/>
        <w:rPr>
          <w:sz w:val="20"/>
          <w:szCs w:val="20"/>
          <w:color w:val="auto"/>
        </w:rPr>
      </w:pPr>
    </w:p>
    <w:p>
      <w:pPr>
        <w:jc w:val="both"/>
        <w:ind w:left="820" w:hanging="488"/>
        <w:spacing w:after="0" w:line="245"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Continuous New Product Development: </w:t>
      </w:r>
      <w:r>
        <w:rPr>
          <w:rFonts w:ascii="Arial" w:cs="Arial" w:eastAsia="Arial" w:hAnsi="Arial"/>
          <w:sz w:val="18"/>
          <w:szCs w:val="18"/>
          <w:color w:val="auto"/>
        </w:rPr>
        <w:t>New products allow us to increase market share in existing categories, extend into</w:t>
      </w:r>
      <w:r>
        <w:rPr>
          <w:rFonts w:ascii="Arial" w:cs="Arial" w:eastAsia="Arial" w:hAnsi="Arial"/>
          <w:sz w:val="18"/>
          <w:szCs w:val="18"/>
          <w:b w:val="1"/>
          <w:bCs w:val="1"/>
          <w:color w:val="auto"/>
        </w:rPr>
        <w:t xml:space="preserve"> </w:t>
      </w:r>
      <w:r>
        <w:rPr>
          <w:rFonts w:ascii="Arial" w:cs="Arial" w:eastAsia="Arial" w:hAnsi="Arial"/>
          <w:sz w:val="18"/>
          <w:szCs w:val="18"/>
          <w:color w:val="auto"/>
        </w:rPr>
        <w:t>adjacent categories, capture new enthusiast consumers and extend or further penetrate new vehicle platforms. See “</w:t>
      </w:r>
      <w:r>
        <w:rPr>
          <w:rFonts w:ascii="Arial" w:cs="Arial" w:eastAsia="Arial" w:hAnsi="Arial"/>
          <w:sz w:val="18"/>
          <w:szCs w:val="18"/>
          <w:i w:val="1"/>
          <w:iCs w:val="1"/>
          <w:color w:val="auto"/>
        </w:rPr>
        <w:t>Risk Factors</w:t>
      </w:r>
    </w:p>
    <w:p>
      <w:pPr>
        <w:jc w:val="both"/>
        <w:ind w:left="820" w:right="20"/>
        <w:spacing w:after="0" w:line="279"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i w:val="1"/>
          <w:iCs w:val="1"/>
          <w:color w:val="auto"/>
        </w:rPr>
        <w:t>Risks Relating to Holley</w:t>
      </w:r>
      <w:r>
        <w:rPr>
          <w:rFonts w:ascii="Arial" w:cs="Arial" w:eastAsia="Arial" w:hAnsi="Arial"/>
          <w:sz w:val="17"/>
          <w:szCs w:val="17"/>
          <w:color w:val="auto"/>
        </w:rPr>
        <w:t>’</w:t>
      </w:r>
      <w:r>
        <w:rPr>
          <w:rFonts w:ascii="Arial" w:cs="Arial" w:eastAsia="Arial" w:hAnsi="Arial"/>
          <w:sz w:val="17"/>
          <w:szCs w:val="17"/>
          <w:i w:val="1"/>
          <w:iCs w:val="1"/>
          <w:color w:val="auto"/>
        </w:rPr>
        <w:t>s Business and Industry</w:t>
      </w:r>
      <w:r>
        <w:rPr>
          <w:rFonts w:ascii="Arial" w:cs="Arial" w:eastAsia="Arial" w:hAnsi="Arial"/>
          <w:sz w:val="17"/>
          <w:szCs w:val="17"/>
          <w:color w:val="auto"/>
        </w:rPr>
        <w:t>—</w:t>
      </w:r>
      <w:r>
        <w:rPr>
          <w:rFonts w:ascii="Arial" w:cs="Arial" w:eastAsia="Arial" w:hAnsi="Arial"/>
          <w:sz w:val="17"/>
          <w:szCs w:val="17"/>
          <w:i w:val="1"/>
          <w:iCs w:val="1"/>
          <w:color w:val="auto"/>
        </w:rPr>
        <w:t>If the Company is unable to successfully design, develop and market new</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the Company business may be harmed</w:t>
      </w:r>
      <w:r>
        <w:rPr>
          <w:rFonts w:ascii="Arial" w:cs="Arial" w:eastAsia="Arial" w:hAnsi="Arial"/>
          <w:sz w:val="17"/>
          <w:szCs w:val="17"/>
          <w:color w:val="auto"/>
        </w:rPr>
        <w:t>” for a discussion of the risks related to the Company’s new product development.</w:t>
      </w:r>
    </w:p>
    <w:p>
      <w:pPr>
        <w:jc w:val="both"/>
        <w:ind w:left="820" w:hanging="488"/>
        <w:spacing w:after="0" w:line="23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Accelerate Growth Through Continued M&amp;A</w:t>
      </w:r>
      <w:r>
        <w:rPr>
          <w:rFonts w:ascii="Arial" w:cs="Arial" w:eastAsia="Arial" w:hAnsi="Arial"/>
          <w:sz w:val="18"/>
          <w:szCs w:val="18"/>
          <w:color w:val="auto"/>
        </w:rPr>
        <w:t>: We have historically used strategic acquisitions to expand our brand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enter new product categories and consumer segments, and expand share in current product categories. While we believe our business is positioned for continued organic growth, we intend to continue evaluating opportunities for strategic acquisitions that complement our current business and expand our addressable target market. We believe that our scalable business platform, relationships with our distribution and channel partners, strong loyalty with our growing consumer base, and experienced management team and board of directors, position us to realize the benefits from the integration of recent acquisitions and prime us for future acquisitions. See “</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Risks Relating to Holley</w:t>
      </w:r>
      <w:r>
        <w:rPr>
          <w:rFonts w:ascii="Arial" w:cs="Arial" w:eastAsia="Arial" w:hAnsi="Arial"/>
          <w:sz w:val="18"/>
          <w:szCs w:val="18"/>
          <w:color w:val="auto"/>
        </w:rPr>
        <w:t>’</w:t>
      </w:r>
      <w:r>
        <w:rPr>
          <w:rFonts w:ascii="Arial" w:cs="Arial" w:eastAsia="Arial" w:hAnsi="Arial"/>
          <w:sz w:val="18"/>
          <w:szCs w:val="18"/>
          <w:i w:val="1"/>
          <w:iCs w:val="1"/>
          <w:color w:val="auto"/>
        </w:rPr>
        <w:t>s Business and Industry</w:t>
      </w:r>
      <w:r>
        <w:rPr>
          <w:rFonts w:ascii="Arial" w:cs="Arial" w:eastAsia="Arial" w:hAnsi="Arial"/>
          <w:sz w:val="18"/>
          <w:szCs w:val="18"/>
          <w:color w:val="auto"/>
        </w:rPr>
        <w:t>—</w:t>
      </w:r>
      <w:r>
        <w:rPr>
          <w:rFonts w:ascii="Arial" w:cs="Arial" w:eastAsia="Arial" w:hAnsi="Arial"/>
          <w:sz w:val="18"/>
          <w:szCs w:val="18"/>
          <w:i w:val="1"/>
          <w:iCs w:val="1"/>
          <w:color w:val="auto"/>
        </w:rPr>
        <w:t>The Company may acquire or</w:t>
      </w:r>
      <w:r>
        <w:rPr>
          <w:rFonts w:ascii="Arial" w:cs="Arial" w:eastAsia="Arial" w:hAnsi="Arial"/>
          <w:sz w:val="18"/>
          <w:szCs w:val="18"/>
          <w:color w:val="auto"/>
        </w:rPr>
        <w:t xml:space="preserve"> </w:t>
      </w:r>
      <w:r>
        <w:rPr>
          <w:rFonts w:ascii="Arial" w:cs="Arial" w:eastAsia="Arial" w:hAnsi="Arial"/>
          <w:sz w:val="18"/>
          <w:szCs w:val="18"/>
          <w:i w:val="1"/>
          <w:iCs w:val="1"/>
          <w:color w:val="auto"/>
        </w:rPr>
        <w:t>invest in other companies, which could divert the Company management</w:t>
      </w:r>
      <w:r>
        <w:rPr>
          <w:rFonts w:ascii="Arial" w:cs="Arial" w:eastAsia="Arial" w:hAnsi="Arial"/>
          <w:sz w:val="18"/>
          <w:szCs w:val="18"/>
          <w:color w:val="auto"/>
        </w:rPr>
        <w:t>’</w:t>
      </w:r>
      <w:r>
        <w:rPr>
          <w:rFonts w:ascii="Arial" w:cs="Arial" w:eastAsia="Arial" w:hAnsi="Arial"/>
          <w:sz w:val="18"/>
          <w:szCs w:val="18"/>
          <w:i w:val="1"/>
          <w:iCs w:val="1"/>
          <w:color w:val="auto"/>
        </w:rPr>
        <w:t>s attention, result in dilution to the Company stockholders, and otherwise disrupt the Company operations and harm the Company business, sales, financial condition and results of operations</w:t>
      </w:r>
      <w:r>
        <w:rPr>
          <w:rFonts w:ascii="Arial" w:cs="Arial" w:eastAsia="Arial" w:hAnsi="Arial"/>
          <w:sz w:val="18"/>
          <w:szCs w:val="18"/>
          <w:color w:val="auto"/>
        </w:rPr>
        <w:t>” for a discussion of the risks related to the Company’s M&amp;A activity.</w:t>
      </w:r>
    </w:p>
    <w:p>
      <w:pPr>
        <w:spacing w:after="0" w:line="31" w:lineRule="exact"/>
        <w:rPr>
          <w:rFonts w:ascii="Arial" w:cs="Arial" w:eastAsia="Arial" w:hAnsi="Arial"/>
          <w:sz w:val="18"/>
          <w:szCs w:val="18"/>
          <w:color w:val="auto"/>
        </w:rPr>
      </w:pPr>
    </w:p>
    <w:p>
      <w:pPr>
        <w:jc w:val="both"/>
        <w:ind w:left="820" w:hanging="488"/>
        <w:spacing w:after="0" w:line="242"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Expand Direct-to-Consumer (</w:t>
      </w: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w:t>
      </w:r>
      <w:r>
        <w:rPr>
          <w:rFonts w:ascii="Arial" w:cs="Arial" w:eastAsia="Arial" w:hAnsi="Arial"/>
          <w:sz w:val="18"/>
          <w:szCs w:val="18"/>
          <w:b w:val="1"/>
          <w:bCs w:val="1"/>
          <w:color w:val="auto"/>
        </w:rPr>
        <w:t xml:space="preserve">) Sales and Further Engage with Our Consumers: </w:t>
      </w:r>
      <w:r>
        <w:rPr>
          <w:rFonts w:ascii="Arial" w:cs="Arial" w:eastAsia="Arial" w:hAnsi="Arial"/>
          <w:sz w:val="18"/>
          <w:szCs w:val="18"/>
          <w:color w:val="auto"/>
        </w:rPr>
        <w:t>We are highly focused on deepening</w:t>
      </w:r>
      <w:r>
        <w:rPr>
          <w:rFonts w:ascii="Arial" w:cs="Arial" w:eastAsia="Arial" w:hAnsi="Arial"/>
          <w:sz w:val="18"/>
          <w:szCs w:val="18"/>
          <w:b w:val="1"/>
          <w:bCs w:val="1"/>
          <w:color w:val="auto"/>
        </w:rPr>
        <w:t xml:space="preserve"> </w:t>
      </w:r>
      <w:r>
        <w:rPr>
          <w:rFonts w:ascii="Arial" w:cs="Arial" w:eastAsia="Arial" w:hAnsi="Arial"/>
          <w:sz w:val="18"/>
          <w:szCs w:val="18"/>
          <w:color w:val="auto"/>
        </w:rPr>
        <w:t>our engagement with our enthusiast consumers and selling them products through our fast-growing online platform. We have multiple touch points in our consumer ecosystem, ranging from social media to our website, to our many in-person enthusiast events. See “</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Risks Relating to Holley</w:t>
      </w:r>
      <w:r>
        <w:rPr>
          <w:rFonts w:ascii="Arial" w:cs="Arial" w:eastAsia="Arial" w:hAnsi="Arial"/>
          <w:sz w:val="18"/>
          <w:szCs w:val="18"/>
          <w:color w:val="auto"/>
        </w:rPr>
        <w:t>’</w:t>
      </w:r>
      <w:r>
        <w:rPr>
          <w:rFonts w:ascii="Arial" w:cs="Arial" w:eastAsia="Arial" w:hAnsi="Arial"/>
          <w:sz w:val="18"/>
          <w:szCs w:val="18"/>
          <w:i w:val="1"/>
          <w:iCs w:val="1"/>
          <w:color w:val="auto"/>
        </w:rPr>
        <w:t>s Business and Industry</w:t>
      </w:r>
      <w:r>
        <w:rPr>
          <w:rFonts w:ascii="Arial" w:cs="Arial" w:eastAsia="Arial" w:hAnsi="Arial"/>
          <w:sz w:val="18"/>
          <w:szCs w:val="18"/>
          <w:color w:val="auto"/>
        </w:rPr>
        <w:t>—</w:t>
      </w:r>
      <w:r>
        <w:rPr>
          <w:rFonts w:ascii="Arial" w:cs="Arial" w:eastAsia="Arial" w:hAnsi="Arial"/>
          <w:sz w:val="18"/>
          <w:szCs w:val="18"/>
          <w:i w:val="1"/>
          <w:iCs w:val="1"/>
          <w:color w:val="auto"/>
        </w:rPr>
        <w:t>If the Company</w:t>
      </w:r>
      <w:r>
        <w:rPr>
          <w:rFonts w:ascii="Arial" w:cs="Arial" w:eastAsia="Arial" w:hAnsi="Arial"/>
          <w:sz w:val="18"/>
          <w:szCs w:val="18"/>
          <w:color w:val="auto"/>
        </w:rPr>
        <w:t>’</w:t>
      </w:r>
      <w:r>
        <w:rPr>
          <w:rFonts w:ascii="Arial" w:cs="Arial" w:eastAsia="Arial" w:hAnsi="Arial"/>
          <w:sz w:val="18"/>
          <w:szCs w:val="18"/>
          <w:i w:val="1"/>
          <w:iCs w:val="1"/>
          <w:color w:val="auto"/>
        </w:rPr>
        <w:t>s plans to increase sales through its</w:t>
      </w:r>
      <w:r>
        <w:rPr>
          <w:rFonts w:ascii="Arial" w:cs="Arial" w:eastAsia="Arial" w:hAnsi="Arial"/>
          <w:sz w:val="18"/>
          <w:szCs w:val="18"/>
          <w:color w:val="auto"/>
        </w:rPr>
        <w:t xml:space="preserve"> </w:t>
      </w:r>
      <w:r>
        <w:rPr>
          <w:rFonts w:ascii="Arial" w:cs="Arial" w:eastAsia="Arial" w:hAnsi="Arial"/>
          <w:sz w:val="18"/>
          <w:szCs w:val="18"/>
          <w:i w:val="1"/>
          <w:iCs w:val="1"/>
          <w:color w:val="auto"/>
        </w:rPr>
        <w:t>DTC channel are not successful, the Company</w:t>
      </w:r>
      <w:r>
        <w:rPr>
          <w:rFonts w:ascii="Arial" w:cs="Arial" w:eastAsia="Arial" w:hAnsi="Arial"/>
          <w:sz w:val="18"/>
          <w:szCs w:val="18"/>
          <w:color w:val="auto"/>
        </w:rPr>
        <w:t>’</w:t>
      </w:r>
      <w:r>
        <w:rPr>
          <w:rFonts w:ascii="Arial" w:cs="Arial" w:eastAsia="Arial" w:hAnsi="Arial"/>
          <w:sz w:val="18"/>
          <w:szCs w:val="18"/>
          <w:i w:val="1"/>
          <w:iCs w:val="1"/>
          <w:color w:val="auto"/>
        </w:rPr>
        <w:t>s business, sales, financial condition and results of operations could be harmed</w:t>
      </w:r>
      <w:r>
        <w:rPr>
          <w:rFonts w:ascii="Arial" w:cs="Arial" w:eastAsia="Arial" w:hAnsi="Arial"/>
          <w:sz w:val="18"/>
          <w:szCs w:val="18"/>
          <w:color w:val="auto"/>
        </w:rPr>
        <w:t>” for</w:t>
      </w:r>
      <w:r>
        <w:rPr>
          <w:rFonts w:ascii="Arial" w:cs="Arial" w:eastAsia="Arial" w:hAnsi="Arial"/>
          <w:sz w:val="18"/>
          <w:szCs w:val="18"/>
          <w:i w:val="1"/>
          <w:iCs w:val="1"/>
          <w:color w:val="auto"/>
        </w:rPr>
        <w:t xml:space="preserve"> </w:t>
      </w:r>
      <w:r>
        <w:rPr>
          <w:rFonts w:ascii="Arial" w:cs="Arial" w:eastAsia="Arial" w:hAnsi="Arial"/>
          <w:sz w:val="18"/>
          <w:szCs w:val="18"/>
          <w:color w:val="auto"/>
        </w:rPr>
        <w:t>a discussion of the risks related to the Company’s DTC channel.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performance automotive industry is highly competitive, and we face substantial competition in all the markets that we serve. The principal factors on which industry participants compete include technical features, performance, product design, innovation, reliability and durability, brand, time to market, customer service, reliable order execution, and price. Our success in the marketplace depends on our ability to execute our Business Strategy discussed above.</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performance automotive aftermarket parts industry in the United States is large and highly fragmented. In addition, we have seen consistent growth within the automotive aftermarket parts industry over the last two decades. Products in the performance automotive aftermarket parts industry range from functional products that enhance vehicle performance to products that improve safety, stability, handling and appearance.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157"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Our core competitive set is comprised of four primary types of competitors with fragmentation across the majority of our major product categories:</w:t>
      </w:r>
    </w:p>
    <w:p>
      <w:pPr>
        <w:spacing w:after="0" w:line="100" w:lineRule="exact"/>
        <w:rPr>
          <w:sz w:val="20"/>
          <w:szCs w:val="20"/>
          <w:color w:val="auto"/>
        </w:rPr>
      </w:pPr>
    </w:p>
    <w:p>
      <w:pPr>
        <w:jc w:val="both"/>
        <w:ind w:left="820" w:hanging="488"/>
        <w:spacing w:after="0" w:line="253"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Multi-product category providers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legacy brands with coverage across multiple performance aftermarket products with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brands often under one banner and built through acquisition. We are one of the largest multi-product category brands in the performance automotive aftermarket based on gross sales.</w:t>
      </w:r>
    </w:p>
    <w:p>
      <w:pPr>
        <w:spacing w:after="0" w:line="20" w:lineRule="exact"/>
        <w:rPr>
          <w:rFonts w:ascii="Arial" w:cs="Arial" w:eastAsia="Arial" w:hAnsi="Arial"/>
          <w:sz w:val="18"/>
          <w:szCs w:val="18"/>
          <w:color w:val="auto"/>
        </w:rPr>
      </w:pPr>
    </w:p>
    <w:p>
      <w:pPr>
        <w:jc w:val="both"/>
        <w:ind w:left="820" w:hanging="488"/>
        <w:spacing w:after="0" w:line="253"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Single-product category providers</w:t>
      </w:r>
      <w:r>
        <w:rPr>
          <w:rFonts w:ascii="Arial" w:cs="Arial" w:eastAsia="Arial" w:hAnsi="Arial"/>
          <w:sz w:val="18"/>
          <w:szCs w:val="18"/>
          <w:color w:val="auto"/>
        </w:rPr>
        <w:t>: established companies focused on one product category in the market primarily selling via</w:t>
      </w:r>
      <w:r>
        <w:rPr>
          <w:rFonts w:ascii="Arial" w:cs="Arial" w:eastAsia="Arial" w:hAnsi="Arial"/>
          <w:sz w:val="18"/>
          <w:szCs w:val="18"/>
          <w:b w:val="1"/>
          <w:bCs w:val="1"/>
          <w:color w:val="auto"/>
        </w:rPr>
        <w:t xml:space="preserve"> </w:t>
      </w:r>
      <w:r>
        <w:rPr>
          <w:rFonts w:ascii="Arial" w:cs="Arial" w:eastAsia="Arial" w:hAnsi="Arial"/>
          <w:sz w:val="18"/>
          <w:szCs w:val="18"/>
          <w:color w:val="auto"/>
        </w:rPr>
        <w:t>resellers. Single-product category providers generally offer either lower priced products or higher-quality products focused within one product category.</w:t>
      </w:r>
    </w:p>
    <w:p>
      <w:pPr>
        <w:spacing w:after="0" w:line="20" w:lineRule="exact"/>
        <w:rPr>
          <w:rFonts w:ascii="Arial" w:cs="Arial" w:eastAsia="Arial" w:hAnsi="Arial"/>
          <w:sz w:val="18"/>
          <w:szCs w:val="18"/>
          <w:color w:val="auto"/>
        </w:rPr>
      </w:pPr>
    </w:p>
    <w:p>
      <w:pPr>
        <w:jc w:val="both"/>
        <w:ind w:left="820" w:hanging="488"/>
        <w:spacing w:after="0" w:line="253"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E-Tailer Private Labels</w:t>
      </w:r>
      <w:r>
        <w:rPr>
          <w:rFonts w:ascii="Arial" w:cs="Arial" w:eastAsia="Arial" w:hAnsi="Arial"/>
          <w:sz w:val="18"/>
          <w:szCs w:val="18"/>
          <w:color w:val="auto"/>
        </w:rPr>
        <w:t>: traditional online resellers sell other manufactured products and offer private label products, often at a</w:t>
      </w:r>
      <w:r>
        <w:rPr>
          <w:rFonts w:ascii="Arial" w:cs="Arial" w:eastAsia="Arial" w:hAnsi="Arial"/>
          <w:sz w:val="18"/>
          <w:szCs w:val="18"/>
          <w:b w:val="1"/>
          <w:bCs w:val="1"/>
          <w:color w:val="auto"/>
        </w:rPr>
        <w:t xml:space="preserve"> </w:t>
      </w:r>
      <w:r>
        <w:rPr>
          <w:rFonts w:ascii="Arial" w:cs="Arial" w:eastAsia="Arial" w:hAnsi="Arial"/>
          <w:sz w:val="18"/>
          <w:szCs w:val="18"/>
          <w:color w:val="auto"/>
        </w:rPr>
        <w:t>lower price point. E-tailer private labels generally occupy the value end of the market and have a greater presence in less engineered categories with less product-specific brand strength.</w:t>
      </w:r>
    </w:p>
    <w:p>
      <w:pPr>
        <w:spacing w:after="0" w:line="20" w:lineRule="exact"/>
        <w:rPr>
          <w:rFonts w:ascii="Arial" w:cs="Arial" w:eastAsia="Arial" w:hAnsi="Arial"/>
          <w:sz w:val="18"/>
          <w:szCs w:val="18"/>
          <w:color w:val="auto"/>
        </w:rPr>
      </w:pPr>
    </w:p>
    <w:p>
      <w:pPr>
        <w:jc w:val="both"/>
        <w:ind w:left="820" w:hanging="488"/>
        <w:spacing w:after="0" w:line="253"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Niche custom manufacturers</w:t>
      </w:r>
      <w:r>
        <w:rPr>
          <w:rFonts w:ascii="Arial" w:cs="Arial" w:eastAsia="Arial" w:hAnsi="Arial"/>
          <w:sz w:val="18"/>
          <w:szCs w:val="18"/>
          <w:color w:val="auto"/>
        </w:rPr>
        <w:t>: while not our core competitors, smaller shops typically focus on fully customizing specific make or</w:t>
      </w:r>
      <w:r>
        <w:rPr>
          <w:rFonts w:ascii="Arial" w:cs="Arial" w:eastAsia="Arial" w:hAnsi="Arial"/>
          <w:sz w:val="18"/>
          <w:szCs w:val="18"/>
          <w:b w:val="1"/>
          <w:bCs w:val="1"/>
          <w:color w:val="auto"/>
        </w:rPr>
        <w:t xml:space="preserve"> </w:t>
      </w:r>
      <w:r>
        <w:rPr>
          <w:rFonts w:ascii="Arial" w:cs="Arial" w:eastAsia="Arial" w:hAnsi="Arial"/>
          <w:sz w:val="18"/>
          <w:szCs w:val="18"/>
          <w:color w:val="auto"/>
        </w:rPr>
        <w:t>model vehicles. Niche custom manufacturers are typically local or regionally focused, and some also may resell customized products from other manufactured brands.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factors distinguish Holley from its competitors:</w:t>
      </w:r>
    </w:p>
    <w:p>
      <w:pPr>
        <w:spacing w:after="0" w:line="158" w:lineRule="exact"/>
        <w:rPr>
          <w:sz w:val="20"/>
          <w:szCs w:val="20"/>
          <w:color w:val="auto"/>
        </w:rPr>
      </w:pPr>
    </w:p>
    <w:p>
      <w:pPr>
        <w:ind w:left="820" w:hanging="488"/>
        <w:spacing w:after="0" w:line="27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Brand that resonates with enthusiasts: </w:t>
      </w:r>
      <w:r>
        <w:rPr>
          <w:rFonts w:ascii="Arial" w:cs="Arial" w:eastAsia="Arial" w:hAnsi="Arial"/>
          <w:sz w:val="18"/>
          <w:szCs w:val="18"/>
          <w:color w:val="auto"/>
        </w:rPr>
        <w:t>we actively engage enthusiasts at the platform level across multiple channels (e.g.,</w:t>
      </w:r>
      <w:r>
        <w:rPr>
          <w:rFonts w:ascii="Arial" w:cs="Arial" w:eastAsia="Arial" w:hAnsi="Arial"/>
          <w:sz w:val="18"/>
          <w:szCs w:val="18"/>
          <w:b w:val="1"/>
          <w:bCs w:val="1"/>
          <w:color w:val="auto"/>
        </w:rPr>
        <w:t xml:space="preserve"> </w:t>
      </w:r>
      <w:r>
        <w:rPr>
          <w:rFonts w:ascii="Arial" w:cs="Arial" w:eastAsia="Arial" w:hAnsi="Arial"/>
          <w:sz w:val="18"/>
          <w:szCs w:val="18"/>
          <w:color w:val="auto"/>
        </w:rPr>
        <w:t>events, digital media, online communities, etc.), creating reference networks for potential consumers.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Innovative, product development: </w:t>
      </w:r>
      <w:r>
        <w:rPr>
          <w:rFonts w:ascii="Arial" w:cs="Arial" w:eastAsia="Arial" w:hAnsi="Arial"/>
          <w:sz w:val="18"/>
          <w:szCs w:val="18"/>
          <w:color w:val="auto"/>
        </w:rPr>
        <w:t>we invest heavily in product research, innovation and development, and introduce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that meet latest platform and use case-specific needs of our enthusiast consumers.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Operational ability that enables efficient order execution</w:t>
      </w:r>
      <w:r>
        <w:rPr>
          <w:rFonts w:ascii="Arial" w:cs="Arial" w:eastAsia="Arial" w:hAnsi="Arial"/>
          <w:sz w:val="18"/>
          <w:szCs w:val="18"/>
          <w:color w:val="auto"/>
        </w:rPr>
        <w:t>: we make significant investments in sourcing,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excellence, enabling management of multiple product lines while maintaining scale and attractive relative pricing.</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Differentiated go-to-market strategy</w:t>
      </w:r>
      <w:r>
        <w:rPr>
          <w:rFonts w:ascii="Arial" w:cs="Arial" w:eastAsia="Arial" w:hAnsi="Arial"/>
          <w:sz w:val="18"/>
          <w:szCs w:val="18"/>
          <w:color w:val="auto"/>
        </w:rPr>
        <w:t>: we offer a mix of single product and platform-oriented solutions across DTC and reseller</w:t>
      </w:r>
      <w:r>
        <w:rPr>
          <w:rFonts w:ascii="Arial" w:cs="Arial" w:eastAsia="Arial" w:hAnsi="Arial"/>
          <w:sz w:val="18"/>
          <w:szCs w:val="18"/>
          <w:b w:val="1"/>
          <w:bCs w:val="1"/>
          <w:color w:val="auto"/>
        </w:rPr>
        <w:t xml:space="preserve"> </w:t>
      </w:r>
      <w:r>
        <w:rPr>
          <w:rFonts w:ascii="Arial" w:cs="Arial" w:eastAsia="Arial" w:hAnsi="Arial"/>
          <w:sz w:val="18"/>
          <w:szCs w:val="18"/>
          <w:color w:val="auto"/>
        </w:rPr>
        <w:t>channels, delivering a strong overall consumer experience.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have a strong portfolio of brands covering various product categories. Our portfolio consists of over 70 brands spanning across 30 product categories. Our top seven brands generated 68% of our sales in 2022.</w:t>
      </w:r>
    </w:p>
    <w:p>
      <w:pPr>
        <w:spacing w:after="0" w:line="100" w:lineRule="exact"/>
        <w:rPr>
          <w:sz w:val="20"/>
          <w:szCs w:val="20"/>
          <w:color w:val="auto"/>
        </w:rPr>
      </w:pPr>
    </w:p>
    <w:p>
      <w:pPr>
        <w:ind w:left="820" w:right="20" w:hanging="488"/>
        <w:spacing w:after="0" w:line="27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Holley EFI</w:t>
      </w:r>
      <w:r>
        <w:rPr>
          <w:rFonts w:ascii="Arial" w:cs="Arial" w:eastAsia="Arial" w:hAnsi="Arial"/>
          <w:sz w:val="18"/>
          <w:szCs w:val="18"/>
          <w:color w:val="auto"/>
        </w:rPr>
        <w:t>: Currently our largest brand and represented 14% of our sales for 2022. Our Holley EFI brand focuses on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fuel injection technology and showcases our new product development engine.</w:t>
      </w:r>
    </w:p>
    <w:p>
      <w:pPr>
        <w:spacing w:after="0" w:line="5" w:lineRule="exact"/>
        <w:rPr>
          <w:rFonts w:ascii="Arial" w:cs="Arial" w:eastAsia="Arial" w:hAnsi="Arial"/>
          <w:sz w:val="18"/>
          <w:szCs w:val="18"/>
          <w:color w:val="auto"/>
        </w:rPr>
      </w:pPr>
    </w:p>
    <w:p>
      <w:pPr>
        <w:jc w:val="both"/>
        <w:ind w:left="820" w:hanging="488"/>
        <w:spacing w:after="0" w:line="24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Holley</w:t>
      </w:r>
      <w:r>
        <w:rPr>
          <w:rFonts w:ascii="Arial" w:cs="Arial" w:eastAsia="Arial" w:hAnsi="Arial"/>
          <w:sz w:val="18"/>
          <w:szCs w:val="18"/>
          <w:color w:val="auto"/>
        </w:rPr>
        <w:t>: Currently our second largest brand and represented 14% of our sales for 2022. The Holley brand resonates with</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as the majority of automotive enthusiast consumers recognize the Holley brand. Holley offers a variety of products across multiple categories but traces its roots back to carburetors which originally made the brand famous with automotive enthusiasts.</w:t>
      </w:r>
    </w:p>
    <w:p>
      <w:pPr>
        <w:spacing w:after="0" w:line="2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MSD</w:t>
      </w:r>
      <w:r>
        <w:rPr>
          <w:rFonts w:ascii="Arial" w:cs="Arial" w:eastAsia="Arial" w:hAnsi="Arial"/>
          <w:sz w:val="18"/>
          <w:szCs w:val="18"/>
          <w:color w:val="auto"/>
        </w:rPr>
        <w:t>: Currently our third leading brand and represented 10% of our sales for 2022. MSD has historically been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of ignition products but today has been more focused on developing electronics for the powertrain category.</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Simpson</w:t>
      </w:r>
      <w:r>
        <w:rPr>
          <w:rFonts w:ascii="Arial" w:cs="Arial" w:eastAsia="Arial" w:hAnsi="Arial"/>
          <w:sz w:val="18"/>
          <w:szCs w:val="18"/>
          <w:color w:val="auto"/>
        </w:rPr>
        <w:t>: Currently our fourth leading brand and represented 9% of our sales for 2022. Simpson was acquired in 2020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motorsport safety products including helmets, head and neck restraints, seat belts and fire suits.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Powerteq</w:t>
      </w:r>
      <w:r>
        <w:rPr>
          <w:rFonts w:ascii="Arial" w:cs="Arial" w:eastAsia="Arial" w:hAnsi="Arial"/>
          <w:sz w:val="18"/>
          <w:szCs w:val="18"/>
          <w:color w:val="auto"/>
        </w:rPr>
        <w:t>: Currently our fifth leading brand and represented 8% of our sales for 2022. Powerteq is focused on exhaust, intakes,</w:t>
      </w:r>
      <w:r>
        <w:rPr>
          <w:rFonts w:ascii="Arial" w:cs="Arial" w:eastAsia="Arial" w:hAnsi="Arial"/>
          <w:sz w:val="18"/>
          <w:szCs w:val="18"/>
          <w:b w:val="1"/>
          <w:bCs w:val="1"/>
          <w:color w:val="auto"/>
        </w:rPr>
        <w:t xml:space="preserve"> </w:t>
      </w:r>
      <w:r>
        <w:rPr>
          <w:rFonts w:ascii="Arial" w:cs="Arial" w:eastAsia="Arial" w:hAnsi="Arial"/>
          <w:sz w:val="18"/>
          <w:szCs w:val="18"/>
          <w:color w:val="auto"/>
        </w:rPr>
        <w:t>drivetrain and engine tuning products and accessories.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Accel</w:t>
      </w:r>
      <w:r>
        <w:rPr>
          <w:rFonts w:ascii="Arial" w:cs="Arial" w:eastAsia="Arial" w:hAnsi="Arial"/>
          <w:sz w:val="18"/>
          <w:szCs w:val="18"/>
          <w:color w:val="auto"/>
        </w:rPr>
        <w:t>: Currently our sixth largest brand and represented 7% of our sales in 2022. Accel is focused on performance fuel and</w:t>
      </w:r>
      <w:r>
        <w:rPr>
          <w:rFonts w:ascii="Arial" w:cs="Arial" w:eastAsia="Arial" w:hAnsi="Arial"/>
          <w:sz w:val="18"/>
          <w:szCs w:val="18"/>
          <w:b w:val="1"/>
          <w:bCs w:val="1"/>
          <w:color w:val="auto"/>
        </w:rPr>
        <w:t xml:space="preserve"> </w:t>
      </w:r>
      <w:r>
        <w:rPr>
          <w:rFonts w:ascii="Arial" w:cs="Arial" w:eastAsia="Arial" w:hAnsi="Arial"/>
          <w:sz w:val="18"/>
          <w:szCs w:val="18"/>
          <w:color w:val="auto"/>
        </w:rPr>
        <w:t>ignition systems.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Flowmaster</w:t>
      </w:r>
      <w:r>
        <w:rPr>
          <w:rFonts w:ascii="Arial" w:cs="Arial" w:eastAsia="Arial" w:hAnsi="Arial"/>
          <w:sz w:val="18"/>
          <w:szCs w:val="18"/>
          <w:color w:val="auto"/>
        </w:rPr>
        <w:t>: Currently our seventh largest brand and represented 6% of our sales in 2022. Flowmaster's main focus is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exhaust products.</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believe the popularity of our brands is the result of consistently delivering high quality, innovative products that resonate with our enthusiast consumers. Our brands have allowed us to build direct, trusted and long-lasting relationships with our consumers and resellers.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14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 xml:space="preserve">We offer our enthusiast consumers a comprehensive suite of performance automotive aftermarket products to meet a wide range of needs. We are continuously innovating and evolving our product offerings to meet ever-changing consumer needs. We invest heavily in developing new products, spending an average of $20.5 million per year on research and development since 2017 </w:t>
      </w:r>
      <w:r>
        <w:rPr>
          <w:rFonts w:ascii="Arial" w:cs="Arial" w:eastAsia="Arial" w:hAnsi="Arial"/>
          <w:sz w:val="18"/>
          <w:szCs w:val="18"/>
          <w:b w:val="1"/>
          <w:bCs w:val="1"/>
          <w:color w:val="auto"/>
        </w:rPr>
        <w:t>.</w:t>
      </w:r>
      <w:r>
        <w:rPr>
          <w:rFonts w:ascii="Arial" w:cs="Arial" w:eastAsia="Arial" w:hAnsi="Arial"/>
          <w:sz w:val="18"/>
          <w:szCs w:val="18"/>
          <w:color w:val="auto"/>
        </w:rPr>
        <w:t xml:space="preserve"> We believe our product development capabilities will enable us to create sustainable long-term growth and margin enhancements for our business.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 history of developing innovative products, including new products in existing categories like Electronic Fuel Injection, product line expansions, and products that bring us into new markets including components for converting ICE vehicles to electric powertrains. We have thoughtfully expanded our product portfolio over time to adapt to consumer needs and find solutions to new consumer demands. We expand our existing product families and enter new product categories by creating solutions grounded in our expert insights and relevant market knowledge. We believe we have a meaningful runway across our target product categories and product vintages, and we are well positioned for future growth by expanding in adjacent and transformational categories that present opportunities for further market penetration in the Performance Suspension, Braking and Powertrain Conversion Systems markets. We believe there are also opportunities to capitalize on growing our powertrain agnostic categories like Automotive and Motorcycle Safety.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run a flexible sourcing model with a mix of global sourcing and in-house manufacturing. Our best value sourcing model decisions are based on a mix of cost, quality and service. We have a diverse global supplier base and no material supplier concentration. Our efficient sourcing model enables strong gross margins and cash conversion.</w:t>
      </w:r>
    </w:p>
    <w:p>
      <w:pPr>
        <w:spacing w:after="0" w:line="11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believe there is an adequate supply of raw materials and key components; however, there can be no assurance over the long term that the availability of materials and components or increases in commodity prices will not materially affect our business or results of operations. Ongoing supply chain disruptions, resulting in supply shortages and higher shipping charges, have and could continue to impact our ability to maintain supplies of products and the costs associated with obtaining raw materials and key components. We have experienced, and may continue to experience, disruptions due to the global supply shortage of automotive-grade microchips, which has resulted in increased microchip delivery lead times.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reach and engage our consumers where they participate in the performance automotive aftermarket – online and in person. Our marketing strategy is centered on strong brand equity, leading new product innovation capabilities and delivering consistently high-quality products. In 2022, we spent approximately $11.6 million (or approximately 2% of our 2022 annual gross sales) on marketing and advertising. Going forward, consistent with our value creation strategies, we intend to continue our investments in direct consumer marketing and advertising as well as refocus our current mix of spending towards activities believed to generate the highest return on investment. We believe these strategies will have a meaningfully positive impact across our brand portfolio.</w:t>
      </w:r>
    </w:p>
    <w:p>
      <w:pPr>
        <w:spacing w:after="0" w:line="1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recent years, we have shifted our marketing efforts towards digital advertising and have increased investments in consumer engagement directly via digital and social media platforms and campaigns. Additionally, since mid-2020 we increased resources focused on expanding our e-commerce and digital platforms. These efforts have included turning Holley.com into a destination for automotive enthusiasts and launching Motor Life, our internal digital publication that is available to the public on our website. As a result, we have experienced a significant increase in social media and online engagement since that time. Continued expansion of and investment in digital and social media are expected in the future, including focusing on strategies to grow the high margin DTC channel.</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also spent significant time and effort in creating engaging, in-person events to build the Holley tribe. These events focus on creating memorable experiences for enthusiasts, celebrate car culture, build community and show enthusiasts how Holley products can help them enjoy their vehicles. Since 2015, our events have grown in total annual attendance from 14,000 to106,000 in2022</w:t>
      </w:r>
      <w:r>
        <w:rPr>
          <w:rFonts w:ascii="Arial" w:cs="Arial" w:eastAsia="Arial" w:hAnsi="Arial"/>
          <w:sz w:val="18"/>
          <w:szCs w:val="18"/>
          <w:b w:val="1"/>
          <w:bCs w:val="1"/>
          <w:color w:val="auto"/>
        </w:rPr>
        <w:t>.</w:t>
      </w:r>
      <w:r>
        <w:rPr>
          <w:rFonts w:ascii="Arial" w:cs="Arial" w:eastAsia="Arial" w:hAnsi="Arial"/>
          <w:sz w:val="18"/>
          <w:szCs w:val="18"/>
          <w:color w:val="auto"/>
        </w:rPr>
        <w:t xml:space="preserve"> We currently host seven annual self-funding events, including LS Fest East, LS Fest West, Ford Fest, MoParty, High Voltage, Brother's Truck Show, plus a new event launched in 2022, LS Fest Texas, our largest inaugural event to date.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 diverse omni-channel distribution strategy led by our growing DTC channel. Our omni-channel model enables us to reach our consumers through DTC, E-tailer, warehouse distributor, traditional retailer, and jobber/ installer channels. We have mutually beneficial relationships with our resellers and are able to maintain strong pricing discipline across our channels with strict conformance to minimum advertised pricing.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1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DTC channel</w:t>
      </w:r>
      <w:r>
        <w:rPr>
          <w:rFonts w:ascii="Arial" w:cs="Arial" w:eastAsia="Arial" w:hAnsi="Arial"/>
          <w:sz w:val="18"/>
          <w:szCs w:val="18"/>
          <w:color w:val="auto"/>
        </w:rPr>
        <w:t>: Consumers are increasingly meeting us online through our DTC channel. Our DTC channel provides consumers full access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our brands, our unique branded content and our full product assortment. We have turned Holley.com into our primary hub for consumer communication and continue to add features and brands that make it an increasingly attractive digital destination for our consumers. Our DTC channel enables us to directly interact with our customers, more effectively control our brand experience, better understand consumer behavior and preferences, and offer exclusive products, content, and customization capabilities. We believe our control over our DTC channel provides our customers with quality brand engagement and further builds customer loyalty, while generating attractive margins.</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Resellers</w:t>
      </w:r>
      <w:r>
        <w:rPr>
          <w:rFonts w:ascii="Arial" w:cs="Arial" w:eastAsia="Arial" w:hAnsi="Arial"/>
          <w:sz w:val="18"/>
          <w:szCs w:val="18"/>
          <w:color w:val="auto"/>
        </w:rPr>
        <w:t>: We have historically sold the majority of our products through resellers who purchase our products and resell them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channels. These resellers consist of E-tailers, warehouse distributors, traditional retailers, and jobber/installers with E-tailers and warehouse distributors accounting for 60% of our sales in 2022, and our top ten resellers accounting for 39% of our sales in 2022 with our largest reseller making up 19% of our sales in 2022.</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established mutually beneficial and long-term relationships with our resellers. We believe resellers benefit from our broad suite of product offerings that they can leverage to meet consumer demand across multiple product categories. Based on the value that we offer to our resellers, we are able to operate with pricing discipline that supports the value of our products in the marketplace and buttresses our profit margins. We believe our approach to pricing allows us to better understand consumer demand and identify what our end consumers are buying.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Patents, trademarks, and other proprietary rights are important to the continued success of our business. We own and have licensing arrangements for a number of U.S. and foreign patents, trademarks, and other proprietary rights related to our products and business. We also rely upon continuing technological innovation and licensing opportunities to develop and maintain our competitive position. We protect our proprietary rights through a variety of methods, including the use of confidentiality and other similar agreements. We do not consider our business to be dependent on any single patent, nor is the expiration of any patent expected to materially affect our business. Our current patents will expire over various periods and we continue to file new patent applications on newly developed technology. From time to time, we become aware of potential infringement of our patent, trademark, or other proprietary rights, and we investigate instances of alleged infringement where we believe it is merited and take appropriate actions under applicable intellectual property laws in response to such infringements where we determine it is valuable to do so. Similarly, from time to time we are the subject of intellectual property and other proprietary rights related suits and other litigation.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Holley’s operating results have fluctuated on a quarterly and annual basis in the past and can be expected to continue to fluctuate in the future as a result of a number of factors, some of which are beyond the Company’s control. Traditionally, our sales in the first half of the year are generally higher than in the second half of the year. Due to these factors and others, which may be unknown to the Company at this time, operating results in future periods can be expected to fluctuate. Accordingly, the Company’s historical results of operations may not be indicative of future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subject to a variety of federal, state, local and foreign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We believe we are in substantial compliance with all material environmental laws and regulations applicable to our plants and operations. Historically, our annual costs of achieving and maintaining compliance with environmental, health and safety requirements have not been material to our financial results.</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Increasing global efforts to control emissions of carbon dioxide, methane, ozone, nitrogen oxide and other greenhouse gases and pollutants, as well as the shifting focus of regulatory efforts towards total emissions output, have the potential to impact our facilities, costs, products and customers. The U.S. Environmental Protection Agency (“EPA”) has taken action to control greenhouse gases from certain stationary and mobile sources. In addition, several states have taken steps, such as adoption of cap-and-trade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 We do not anticipate any potential liability relating to contaminated sites to be material to our financial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Holley’s employees are integral to our strategic growth and success. We consider our team members to be our most valuable asset and seek to attract and maintain the highest quality talent by offering competitive benefits and wellness services, opportunities to grow professionally, and regular evaluations, among other initiatives. As of December 31, 2022, we employed 1,622 full-time employees and 100 temporary employees. Approximately 48% of our full-time employees are based primarily in our Bowling Green, KY headquarters, distribution center and manufacturing plants. None of our employees are subject to collective bargaining agreements or represented by a labor union. We believe our facilities are in labor markets with ready access to adequate numbers of skilled and unskilled workers, and we believe our relations with our employees are good.</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Many of our employees are automotive enthusiasts. We pride ourselves on having a platform built for enthusiasts by enthusiasts. As of December 2022, our Engineering function includes approximately 203 employees, including many enthusiast-focused engineers who are passionate about cars. We continue to seek out top level talent that will help accomplish our mission and vision moving forward. Our goal is to create an inclusive and safe environment for our employees that keeps them engaged in their work.</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Compensation and Benefits</w:t>
      </w:r>
      <w:r>
        <w:rPr>
          <w:rFonts w:ascii="Arial" w:cs="Arial" w:eastAsia="Arial" w:hAnsi="Arial"/>
          <w:sz w:val="18"/>
          <w:szCs w:val="18"/>
          <w:color w:val="auto"/>
        </w:rPr>
        <w:t>. We strive to hire, develop and retain top talent. We attract and reward our employees by providing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including market-competitive compensation, medical, dental and vision insurance, short-term and long-term disability insurance, basic life and accidental death and dismemberment insurance, voluntary supplemental coverages, flexible spending accounts, paid time off, and our 401(k) program. Holley matches employee contributions to the 401(k) Plan up to 3.5% each pay period, and an additional discretionary match of up to 1.5% is made based on company performance to targets.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Health, Safety and Wellness</w:t>
      </w:r>
      <w:r>
        <w:rPr>
          <w:rFonts w:ascii="Arial" w:cs="Arial" w:eastAsia="Arial" w:hAnsi="Arial"/>
          <w:sz w:val="18"/>
          <w:szCs w:val="18"/>
          <w:color w:val="auto"/>
        </w:rPr>
        <w:t>. Holley is committed to the health and well-being of its employees and designs its compensation and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to demonstrate this commitment. Our programs are intended to support the physical and mental well-being of our employees and their families by providing the tools and resources for employees to improve or maintain their health and to lessen concerns about missing work and the potential financial impact.</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Employee health and safety in the workplace is one of our top priorities. We have implemented programs and training designed to eliminate workplace incidents, risks and hazards. The core training provided includes Emergency Response, OSHA Reporting, Fire Safety, and Office Ergonomics. We also review and monitor our performance closely. In response to the COVID-19 pandemic, we followed guidance from the Centers for Disease Control, the World Health Organization, and the various states and counties in which we operate in order to keep our employees safe. We will continue to make the health and wellbeing of our employees a priority.</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Inclusion</w:t>
      </w:r>
      <w:r>
        <w:rPr>
          <w:rFonts w:ascii="Arial" w:cs="Arial" w:eastAsia="Arial" w:hAnsi="Arial"/>
          <w:sz w:val="18"/>
          <w:szCs w:val="18"/>
          <w:color w:val="auto"/>
        </w:rPr>
        <w:t>. We know that diversity throughout our company creates stronger teams, leads to innovation, and results in an organization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the best service to our customers. We have a recruitment strategy that encourages diversity across the company. We leverage our employee referral program to identify diverse talent during the recruitment process. We also engage with a local development board and a local refugee center in Bowling Green, KY to increase our diverse talent candidate pool.</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employees should reflect the customers we serve. Notably, approximately 30% of Holley consumers are female. Accordingly, we recognize the benefits of female representation in our workforce, and in 2022 over 30% of our workforce were women. We are committed to closing the gender gap and our recruitment and retention strategies support improving women’s representation in leadership roles.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Our Culture</w:t>
      </w:r>
      <w:r>
        <w:rPr>
          <w:rFonts w:ascii="Arial" w:cs="Arial" w:eastAsia="Arial" w:hAnsi="Arial"/>
          <w:sz w:val="18"/>
          <w:szCs w:val="18"/>
          <w:color w:val="auto"/>
        </w:rPr>
        <w:t>. At Holley, we believe that an engaged workforce leads to a more innovative, productive, and profitable organization. For this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 we measure employee engagement through periodic culture surveys. These surveys allow our employees to provide confidential feedback on culture, company strategy and trust in their direct leaders. This feedback helps create action plans to improve the engagement of our employees. These survey results have demonstrated that our employees have a strong sense of belonging, trust in management, and confidence in Holley. These strengths provide a foundation for our success, and we are dedicated to enhancing the employee experience at Holley.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w:t>
      </w:r>
      <w:r>
        <w:rPr>
          <w:rFonts w:ascii="Arial" w:cs="Arial" w:eastAsia="Arial" w:hAnsi="Arial"/>
          <w:sz w:val="18"/>
          <w:szCs w:val="18"/>
          <w:color w:val="auto"/>
        </w:rPr>
        <w:t>. The development of our employees’ skills and knowledge is critical to Holley’s success.</w:t>
      </w:r>
    </w:p>
    <w:p>
      <w:pPr>
        <w:spacing w:after="0" w:line="1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educational assistance program is designed to encourage personal development by helping employees maintain and improve their skills or knowledge related to their current job or a potential future position at Holley through reimbursement of certain educational expenses, including external training programs or educational courses, pursuit and maintenance of job-related professional licenses and certifications, workshops, seminars, and professional conferences. Further, we are introducing an internship program designed to provide students in the community an opportunity to gain practical experience. We are committed to fostering an equitable work environment that seeks to ensure fair treatment, equality of opportunity, and fairness in access to information and resources.</w:t>
      </w:r>
    </w:p>
    <w:p>
      <w:pPr>
        <w:spacing w:after="0" w:line="16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i w:val="1"/>
          <w:iCs w:val="1"/>
          <w:color w:val="auto"/>
        </w:rPr>
        <w:t>Social Responsibility</w:t>
      </w:r>
      <w:r>
        <w:rPr>
          <w:rFonts w:ascii="Arial" w:cs="Arial" w:eastAsia="Arial" w:hAnsi="Arial"/>
          <w:sz w:val="18"/>
          <w:szCs w:val="18"/>
          <w:color w:val="auto"/>
        </w:rPr>
        <w:t>. We are committed to social responsibility. Our socially responsible initiatives include donations to community</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sponsorship of local sports teams and weekend family events. Through these programs, Holley and its employees are able to give back to the community through monetary donations and by providing community services. Holley gives its subsidiaries the ability to lead their own community engagement initiatives through contributions to charities and participation in fundraising events.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Our principal executive offices are located at 1801 Russellville Rd., Bowling Green, KY 42101, and our telephone number is (270) 782-2900. Our Internet address is www.holley.com. The information on our website is not, and should not be considered, part of this Form 10-K and is not incorporated by reference in this Form 10-K. The website is, and is only intended to be, for reference purposes only. We make available free of charge on or through our website our Annual Report on Form 10-K, quarterly reports on Form 10-Q and current reports on Form 8-K, and amendments to those reports filed or furnished pursuant to Section 13(a) or 15(d) of the Exchange Act as soon as practicable after we electronically file such material with, or furnish it to, the Securities and Exchange Commission. These reports and other information are also available, free of charge, at </w:t>
      </w:r>
      <w:r>
        <w:rPr>
          <w:rFonts w:ascii="Arial" w:cs="Arial" w:eastAsia="Arial" w:hAnsi="Arial"/>
          <w:sz w:val="18"/>
          <w:szCs w:val="18"/>
          <w:u w:val="single" w:color="auto"/>
          <w:color w:val="auto"/>
        </w:rPr>
        <w:t>www.sec.gov</w:t>
      </w:r>
      <w:r>
        <w:rPr>
          <w:rFonts w:ascii="Arial" w:cs="Arial" w:eastAsia="Arial" w:hAnsi="Arial"/>
          <w:sz w:val="18"/>
          <w:szCs w:val="18"/>
          <w:color w:val="auto"/>
        </w:rPr>
        <w:t>. In addition, we will provide, at no cost, paper or electronic copies of our reports and other filings made with the SEC. Requests can be made in writing or by phone.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The following discussion of "Risk Factors" identifies factors that may adversely affect our business, operations, financial condition or future performance. This information should be read in conjunction with “Cautionary Note Regarding 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 of Operations" and the consolidated financial statements and related notes. The following discussion of risks is not all-inclusive but is designed to highlight what we believe are the material factors to consider when evaluating our business and expectations. These factors could cause our future results to differ materially from our historical results and from expectations reflected in forward-looking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60"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Unfavorable economic conditions could have an adverse impact on consumer discretionary spending and therefore adversely impact our business, sales, financial condition and results of operations.</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products are largely recreational in nature and are therefore discretionary purchases for consumers. Consumers are generally more willing to make discretionary purchases of automotive products during favorable economic conditions and when consumers are feeling confident and prosperous. Discretionary spending is also affected by many other factors, including general business conditions, inflation, interest rates, the availability of consumer credit, taxes, and consumer confidence in future economic conditions. Purchases of our products could decline during periods when disposable income is lower, or during periods of actual or perceived unfavorable economic conditions. A significant or prolonged decline in general economic conditions or uncertainties regarding future economic prospects that adversely affect consumer discretionary spending, whether in the United States or in our international markets, could result in reduced sales of our products, which in turn would have an adverse impact on our business, sales, financial condition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could result in higher costs and decreased profitability.</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Rising inflation may continue to adversely affect us by increasing the cost of raw materials. Our products contain various raw materials, including corrosion-resistant steel, non-ferrous metals such as aluminum and nickel, and precious metals such as platinum and palladium. We use raw materials directly in manufacturing and in components that we purchase from our suppliers. We generally purchase components with significant raw material content on the open market. Volatility in the prices of raw materials such as steel, aluminum and nickel could continue to increase the cost of manufacturing our products. In some cases, those cost increases can be passed on to customers in the form of price increases, in other cases, they cannot. Recent inflationary pressures and other factors have also resulted in significant increases in transportation and freight service costs due to limited capacity and/or availability of containers, shipping vessels, and/or receiving port services. If the prices of raw material and other inputs increase, and we are not able to charge our customers higher prices to compensate, our results of operations would be adversely affected.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Many of the markets in which we sell have been experiencing high levels of inflation, which may depress consumer demand for our products and reduce our profitability. Even in the event that increased costs can be passed through to customers, our gross margin percentages may decline. Additionally, our suppliers are also subject to fluctuations in the prices of raw materials and may attempt to pass all or a portion of such increases on to us. In the event they are successful in doing so, our margins would decline. If prolonged, and if they cannot be passed on to customers in the form of price increases, these fluctuations in the price of raw materials, product components, other inputs, and/or transportation services could have a material adverse effect on our business, sales,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of supply or shortages of raw materials or components used in our products could harm our business and profitability.</w:t>
      </w:r>
    </w:p>
    <w:p>
      <w:pPr>
        <w:spacing w:after="0" w:line="208"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We have experienced, and may continue to experience, disruptions and higher costs in manufacturing, supply chain, logistical operations, and shortages of steel, non-ferrous metals and precious metals. Additionally, we have been adversely impacted by the global supply shortage of automotive-grade microchips. This shortage has resulted in increased microchip delivery lead times, delays in production and increased costs to source available automotive-grade microchips. If our supply of these products continues to be adversely affected, there can be no assurance that we will be able to obtain adequate replacements for the existing components or that supplies will be available on terms and prices that are favorable to us, if at all.</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success depends in part on our ability to anticipate and react to changes in supply costs and disruptions in the supply chain due to factors beyond our control. We have taken steps to minimize the adverse impacts of supply chain volatility and rising inflation by implementing cost savings initiatives, increasing prices to customers, increasing inventory levels of certain products, and working closely with our suppliers and customers to minimize disruptions in delivering products to customers. Despite the actions we have undertaken to minimize these impacts, there can be no assurance that unforeseen future events in the global supply chain and our ability to pass on inflationary costs to our customers could have a material adverse effect on our business, financial condition and results of operations.</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Current global economic conditions, including inflation and supply chain disruptions, could continue to adversely affect our distributors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condition, their levels of business activity and their ability to pay trade obligations.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primarily sell our products to retailers directly and through our domestic and foreign subsidiaries, and to foreign distributors. We generally require no collateral from our customers. However, if the current economic conditions and macroeconomic trends, including heightened inflation, capital market volatility, and interest rate fluctuations, continue, our results of operations may be adversely affected. These disruptions and delays have strained certain domestic and international supply chains, which have affected and could continue to adversely affect the flow or availability of certain products or components. As a result, we have experienced, and could continue to experience, disruptions and higher costs in manufacturing, supply chain, logistical operations, and shortages of certain of our products in distribution channels.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prolonged or severe downturn in the general economy could adversely affect the retail market, which in turn, would adversely impact the liquidity and cash flows of our customers, including the ability of such customers to obtain credit to finance purchases of our products and to pay their trade obligations. This could result in increased delinquent or uncollectible accounts for some of our customers. A failure by our customers to pay on a timely basis a significant portion of outstanding account receivable balances would adversely impact our business, sales, financial condition and results of operations.</w:t>
      </w:r>
    </w:p>
    <w:p>
      <w:pPr>
        <w:spacing w:after="0" w:line="16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 significant disruption in the operations of our manufacturing facilities or distribution centers could have a material adverse effect on our business, sales, financial condition and results of operations.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significant disruption at any of our manufacturing facilities or distribution centers could materially and adversely affect our business, sales, financial condition and results of operations. Our manufacturing facilities and distribution centers are highly automated, which means that our operations are complicated and may be subject to a number of risks related to computer viruses, the proper operation of software and hardware, electronic or power interruptions, and other system failures, including failures caused by factors outside of our control, such as hostilities, political unrest, terrorist attacks, war (including the ongoing conflict in Ukraine), natural disasters or extreme weather (including events that may be caused or exacerbated by climate change). Risks associated with upgrading or expanding these facilities may significantly disrupt or increase the cost of our operations, which may have an immediate, or in some cases prolonged, impact on our margins. Our risk management, business continuity and disaster recovery plans may not be effective at preventing or mitigating the effects of such disruptions, particularly in the case of catastrophic events or longer-term developments, such as the impacts of climate change.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 global pandemic, such as the COVID-19 pandemic could adversely affect our business, sales, financial condition and results of operations and our ability to access current or obtain new lending facilities.</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global pandemic, or the outbreak of a disease, such as the COVID-19 pandemic, could adversely affect our business. The preventative measures taken to contain or mitigate a pandemic may cause, and are continuing to cause, business slowdowns or shutdowns in affected areas and significant disruption in the financial markets both globally and in the United States, which could lead to a decline in discretionary spending by consumers, and in turn impact, possibly materially, our business, sales, financial condition and results of operations. These impacts could include, but are not limited to:</w:t>
      </w:r>
    </w:p>
    <w:p>
      <w:pPr>
        <w:spacing w:after="0" w:line="163" w:lineRule="exact"/>
        <w:rPr>
          <w:sz w:val="20"/>
          <w:szCs w:val="20"/>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possibility of renewed retail store closures or reduced operating hours and/or decreased retail traffic;</w:t>
      </w:r>
    </w:p>
    <w:p>
      <w:pPr>
        <w:spacing w:after="0" w:line="63" w:lineRule="exact"/>
        <w:rPr>
          <w:rFonts w:ascii="Arial" w:cs="Arial" w:eastAsia="Arial" w:hAnsi="Arial"/>
          <w:sz w:val="18"/>
          <w:szCs w:val="18"/>
          <w:color w:val="auto"/>
        </w:rPr>
      </w:pPr>
    </w:p>
    <w:p>
      <w:pPr>
        <w:jc w:val="both"/>
        <w:ind w:left="820" w:hanging="488"/>
        <w:spacing w:after="0" w:line="253"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 to our distribution centers and other vendors, including the effects of facility closures as a result of outbreaks of COVID-19 or measures taken by federal, state or local governments to reduce its spread, reductions in operating hours, labor shortages, and real time changes in operating procedures, including for additional cleaning and disinfection procedures; and</w:t>
      </w:r>
    </w:p>
    <w:p>
      <w:pPr>
        <w:spacing w:after="0" w:line="20"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disruption of global financial markets, which could have an adverse impact on our ability to access capital in the future.</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outbreak of a different global pandemic, or the further spread of COVID-19, and the requirements to take action to help limit the spread of the illness, could impact our ability to carry out our business as usual and may materially adversely impact global economic conditions, our business, sales, financial condition and results of operations. The extent of the impact of a global pandemic, such as COVID-19, on our business and financial results will depend on future developments, including the duration and spread of such outbreak within the markets in which we operate, the related impact on consumer confidence and spending, and the effect of governmental regulations imposed in response to the pandemic, all of which are highly uncertain and ever-changing. The duration of any such impacts cannot be predicted.</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Failure to compete effectively could reduce our market share and significantly harm our business, sales, financial condition and results of operations.</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industry is highly competitive, and our success depends on our ability to compete with suppliers of automotive aftermarket products, some of which may have substantially greater financial, marketing and other resources than we do. Due to the diversity of our product offering, we compete with several large and medium-sized companies and a large number of smaller regional and specialty companies and numerous category-specific competitors. In addition, we face competition from original equipment manufacturers, which, through their automotive dealerships, supply many of the same types of replacement parts that we sell. Existing competitors may expand their product offerings and sales strategies, and new competitors may enter the market.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Some of our competitors may have larger customer bases and significantly greater financial, technical and marketing resources than we do.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allow our competitors to:</w:t>
      </w:r>
    </w:p>
    <w:p>
      <w:pPr>
        <w:spacing w:after="0" w:line="180" w:lineRule="exact"/>
        <w:rPr>
          <w:sz w:val="20"/>
          <w:szCs w:val="20"/>
          <w:color w:val="auto"/>
        </w:rPr>
      </w:pPr>
    </w:p>
    <w:p>
      <w:pPr>
        <w:ind w:left="820" w:hanging="488"/>
        <w:spacing w:after="0" w:line="271"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more quickly than we can to new or emerging technologies and changes in customer requirements by devoting greater resources than we can to the development, promotion and sale of automotive aftermarket products;</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more extensive research and development;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spend more money and resources on marketing and promotion.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Increased competition could put additional pressure on us to reduce prices or take other actions, which may have an adverse effect on our business, sales, financial condition and results of operations. We may also lose significant customers or lines of business to competitors.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design, develop and market new products, our business may be harmed.</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maintain and increase sales, we must continue to introduce new products on a timely basis to respond to new and evolving consumer preferences and improve or enhance our existing products. The success of our new and enhanced products depends on many factors, including anticipating consumer preferences, finding innovative solutions to consumer problems, differentiating our products from those of our competitors, and maintaining the strength of our brands. The design and development of our products is costly, and we typically have several products in development at the same time. Problems in the design or quality of our products, or delays in product introduction, may harm our brands, business, sales, financial condition and results of operations. Any new products that we develop and market may not generate sufficient revenues to recoup our development, production, marketing, selling and other costs.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 drive toward electric vehicles or away from vehicle ownership in general could impact our business, sales, financial condition and results of operations.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automotive industry is increasingly focused on the development of hybrid and electric vehicles and of advanced driver assistance technologies, with the goal of developing and introducing a commercially viable, fully automated driving experience, and many manufacturers have announced plans to transition from internal- combustion engines into electric vehicle platforms over the coming years. There has also been an increase in consumer preferences for mobility on demand services, such as car and ride sharing, as opposed to automobile ownership, which may result in a long-term reduction in the number of vehicles per capita. Accordingly, if we do not continue to innovate and develop, or acquire, new and compelling products that capitalize upon new technologies in response to original equipment manufacturer and consumer preferences, or if there is a future shift in consumer preferences towards ownership of more utilitarian vehicles or vehicles that are otherwise less interesting to a large portion of our customers who are automotive enthusiasts, or if there is otherwise a future shift away from automobile ownership among consumers in general, our and our subsidiaries’ business, sales, financial condition and results of operations could be impacted.</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business depends on maintaining and strengthening our brands to generate and maintain ongoing demand for our products, and a significant reduction in such demand could harm our business, sales, financial condition and results of operations.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success depends on the value and reputation of our brands, which, in turn, depends on factors such as the quality, design, performance, functionality, and durability of our products, the image of our e-commerce platform and retail partner floor spaces, our communication activities, including advertising, social media, and public relations, and our management of the customer experience, including direct interfaces through customer service. Maintaining, promoting, and positioning our brands are important to expanding our customer base, and will largely depend on the success of our marketing and merchandising efforts and our ability to provide consistent, high-quality customer experiences. We intend to continue making investments in these areas in order to maintain and enhance our brands, and such investments may not be successful. Ineffective marketing, negative publicity, product diversion to unauthorized distribution channels, product or manufacturing defects, counterfeit products, unfair labor practices, and failure to protect the intellectual property rights in our brands are some of the potential threats to the strength of our brands, and those and other factors could rapidly and severely diminish our relationships with customers and suppliers. These factors could cause our customers to lose the personal connection they feel with our brands and reduce our ability to attract new customers and lead to suppliers terminating their relationships with us. We believe that maintaining and enhancing the image of our brands in our current markets and in new markets where we have limited brand recognition is important to expanding our customer base. If we are unable to maintain or enhance our brands in current or new markets, our business, sales, financial condition and results of operations could be harmed.</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inaccurately forecast demand for our products, we may manufacture either insufficient or excess quantities, which, in either case, could adversely affect our financial performance.</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plan our manufacturing capacity based upon the forecasted demand for our products. Forecasting the demand for our products is very difficult given the manufacturing lead time and the amount of specification involved especially given the volatility of the markets and the economic downturn, including the impact of the COVID-19 pandemic. Aside from supply chain disruptions and inflationary pressures, forecasting demand for specific automotive parts can also be challenging due to changing consumer preferences and competitive pressures and longer supply lead times. The nature of our business makes it difficult to quickly adjust our manufacturing capacity if actual demand for our products varies from forecasted demand. If actual demand for our products exceeds forecasted demand, we may not be able to produce sufficient quantities of new products in time to fulfill actual demand, which could limit our sales and adversely affect our financial performance. On the other hand, if actual demand is less than forecasted demand for our products, we could produce excess quantities, resulting in excess inventories and related obsolescence charges that could adversely affect our financial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manage our growth.</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we grow our business, slower growing or reduced demand for our products, increased competition, a decrease in the growth rate of our overall market, failure to develop and successfully market new products, or the maturation of our business or markets could harm our business. We have made and expect to continue to make significant investments in our research and development and sales and marketing organizations, expand our operations and infrastructure both domestically and internationally, design and develop new products, and enhance our existing products. If our sales do not increase at a sufficient rate to offset these increases in our operating expenses, our profitability may decline in future periods.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only have a limited history operating our business as a public company at its current scale. Consequently, if our operations grow at a rapid pace in the future, we may experience difficulties in managing this growth and building the appropriate processes and controls. Future rapid growth may increase the strain on our resources, and we could experience operating difficulties, including difficulties in sourcing, logistics, recruiting, maintaining internal controls, marketing, designing innovative products, and meeting consumer needs. If we do not adapt to meet these evolving challenges, the strength of our brands may erode, the quality of our products may suffer, we may not be able to deliver products on a timely basis to our customers, and our corporate culture may be harmed.</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set certain growth initiatives for our business to meet long-term strategic objectives and improve stockholder value. We may incur certain costs to achieve our growth initiatives, and we may not meet anticipated implementation timetables or stay within budgeted costs. As these growth initiatives are undertaken, we may not achieve our expected results, which could adversely impact our customer retention or results of operation.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new customers, or fail to do so in a cost-effective manner, we may not be able to increase sales.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success depends, in part, on our ability to attract customers in a cost-effective manner. In order to expand our customer base, we must appeal to and attract customers ranging from automotive enthusiasts to individuals who simply value products of uncompromising quality and design. We have made, and expect to continue to make, significant investments in attracting new customers, including through the use of traditional, digital, and social media and participation in, and sponsorship of, community events. Marketing campaigns can be expensive and may not result in the cost-effective acquisition of customers. Further, as our brands become more widely known, future marketing campaigns may not attract new customers at the same rate as past campaigns. If we are unable to attract new customers, or fail to do so in a cost-effective manner, our growth could be slower than we expect, and our business may be harmed.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expanding into additional consumer markets, and we may not be successful in doing so.</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that our future growth depends not only on continuing to reach our current core demographic, but also continuing to broaden our retail partner and customer bases. The growth of our business will depend, in part, on our ability to continue to expand our retail partner and customer bases in the United States, as well as in international markets. In these markets, we may face challenges that are different from those we currently encounter, including competitive, merchandising, distribution, hiring, and other difficulties. We may also encounter difficulties in attracting customers due to a lack of consumer familiarity with or acceptance of our brands, or a resistance to paying for premium products, particularly in international markets. We continue to evaluate marketing efforts and other strategies to expand the customer base for our products. In addition, although we are investing in sales and marketing activities to further penetrate newer regions, including expansion of our dedicated sales force, we cannot ensure that we will be successful. If we are not successful, our business, sales, financial condition and results of operations may be harmed.</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Competitors have attempted, and will likely continue to attempt to, imitate our products and technology. If we are unable to protect or preserve the image of our brands and proprietary rights, our business, sales, financial condition and results of operations may be harmed.</w:t>
      </w:r>
    </w:p>
    <w:p>
      <w:pPr>
        <w:spacing w:after="0" w:line="14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our business continues to expand, our competitors have imitated or attempted to imitate, and will likely continue to imitate or attempt to imitate, our product designs and branding, which could harm our business, sales, financial condition and results of operations. Only a portion of the intellectual property used in the manufacture and design of our products is patented, and we, therefore, rely significantly on trade secrets, trade and service marks, trade dress, and the strength of our brands. We regard our patents, trade dress, trademarks, copyrights, trade secrets, and similar proprietary rights as critical to our success. We also rely on trade secret protection and confidentiality agreements with our employees, consultants, suppliers, manufacturers, and others to protect our proprietary rights. Nevertheless, the steps we take to protect our proprietary rights against infringement or other violations may be inadequate, and we may experience difficulty in effectively limiting the unauthorized use of our patents, trademarks, trade dress, and other intellectual property and proprietary rights worldwide. We also cannot guarantee that others will not independently develop technology with the same or similar function to any proprietary technology that we rely on to conduct our business and differentiate our self from our competitors. Unauthorized use or invalidation of our patents, trademarks, copyrights, trade dress, trade secrets, or other intellectual property or proprietary rights may cause significant damage to our brands and harm our business, sales, financial condition and results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we actively develop and protect our intellectual property rights, there can be no assurance that we will be adequately protected in all countries in which we conduct our business or that we will prevail when defending our patent, trademark, and proprietary rights. Additionally, we could incur significant costs and management distraction in pursuing claims to enforce our intellectual property rights through litigation and defending any alleged counterclaims. If we are unable to protect or preserve the value of our patents, trade dress, trademarks, copyrights, or other intellectual property rights for any reason, or if we fail to maintain the image of our brands due to actual or perceived product or service quality issues, adverse publicity, governmental investigations or litigation, or other reasons, our brands and reputation could be damaged, and our business may be harmed.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may decline as a result of increasing pressure on pricing.</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industry is subject to significant pricing pressure caused by many factors, including unfavorable economic conditions, intense competition, consolidation in the retail industry, pressure from retailers to reduce the costs of products, and changes in consumer demand. The current economic conditions and macroeconomic trends, including heightened inflation, capital market volatility, interest rate and current rate fluctuations, have had and may continue to have an impact on pricing. These factors may cause us to reduce our prices to retailers and customers or engage in more promotional activity than we anticipate, which could adversely impact our margins and cause our profitability to decline if we are unable to offset price reductions with comparable reductions in our operating costs. This could materially harm our business, sales, financial condition and results of operations. In addition, ongoing and sustained promotional activities could harm the image of our brands.</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current and future products may experience quality problems from time to time that can result in negative publicity, litigation, product recalls, and warranty claims, which could result in decreased sales and operating margin, and harm to our brand.</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Although we extensively and rigorously test new and enhanced products, there can be no assurance we will be able to detect, prevent, or fix all defects. Defects in materials or components can unexpectedly interfere with the products’ intended use and safety and damage our reputation. Failure to detect, prevent, or fix defects could result in a variety of consequences, including a greater number of product returns than expected from customers and retail partners, litigation, product recalls, and credit claims, among others, which could harm our business, sales, financial condition and results of operations. The occurrence of real or perceived quality problems or material defects in our current and future products could expose us to product recalls, warranty, or other claims. In addition, any negative publicity or lawsuits filed against us related to the perceived quality and safety of our products could also harm our brand and decrease demand for our products.</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reliance on foreign suppliers for some of the automotive parts we sell to our customers or include in our products presents risks to the business</w:t>
      </w:r>
      <w:r>
        <w:rPr>
          <w:rFonts w:ascii="Arial" w:cs="Arial" w:eastAsia="Arial" w:hAnsi="Arial"/>
          <w:sz w:val="18"/>
          <w:szCs w:val="18"/>
          <w:b w:val="1"/>
          <w:bCs w:val="1"/>
          <w:color w:val="auto"/>
        </w:rPr>
        <w:t>.</w:t>
      </w:r>
    </w:p>
    <w:p>
      <w:pPr>
        <w:spacing w:after="0" w:line="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portion of automotive parts and components we use in our manufacturing processes are imported from suppliers located outside the U.S. As a result, we are subject to various risks of doing business in foreign markets and importing products from abroad, and these risks may become heightened as a result of unfavorable global economic conditions, including as a result of COVID-19. These risks may include, but are not limited to:</w:t>
      </w:r>
    </w:p>
    <w:p>
      <w:pPr>
        <w:spacing w:after="0" w:line="160" w:lineRule="exact"/>
        <w:rPr>
          <w:sz w:val="20"/>
          <w:szCs w:val="20"/>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of key component parts used in our products sourced from non-U.S. suppliers;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transportation costs;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delays in the delivery of cargo due to port security considerations;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duties, taxes, tariffs or other charges on imports;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recalls or cancellations of orders for any product that does not meet our quality standards;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 of imports by labor disputes or strikes and local business practices;</w:t>
      </w:r>
    </w:p>
    <w:p>
      <w:pPr>
        <w:spacing w:after="0" w:line="63" w:lineRule="exact"/>
        <w:rPr>
          <w:rFonts w:ascii="Arial" w:cs="Arial" w:eastAsia="Arial" w:hAnsi="Arial"/>
          <w:sz w:val="18"/>
          <w:szCs w:val="18"/>
          <w:color w:val="auto"/>
        </w:rPr>
      </w:pPr>
    </w:p>
    <w:p>
      <w:pPr>
        <w:ind w:left="820" w:right="20" w:hanging="488"/>
        <w:spacing w:after="0" w:line="271"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heightened terrorism security concerns, which could subject imported goods to additional, more frequent or more thorough inspections, leading to delays in deliveries or impoundment of goods for extended periods;</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tensions, conflicts, and wars, such as the ongoing conflict in Ukraine;</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disease, epidemics and health related concerns, which could result in closed factories, reduced workforces, scarcity of raw materials and scrutiny or embargoing of goods produced in infected areas;</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of our non-U.S. suppliers to obtain adequate credit or access liquidity to finance their operations;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or inability to enforce any agreements with our foreign suppliers.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Any of the foregoing factors, or a combination of them, could increase the cost or reduce the supply of products available to us and materially and adversely impact our business, sales, financial condition and results of operations.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depend on retail partners to display and present our products to customers, and our failure to maintain and further develop our relationships with retail partners could harm our business.</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sell a significant amount of our products through knowledgeable national, regional, and independent retail partners. Our retail partners service customers by stocking and displaying our products, explaining the attributes of our products, and sharing the story of our brands. Our relationships with these retail partners are important to the authenticity of our brands and the marketing programs we continue to deploy. Our failure to maintain these relationships with our retail partners or financial difficulties experienced by these retail partners could harm our business.</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key relationships with national retail partners. If we lose any of our key retail partners or any key retail partner reduces their purchases of our existing or new products or their number of stores or operations, or promotes products of our competitors over ours, our sales would be harmed. Because Holley is a premium brand, our sales depend, in part, on retail partners effectively displaying our products, including providing attractive space and point of purchase displays in their stores, and training their sales personnel to sell our products. If our retail partners reduce or terminate those activities, we may experience reduced sales of our products, resulting in lower gross margins, which would harm our business, financial condition and results of operations.</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our plans to increase sales through our DTC channel are not successful, our business, sales, financial condition and results of operations could be harmed.</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2022, we generated through our DTC channel approximately $149.1 million in gross sales. Part of our growth strategy involves increasing sales through our DTC channel. The level of customer traffic and volume of customer purchases through our website is substantially dependent on our ability to provide a content-rich and user-friendly website, a hassle-free customer experience, sufficient product availability, and reliable, timely delivery of our products. If we are unable to maintain and increase customers’ use of our website, allocate sufficient product to our website, and increase any sales through our website, our business, sales, financial condition and results of operations could be harmed.</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management and key employees, and on our ability to attract and retain highly skilled personnel and senior management.</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depend on the talents and continued efforts of our senior management and key employees. The loss of members of management or key employees may disrupt our business and harm our business, sales, financial condition and results of operations. Furthermore, our ability to manage further expansion will require us to continue to attract, motivate, and retain additional qualified personnel. Competition for this type of personnel is intense, and we may not be successful in attracting, integrating, and retaining the personnel required to grow and operate our business effectively. There can be no assurance that our current management team or any new members of the management team will be able to successfully execute our business and operating strategies.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adversely affected by labor shortages, turnover and labor cost increases.</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 overall labor shortage, lack of skilled labor, increased turnover or labor inflation, increase in federal or state minimum wages, or increase in general labor costs, caused by the COVID-19 pandemic or as a result of general macroeconomic factors, could have a material adverse impact on our operations, results of operations, liquidity or cash flows. During 2021, the country experienced an overall tightening and increasingly competitive labor market, and the labor market remained competitive throughout 2022. A sustained labor shortage or increased turnover rates within our employee base, caused by worsening economic conditions, increases in labor costs or the COVID-19 pandemic or other national or international emergencies, could lead to increased costs, such as increased overtime to meet demand and increased salaries and wage rates to attract and retain employees. Further, labor shortages or increased turnover rates could negatively affect our ability to efficiently operate our business if we are unable to hire and retain employees capable of performing at a high-level, or if mitigation measures we take to respond to a decrease in labor availability have unintended negative consequences. If we are unable to hire or retain skilled personnel our results of operations would suffer.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i w:val="1"/>
          <w:iCs w:val="1"/>
          <w:color w:val="auto"/>
        </w:rPr>
        <w:t>We rely on complex information systems for management of our manufacturing, distribution, sales and other functions. If our information systems fail to perform these functions adequately or if we experience an interruption in our operations, including a breach in cyber security, our business, sales, financial condition and results of operations could suffer.</w:t>
      </w:r>
    </w:p>
    <w:p>
      <w:pPr>
        <w:spacing w:after="0" w:line="10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All of our major operations, including manufacturing, distribution, sales and accounting, are dependent upon our complex information systems. Our information systems are vulnerable to damage or interruption from:</w:t>
      </w:r>
    </w:p>
    <w:p>
      <w:pPr>
        <w:spacing w:after="0" w:line="59" w:lineRule="exact"/>
        <w:rPr>
          <w:sz w:val="20"/>
          <w:szCs w:val="20"/>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earthquake, fire, flood, hurricane and other natural disasters;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power loss, computer systems failure, Internet and telecommunications or data network failure;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hackers, computer viruses, ransomware and other malware, software bugs or glitches.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Any damage or significant disruption in the operation of such systems, the failure of our information systems to perform as expected, the failure to successfully integrate the information technology systems of the businesses that we have recently acquired or any security breach to the information systems (including financial or credit/payment frauds) would disrupt our business, which may result in decreased sales, increased overhead costs, excess inventory and product shortages and otherwise adversely affect our reputation, operations, financial performance and condition.</w:t>
      </w:r>
    </w:p>
    <w:p>
      <w:pPr>
        <w:spacing w:after="0" w:line="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information systems are subject to security threats and sophisticated cyber-based attacks, including, but not limited to, denial-of-service attacks, hacking, “phishing” attacks, computer viruses, ransomware, malware, employee or insider error, malfeasance, social engineering, or physical breaches, that can cause deliberate or unintentional damage, create system disruptions, unauthorized acquisition of our or customer information, or destruction or misuse, manipulation, denial of access to or disclosure of confidential or important information. We have experienced, and expect to continue to confront, efforts by hackers and other third parties to gain unauthorized access or deny access to, or otherwise disrupt, our information systems. For example, we were the target of an external cyber-attack in 2021, which resulted in a temporary suspension of services to our customers. To date these incidents have not had a material impact on our reputation, operations, financial performance and condition; however, there is no assurance that such impacts will not be material in the future, and such incidents have in the past and may in the future have the impacts discussed below. Any future successful cyber-attack or catastrophic natural disaster could significantly affect our operating and financial systems and could temporarily disrupt our ability to provide services to our customers, impact our ability to manage our operations and perform vital financial processes, any of which could have a materially adverse effect on our business.</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Moreover, the threat of cyber-attacks is constantly evolving, thereby increasing the difficulty of successfully defending against them or implementing adequate preventative measures and we cannot ensure that we will be able to identify, prevent or contain the effects of future cyber-attacks or other cybersecurity risks that bypass our security measures or disrupt our information technology systems or business. While we have security technologies, processes and procedures in place to protect against cybersecurity risks and security breaches, the hardware, software or applications we develop or procure from third parties may contain defects in design, manufacturer defects or other problems that could unexpectedly compromise information security. In addition, because the techniques used to obtain unauthorized access, disable or degrade service or sabotage systems change frequently, are becoming increasingly sophisticated, and may not immediately produce signs of intrusion, we may be unable to anticipate these techniques, timely discover or counter them or implement adequate preventative measures.</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a result of any such incidents, we could be subject to litigation and regulatory risk, civil and criminal penalties, additional costs and diversion of management attention due to investigation, remediation efforts and engagement of third party consultants and legal counsel in connection with such incidents, payment of “ransoms” to regain access to our systems and information, loss of customers, damage to customer relationships, reduced revenue and profits, refunds of customer charges and damage to our reputation, any of which could have a material adverse effect on our business, cash flows, financial condition and results of operations. While we have contingency plans and insurance coverage for potential liabilities of this nature, they may not be sufficient to cover all claims and liabilities and in some cases are subject to deductibles and layers of self-insured retention.</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Cyber-attacks, unauthorized access to, or accidental disclosure of, consumer personally identifiable information including credit card information, that we collect through our websites may result in significant expense and adversely impact our reputation and business.</w:t>
      </w:r>
    </w:p>
    <w:p>
      <w:pPr>
        <w:spacing w:after="0" w:line="10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There is heightened concern and awareness over the security of personal information transmitted over the Internet, consumer identity theft and user privacy. While we have implemented security measures, our computer systems may nevertheless be susceptible to electronic or physical computer break-ins, viruses and other disruptions and security compromises. Any perceived or actual unauthorized or inadvertent disclosure of personally identifiable information, whether through a compromise of our network by an unauthorized party, employee theft, misuse or error or otherwise, could harm our reputation, impair our ability to attract website visitors, or subject us to claims or litigation arising from damages suffered by consumers, and adversely affect our operations, financial performance and condition.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depend on cash generated from our operations to support our growth, and we may need to raise additional capital, which may not be available on terms acceptable to us, or at all.</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primarily rely on cash flow generated from our sales to fund our current operations and growth initiatives. As we expand our business, we will need significant cash from operations to purchase inventory, increase product development, expand our manufacturer and supplier relationships, pay personnel, pay for the increased costs associated with operating as a public company and further invest in sales and marketing efforts. If our business does not generate sufficient cash flow from operations to fund these activities and sufficient funds are not otherwise available from our current or future credit facility, we may need additional equity or debt financing. If such financing is not available to us on satisfactory terms, our ability to operate and expand our business or to respond to competitive pressures could be harmed. Moreover, if we raise additional capital by issuing equity securities or securities convertible into equity securities, the ownership of our existing stockholders may be diluted. The holders of new securities may also have rights, preferences or privileges which are senior to those of existing holders of our Common Stock. In addition, any indebtedness we incur may subject us to covenants that restrict our operations and will require interest and principal payments that could create additional cash demands and financial risk for us.</w:t>
      </w:r>
    </w:p>
    <w:p>
      <w:pPr>
        <w:spacing w:after="0" w:line="12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indebtedness may limit our ability to invest in the ongoing needs of our business and if we are unable to comply with the covenants in our current credit agreements, our business, sales, financial condition and results of operations could be harmed.</w:t>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November 18, 2021, we entered into a credit facility with a syndicate of lenders and Wells Fargo Bank, N.A., as administrative agent for the lenders, letter of credit issuer and swing line lender (the "Credit Agreement"). On December 31, 2022, $659.4 million in principal was outstanding under the credit facility. We are required to make quarterly payments of principal plus accrued interest. The Credit Agreement imposes various restrictions and contains customary affirmative and restrictive covenants, including, without limitation, certain reporting obligations, certain limitations on restricted payments, and limitations on liens, encumbrances and indebtedness. In addition, borrowings under the Credit Agreement are jointly and severally guaranteed by us and certain of our wholly owned material subsidiaries and our future subsidiaries that become guarantors (collectively the “Loan Parties"). The First Lien Credit Agreement is secured by a first-priority lien on substantially all of the Loan Parties’ assets, in each case subject to certain customary exceptions. If we fail to comply with the covenants or payments specified in the Credit Agreement, the lender could declare an event of default, which would give it the right to declare all borrowings outstanding, together with any accrued and unpaid interest and fees, to be immediately due and payable.</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Credit Agreement places certain conditions on us including, subject to certain conditions, reductions and exceptions, requiring us to utilize a portion of our and our subsidiaries’ cash flow from operations to make payments on our and our subsidiaries’ indebtedness, reducing the availability of cash flow to fund working capital, capital expenditures, development activity, return capital to our stockholders, and other general corporate purposes. Our and our subsidiaries’ compliance with these conditions may limit our and our subsidiaries’ ability to invest in ongoing business needs. For example, complying with these conditions:</w:t>
      </w:r>
    </w:p>
    <w:p>
      <w:pPr>
        <w:spacing w:after="0" w:line="82" w:lineRule="exact"/>
        <w:rPr>
          <w:sz w:val="20"/>
          <w:szCs w:val="20"/>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vulnerability to adverse economic or industry conditions;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limits flexibility in planning for, or reacting to, changes in business or markets;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vulnerability to higher interest rates, as borrowings under the Credit Agreement bear interest at variable rates;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limits our ability to obtain additional financing in the future for working capital or other purposes;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places us at a competitive disadvantage compared to our competitors that have less indebtedness.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Credit Agreement places certain limitations on our and certain of our subsidiaries’ ability to incur additional indebtedness. However, subject to the certain exceptions and baskets in the Credit Agreement, we and our subsidiaries may incur substantial additional indebtedness under and outside of such credit agreement. The Credit Agreement also limits or prohibits, among other things, and in each case, subject to exceptions, materiality thresholds and baskets, our and certain of our subsidiaries’ ability to: (a) pay dividends on, redeem or repurchase stock, or make other distributions; (b) incur or guarantee additional indebtedness; (c) sell stock in certain of our subsidiaries; (d) create or incur liens; (e) make acquisitions or investments; (f) transfer or sell certain assets or merge or consolidate with or into other companies; (g) make certain payments or prepayments of indebtedness subordinated to our obligations under the Credit Agreement; and (h) enter into certain transactions with our affiliates.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to the restrictions described above, the Credit Agreement requires us and certain of our subsidiaries to comply with certain other covenants, including a financial maintenance covenant regarding our total net leverage ratio on the last day of each fiscal quarter, with step downs to lower total net leverage ratio levels at specified times as set forth therein. Failure to comply with these covenants and certain other provisions of the Credit Agreement, or the occurrence of a change of control, could result in an event of default and an acceleration of the Loan Parties’ obligations under the Credit Agreement or other indebtedness that we and our subsidiaries may incur in the future.</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February 2023, the Company entered into an amendment to its Credit Agreement which, among other things, increases the consolidated net leverage ratio financial covenant level applicable under the Credit Agreement as of the fiscal quarter ending March 31, 2023 through the fiscal quarter ending March 31, 2024 (the “Covenant Relief Period”), to initially 7.25:1.00, and provides for modified step-down levels for such covenant thereafter. As an ongoing condition to the Covenant Relief Period, the Company also agreed to (i) a minimum liquidity test, (ii) an interest coverage test, (iii) an anti-cash hoarding test at any time revolving loans are outstanding, and (iv) additional reporting obligations.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such an event of default and acceleration of the Loan Parties’ obligations occurs, subject to intercreditor agreements agreed to by the lenders, the lenders under the Credit Agreement would have the right to proceed against the collateral the Loan Parties granted to them to secure such indebtedness. If the debt under the Credit Agreement were to be accelerated, we and our subsidiaries may not have sufficient cash or be able to sell sufficient collateral to repay this debt, which would immediately and materially harm our and our subsidiaries’ business, sales, financial condition and results of operations. The threat of our debt being accelerated in connection with a change of control could make it more difficult for us to attract potential buyers or to consummate a change of control transaction that would otherwise be beneficial to our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announced upcoming discontinuance of publishing LIBOR rates may impact the cost or availability of financing for us.</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large portion of our variable rate indebtedness ($ 659 million of outstanding principal on December 31, 2022) references the London interbank offered rates ("LIBOR") as a benchmark for establishing the interest rate. LIBOR is expected to be phased out by June 2023. With the expected discontinuation of LIBOR, the U.S. Federal Reserve has begun publishing a Secured Overnight Funding Rate (“SOFR”), an index based on transactions in the Treasury repurchase market. SOFR is a relatively new reference rate and with a limited history, and changes in SOFR have, on occasion, been more volatile than changes in other benchmark or market rates. At this time, it is uncertain whether SOFR or other alternative reference rates may become widely accepted alternatives for LIBOR. Although our LIBOR-based borrowings under our existing credit facility contemplate a transition from LIBOR to an alternative index, there is uncertainty as to the nature of alternative reference rates and as to potential changes relating to the replacement of LIBOR with SOFR. The transition may result in an adverse impact on our interest expense, in which event our available cash flow for general corporate requirements maybe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maintain effective internal controls over financial reporting could harm us.</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internal control over financial reporting. As an emerging growth company, our independent registered public accounting firm will not be required to formally attest to the effectiveness of our internal control over financial reporting pursuant to Section 404 until the date we are no longer an emerging growth company. At such time, our independent registered public accounting firm may issue a report that is adverse in the event that it is not satisfied with the level at which our controls are documented, designed or operating.</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Any failure to maintain internal control over financial reporting, or any failure to fully remediate the existing or any future material weaknesses that may be found to exist, could inhibit our ability to accurately and on a timely basis report our cash flows, results of operations or financial condition in compliance with applicable securities laws.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and Warrants could decline and we could be subject to sanctions or investigations by NYSE, the SEC or other regulatory authorities. Failure to remediate any material weakness in our internal control over financial reporting, or to implement or maintain other effective control systems required of public companies, could also restrict our future access to the capital markets and negatively impact the price and trading market for our Common Stock and Warrants.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acts of fraud.</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in reports filed or submitted under the Exchange Act is accumulated and communicated to management and is recorded, processed, summarized, and reported within the time periods specified in the SEC’s rules and forms. Our management expects that our disclosure controls and procedures and internal controls and procedures, no matter how well conceived and operated, can provide only reasonable, not absolute, assurance that the objectives of the control system are met. Because of the inherent limitations in all control systems, they cannot provide absolute assurance that all control issues and instances of fraud, if any, within our company have been prevented or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an unauthorized override of the controls. The design of any system of controls also is based in part upon certain assumptions about the likelihood of future events, and we cannot assure that any design will succeed in achieving its stated goals under all potential future conditions. Accordingly, because of the inherent limitations in a cost-effective control system, misstatements due to error or fraud may occur and not be detected.</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acquire or invest in other companies, which we may not be able to integrate successfully, and which could divert 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attention, result in dilution to our stockholders, and otherwise disrupt our operations and harm our business, sales, financial condition and results of operations.</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growth has depended, and our future growth is likely to continue to depend, in part, on our acquisition strategy and the successful integration of acquired businesses into our existing operations. We intend to continue to seek acquisition opportunities both to expand into new markets and to enhance our position in existing markets. We cannot assure that we will be able to successfully integrate acquired businesses into our existing operations or expand into new markets. In addition, we cannot assure that any acquisition, once successfully integrated, will perform as planned, be accretive to earnings, or prove to be beneficial to our results of operations or cash flow. Additionally, we may be unable to identify suitable businesses to acquire, which could negatively impact our growth, or we may be unable to complete proposed transactions in a timely matter if we fail to obtain any requisite regulatory approvals.</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future, we may acquire or invest in businesses, products, or technologies that we believe could complement or expand our business, enhance our capabilities, or otherwise offer growth opportunities. The pursuit of potential acquisitions may divert the attention of management and cause us to incur various costs and expenses in identifying, investigating, and pursuing suitable acquisitions, whether or not they are consummated.</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any future acquisitions, we may not be able to successfully integrate acquired personnel, operations, and technologies, or effectively manage the combined business following the acquisition. The success of our acquisition strategy is subject to other risks and uncertainties, including:</w:t>
      </w:r>
    </w:p>
    <w:p>
      <w:pPr>
        <w:spacing w:after="0" w:line="155" w:lineRule="exact"/>
        <w:rPr>
          <w:sz w:val="20"/>
          <w:szCs w:val="20"/>
          <w:color w:val="auto"/>
        </w:rPr>
      </w:pPr>
    </w:p>
    <w:p>
      <w:pPr>
        <w:ind w:left="820" w:hanging="488"/>
        <w:spacing w:after="0" w:line="271"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ability to realize operating efficiencies, synergies or other benefits expected from an acquisition, and possible delays in realizing the benefits of the acquired company or products;</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risks associated with the assumption of product liabilities or contingent or undisclosed liabilities of the acquired company;</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maintaining uniform standards, controls, procedures and policies throughout acquired companies;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retaining key employees, customers or suppliers of the acquired business;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generate future cash flows or the availability of financing;</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incurrence of acquisition-related costs;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acquisition-related litigation;</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capital expenditure requirements; or</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of dilutive equity securities, the incurrence of debt, or the use of cash to fund such acquisitions.</w:t>
      </w:r>
    </w:p>
    <w:p>
      <w:pPr>
        <w:spacing w:after="0" w:line="26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addition, an acquisition could adversely impact our operating performance as a result of the incurrence of acquisition-related debt, pre-acquisition potential tax liabilities, acquisition expenses, amortization of acquisition-related intangible assets, or possible future impairment of goodwill or intangible assets associated with the acquisitions. Even if an acquisition is integrated successfully, it may fail to realize expected revenues, gross and operating margins, net income and other returns.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also face liability with respect to acquired businesses for violations of environment laws occurring prior to the date of acquisition, which may not be covered by environment insurance secured to mitigate the risk or by indemnification from the sellers of the acquired businesses. We could also incur significant costs, including, but not limited to, remediation costs, natural resources damages, civil or criminal fines and sanctions, and third-party claims, as a result of past or future violations of, or liabilities, associated with environmental laws.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members of our management team do not have prior experience in operating a public company.</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Most members of our management team do not have prior experience in managing a publicly traded company. As such, the management team may encounter difficulties in successfully or effectively managing our transition to a public company and in complying with our reporting and other obligations under federal securities laws and other regulations and in connection with operating as a public company. Their lack of prior experience in dealing with the reporting and other obligations and laws pertaining to public companies could result in management being required to devote significant time to these activities which may result in less time being devoted to the management and growth of the Company. In addition, we are hiring additional personnel with the appropriate level of knowledge, experience, and training in the accounting policies, practices or internal controls over financial reporting required of public companies. We may incur significant expense in connection with these efforts.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other intangible assets, or fixed assets become impaired, we may be required to record a charge to earnings.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may be required to record future impairments of goodwill, other intangible assets, or fixed assets to the extent the fair value of these assets falls below their book value. Our estimates of fair value are based on assumptions regarding future cash flows, gross margins, expenses, discount rates applied to these cash flows, and current market estimates of value. Estimates used for future sales growth rates, gross profit performance, and other assumptions used to estimate fair value could cause us to record material non-cash impairment charges, which could harm our financial condition and results of operations.</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third quarter of 2022, we concluded it was necessary to reevaluate goodwill and indefinite-lived intangible assets for impairment after supply chain challenges led to a downward revision of earnings estimates for 2022, which resulted in a decline in our market capitalization. Based on a quantitative assessment in the third quarter of 2022, we identified impairment of $2.4 million on certain indefinite-lived tradenames but did not identify any indicators of goodwill impairment. During the fourth quarter of 2022, we performed our annual impairment test for goodwill, and a quantitative analysis did not identify any indicators of impairment. Based on the annual impairment assessment, the estimated fair value exceeded the carrying value of the reporting unit by 15%. As of December 31, 2022, we concluded it was necessary to reevaluate goodwill for impairment due to a further downward revision of earnings estimates for 2022 and a continued decline in our market capitalization. Accordingly, we performed a qualitative assessment and did not identify any indicators of impairment. Goodwill was $418.1 million as of December 31, 2022, and is considered at higher risk of failing future quantitative impairment tests due to the narrow difference between fair value and carrying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climate change and related regulations could negatively affect our business.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effects of climate change, such as extreme weather conditions, create financial risks to our business. The demand for our products may be affected by extreme weather conditions, such as droughts, wildfires and flooding. These types of extreme weather events have and may continue to adversely impact us, our suppliers, our customers and their ability to purchase our products and our ability to timely receive appropriate raw materials to manufacture and transport our products on a timely basis. The effects of climate change could also disrupt our operations by impacting the availability and cost of materials needed for manufacturing and could increase insurance and other operating costs. We could also face indirect financial risks passed through the supply chain and disruptions that could result in increased prices for our products and the resources needed to produce them.</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Furthermore, the long-term impacts of climate change, whether involving physical risks (such as extreme weather conditions, drought, or rising sea levels) or transition risks (such as regulatory or technology changes) are expected to be widespread and unpredictable. Certain impacts of physical risk may include: temperature changes that increase the heating and cooling costs at our facilities; extreme weather patterns that affect the production or sourcing of certain components; flooding and extreme storms that damage or destroy our buildings and inventory; and heat and extreme weather events that cause long-term disruption or threats to the habitability of our customers’ communities. Relative to transition risk, certain impacts may include: changes in energy and commodity prices driven by climate-related weather events; prolonged climate-related events affecting macroeconomic conditions with related effects on consumer spending and confidence; stakeholder perception of our engagement in climate-related policies; and new regulatory requirements resulting in higher compliance risk and operational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Climate change is continuing to receive ever increasing attention worldwide, which could lead to additional legislative and regulatory efforts to increase transparency and standardization of reporting of greenhouse gas emissions, energy policies, and renewable energy usage. Additionally, new federal or state restrictions on emissions of carbon dioxide that may be imposed on vehicles and automobile fuels could adversely affect demand for vehicles, annual miles driven or the products we sell or lead to changes in automotive technology. Compliance with any new or more stringent laws or regulations, or stricter interpretations of existing laws, could require increased capital expenditures to improve our product portfolio to meet such new laws, regulations and standards.</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i w:val="1"/>
          <w:iCs w:val="1"/>
          <w:color w:val="auto"/>
        </w:rPr>
        <w:t>Increasing scrutiny and evolving expectations with respect to our environmental, social and governance (</w:t>
      </w:r>
      <w:r>
        <w:rPr>
          <w:rFonts w:ascii="Arial" w:cs="Arial" w:eastAsia="Arial" w:hAnsi="Arial"/>
          <w:sz w:val="18"/>
          <w:szCs w:val="18"/>
          <w:color w:val="auto"/>
        </w:rPr>
        <w:t>“</w:t>
      </w:r>
      <w:r>
        <w:rPr>
          <w:rFonts w:ascii="Arial" w:cs="Arial" w:eastAsia="Arial" w:hAnsi="Arial"/>
          <w:sz w:val="18"/>
          <w:szCs w:val="18"/>
          <w:b w:val="1"/>
          <w:bCs w:val="1"/>
          <w:i w:val="1"/>
          <w:iCs w:val="1"/>
          <w:color w:val="auto"/>
        </w:rPr>
        <w:t>ESG</w:t>
      </w:r>
      <w:r>
        <w:rPr>
          <w:rFonts w:ascii="Arial" w:cs="Arial" w:eastAsia="Arial" w:hAnsi="Arial"/>
          <w:sz w:val="18"/>
          <w:szCs w:val="18"/>
          <w:color w:val="auto"/>
        </w:rPr>
        <w:t>”</w:t>
      </w:r>
      <w:r>
        <w:rPr>
          <w:rFonts w:ascii="Arial" w:cs="Arial" w:eastAsia="Arial" w:hAnsi="Arial"/>
          <w:sz w:val="18"/>
          <w:szCs w:val="18"/>
          <w:b w:val="1"/>
          <w:bCs w:val="1"/>
          <w:i w:val="1"/>
          <w:iCs w:val="1"/>
          <w:color w:val="auto"/>
        </w:rPr>
        <w:t>) practices may impose additional costs on us or expose us to new or additional risks.</w:t>
      </w:r>
    </w:p>
    <w:p>
      <w:pPr>
        <w:spacing w:after="0" w:line="1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the increased legislative and regulatory attention to climate change, customer, investor, and employee expectations in ESG have been rapidly evolving and increasing. While we have been committed to continuous improvements to our product portfolio to meet anticipated regulatory standard levels, if customers, regulators or investors demand we increase our greenhouse gas emission or renewable energy disclosures or our ESG initiatives, we may have to implement additional reporting standards and reporting requirements. If we fail to meet customer, investor, or employee expectations, we may be unable to attract or retain our consumer base or talent. Further, there can be no assurance that our commitments will be successful, that our products will be accepted by the market, that proposed regulation or deregulation will not have a negative competitive impact or that economic returns will reflect our investments in new product development.</w:t>
      </w:r>
    </w:p>
    <w:p>
      <w:pPr>
        <w:spacing w:after="0" w:line="17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standards by which ESG efforts and related matters are measured are developing and evolving, and we could be criticized for the scope of our initiatives and goals, or lack thereof. If we fail to comply with the evolving customer or investor or employee expectations and standards, or if we are perceived to have failed to adequately respond to such expectations and standards, we may suffer from reputational damage, which could have an adverse impact on our business or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and Compliance Risks Related to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legal or regulatory proceedings and audits.</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business requires compliance with many laws and regulations, including labor and employment, sales and other taxes, customs, and consumer protection laws and ordinances that regulate retailers generally and/or govern the importation, promotion, and sale of merchandise, and the operation of stores and warehouse facilities. Failure to comply with these laws and regulations could subject us to lawsuits and other proceedings, and could also lead to damage awards, fines, and penalties. We may become involved in a number of legal proceedings and audits, including government and agency investigations, and consumer, employment, tort, and other litigation. The outcome of some of these legal proceedings, audits, and other contingencies could require us to take, or refrain from taking, actions that could harm our operations or require us to pay substantial amounts of money, harming our business, sales, financial condition and results of operations. Additionally, defending against these lawsuits and proceedings may be necessary, which could result in substantial costs and diversion of management’s attention and resources, harming our business, sales, financial condition and results of operations. Any pending or future legal or regulatory proceedings and audits could harm our business, sales, financial condition and results of operations.</w:t>
      </w:r>
    </w:p>
    <w:p>
      <w:pPr>
        <w:spacing w:after="0" w:line="16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become subject to intellectual property claims or lawsuits that could cause us to incur significant costs or pay significant damages or that could prohibit us from selling our products.</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competitors also seek to obtain patent, trademark, copyright or other protection of their proprietary rights and designs for automotive products. From time to time, third parties have claimed or may claim in the future that our products infringe upon their proprietary rights. We evaluate any such claims and, where appropriate, have obtained or sought to obtain licenses or other business arrangements. To date, there have been no significant interruptions in our business as a result of any claims of infringement. However, in the future, intellectual property claims could force us to alter our existing products or withdraw them from the market or could delay the introduction of new products.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Various patents have been issued to our competitors in the automotive parts industry and these competitors may assert that our products infringe their patent or other proprietary rights. If our products are found to infringe third-party intellectual property rights, we may be unable to obtain a license to use such technology, and we could incur substantial costs to redesign our products, withdraw them from the market, and/or to defend legal actions.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Sales of our products by unauthorized retailers or distributors could adversely affect our authorized distribution channels and harm our reputation.</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Some of our products may find their way to unauthorized outlets or distribution channels. This “gray market” for our products can undermine authorized retailers and foreign wholesale distributors who promote and support our products and can injure our brands in the minds of our customers and consumers. On the other hand, stopping such commerce could result in a potential decrease in sales to those customers who are selling our products to unauthorized distributors or an increase in sales returns over historical levels. While we have taken some lawful steps to limit commerce of our products in the “gray market” in both the United States and abroad, we have not stopped such commerce.</w:t>
      </w:r>
    </w:p>
    <w:p>
      <w:pPr>
        <w:spacing w:after="0" w:line="165"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We are subject to environmental, health and safety laws and regulations, which could subject us to liabilities, increase our costs or restrict our operations in the future.</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properties and operations are subject to a number of environmental, health and safety laws and regulations in each of the jurisdictions in which we operate, including, among others, regulations of the California Air Resources Board. These laws and regulations govern, among other things, air emissions, water discharges, handling and disposal of solid and hazardous substances and wastes, soil and groundwater contamination and employee health and safety. Our failure to comply with such environmental, health and safety laws and regulations could result in substantial civil or criminal fines or penalties or enforcement actions, including regulatory or judicial orders enjoining or curtailing operations or requiring remedial or corrective measures, installation of pollution control equipment or other actions.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may also be subject to liability for environmental investigations and cleanups, including at properties that we currently or previously owned or operated, even if such contamination was not caused by us, and we may face claims alleging harm to health or property or natural resource damages arising out of contamination or exposure to hazardous substances. We may also be subject to similar liabilities and claims in connection with locations at which hazardous substances or wastes we have generated have been stored, treated, otherwise managed, or disposed. Environmental conditions at or related to our current or former properties or operations, and/or the costs of complying with current or future environmental, health and safety requirements (which have become more stringent and complex over time) could materially adversely affect our business, sales,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or any failure to comply with, privacy laws, regulations, and standards may adversely affect our business.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Personal privacy and data security have become significant issues in the United States, Europe, and in many other jurisdictions in which we operate. The regulatory framework for privacy and security issues worldwide is rapidly evolving and is likely to remain uncertain for the foreseeable future. Furthermore, federal, state, or foreign government bodies or agencies have in the past adopted, and may in the future adopt, laws and regulations affecting data privacy, all of which may be subject to invalidation by relevant foreign judicial bodies.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Industry organizations also regularly adopt and advocate for new standards in this area. In the United States, these include rules and regulations promulgated under the authority of federal agencies and state attorneys general and legislatures and consumer protection agencies, including, but not limited to, the California Consumer Privacy Act (“CCPA”). Internationally, many jurisdictions in which we operate have established their own data security and privacy legal framework with which we or our customers must comply, including, but not limited to, the European General Data Protection Regulation (“GDPR”), which imposes certain privacy-related obligations and potential penalties and risks upon our business. In many jurisdictions, enforcement actions and consequences for noncompliance are also rising. In addition to government regulation, privacy advocates and industry groups may propose new and different self-regulatory standards that either legally or contractually apply to us. Any inability or perceived inability to adequately address privacy and security concerns, even if unfounded, or comply with applicable privacy and data security laws, regulations, and policies, could result in additional cost and liability to us, damage our reputation and adversely affect our business.</w:t>
      </w:r>
    </w:p>
    <w:p>
      <w:pPr>
        <w:spacing w:after="0" w:line="168"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b w:val="1"/>
          <w:bCs w:val="1"/>
          <w:i w:val="1"/>
          <w:iCs w:val="1"/>
          <w:color w:val="auto"/>
        </w:rPr>
        <w:t>Our insurance policies may not provide adequate levels of coverage against all claims, and we may incur losses that are not covered by our insurance.</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maintain insurance of the type and in amounts that we believe are commercially reasonable and that is available to businesses in our industry. We carry various types of insurance, including general liability, auto liability, workers’ compensation, cyber, and excess umbrella, from highly rated insurance carriers. Market forces beyond our control could limit the scope of the insurance coverage that we can obtain in the future or restrict our ability to buy insurance coverage at reasonable rates. We cannot predict the level of the premiums that we may be required to pay for subsequent insurance coverage, the level of any deductible and/or self- insurance retention applicable thereto, the level of aggregate coverage available or the availability of coverage for specific risks. In the event of a substantial loss, the insurance coverage that we carry may not be sufficient to compensate us for the losses we incur or any costs we are responsible for.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tax law or regulation, effective tax rates and unanticipated tax liabilities could adversely affect our effective income tax rate and profitability.</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subject to income taxes in the United States (federal and state) and various foreign jurisdictions. Our future effective income tax rate could be subject to volatility or adversely affected by a number of factors, including changes in the valuation of deferred tax assets and liabilities, changes in tax laws, regulations, accounting principles, or interpretations and application thereof.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For example, the U.S. government enacted the Inflation Reduction Act which, among other things, imposes a minimum tax on certain corporations with book income of at least $1 billion, subject to certain adjustments, and a 1% excise tax on certain stock buybacks and similar corporate actions. Any of these or similar developments or changes in federal, state, or international tax laws or tax rulings could adversely affect our effective tax rate and our operating results.</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also subject to the continuous examination of our income and other tax returns by the Internal Revenue Service and other tax authorities globally. It is possible that tax authorities may disagree with certain positions we have taken, and an adverse outcome of such a review or audit could have a negative effect on our financial position and operating results. There can be no assurance that the outcomes from such examinations, or changes in tax law or regulation impacting our effective tax rates, will not have an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00"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Certain of our stockholders, including the Holley Stockholder and the Sponsor, may have conflicts of interest with other stockholders and may limit other stockholders' ability to influence corporate matters.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December 31, 2022, the “Holley Stockholder” and the "Sponsor" (together with its affiliates) beneficially own, in the aggregate, approximately 55% of our shares of Common Stock, excluding any Warrants exercisable for Common Stock held by Sponsor or its affiliates (or 57% inclusive of shares of Common Stock underlying Warrants held by Sponsor and its affiliates). As a result of this concentration of stock ownership, these parties acting together have sufficient voting power to effectively control all matters submitted to our stockholders for approval, including director elections and proposed amendments to our certificate of incorporation and bylaws. On July 16, 2021, (the “Closing” and such date, the “Closing Date”), the Company, the Sponsor, certain affiliates of the Sponsor, the Holley Stockholder and Sentinel Capital Partners V, L.P., Sentinel Capital Partners V-A, L.P. and Sentinel Capital Investors V, L.P., controlling affiliates of the Holley Stockholder entered into the Stockholders’ Agreement, pursuant to which the Holley Stockholder and the Sponsor have the right to designate nominees for election to our board of directors subject to certain beneficial ownership requirements.</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this concentration of ownership may delay or prevent a merger, consolidation or other business combination or change in control of our company and make some transactions that might otherwise give stockholders the opportunity to realize a premium over the then-prevailing market price of our securities more difficult or impossible without their support. Because we have opted out of Section 203 of the Delaware General Corporation Law (“DGCL”) regulating certain business combinations with interested stockholders, these parties may transfer their shares of Common Stock and such control of us to a third party, which would not require the approval of our board of directors or other stockholders and may limit the price that investors are willing to pay in the future for shares of our Common Stock. The interests of these parties may not always coincide with our interests as a company or the interests of other stockholders. Accordingly, these parties could cause us to enter into transactions or agreements of which other stockholders may not approve or make decisions with which other stockholders would disagree. This concentration of ownership may also adversely affect the trading prices of our securities.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of the Holley Stockholder and the Sponsor is in the business of making investments in companies and may from time to time acquire and hold interests in businesses that compete directly or indirectly with us. The certificate of incorporation provides that none of the Holley Stockholder, the Sponsor, any of their affiliates or any director who is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Each of the Holley Stockholder and the Sponsor also may pursue acquisition opportunities that may be complementary to our business and, as a result, those acquisition opportunities may not be available to 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Warrants are exercisable for Common Stock, which could increase the number of shares eligible for future resale in the public market and result in dilution to our stockholders.</w:t>
      </w:r>
    </w:p>
    <w:p>
      <w:pPr>
        <w:spacing w:after="0" w:line="12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On December 31, 2022, we had an aggregate of 14,633,311 Warrants issued and outstanding, representing the right to purchase an equivalent amount of shares of Common Stock. The Warrants became exercisable on October 9, 2021. The exercise price of the Warrants is $11.50 per share. To the extent such Warrants are exercised, additional shares of Common Stock will be issued, which will result in dilution to our stockholders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Warrants will ever be in the money prior to their expiration, and as such, the Warrants may expire worthless.</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Warrants may expire worthless, and the terms of the Warrants may be amended in a manner adverse to a holder if holders of at least 50% of the then-outstanding Warrants approve of such amendment.</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Warrant Agreement provides that the terms of the Warrants may be amended without the consent of any holder to cure any ambiguity or correct any defective provision, but it requires the approval by the holders of at least 50% of the then-outstanding Warrants to make any change that adversely affects the interests of the registered holders of the Warrants. Accordingly, we may amend the terms of the Warrants in a manner adverse to a holder if holders of at least 50% of the then-outstanding Warrants approve of such amendment. Although our ability to amend the terms of the Warrants with the consent of at least 50% of the then outstanding Warrants is unlimited, examples of such amendments could be amendments to, among other things, increase the exercise price of the Warrants, shorten the exercise period or decrease the number of Common Stock purchasable upon exercise of a Warrant.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Common Stock and Warrants may be volatile.</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Stock markets, including the NYSE, have from time-to-time experienced significant price and volume fluctuations. Even if an active, liquid and orderly trading market develops and is sustained for Common Stock and Warrants, the market price of Common Stock and Warrants may be volatile and could decline significantly, whether or not any price changes are related to matters specific to us. In addition, the trading volume in Common Stock and Warrants may fluctuate and cause significant price variations to occur. If the market price of Common Stock and Warrants declines significantly, stockholders may be unable to resell shares of Common Stock and Warrants at or above the market price of Common Stock and Warrants. We cannot guarantee that the market price of Common Stock and Warrants will not fluctuate widely or decline significantly in the future in response to a number of factors, including, among others, the following:</w:t>
      </w:r>
    </w:p>
    <w:p>
      <w:pPr>
        <w:spacing w:after="0" w:line="171" w:lineRule="exact"/>
        <w:rPr>
          <w:sz w:val="20"/>
          <w:szCs w:val="20"/>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Annual Report;</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differences in our estimates, or in the estimates of analysts, for our revenues, results of operations, level of indebtedness, liquidity or financial condition;</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comply with the requirements of the NYSE;</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issuances, sales or resales, or anticipated issuances, sales or resales, of Common Stock;</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perceptions of the investment opportunity associated with Common Stock relative to other investment alternatives;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performance and market valuations of other similar companies;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broad disruptions in the financial markets, including sudden disruptions in the credit markets;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63" w:lineRule="exact"/>
        <w:rPr>
          <w:rFonts w:ascii="Arial" w:cs="Arial" w:eastAsia="Arial" w:hAnsi="Arial"/>
          <w:sz w:val="18"/>
          <w:szCs w:val="18"/>
          <w:color w:val="auto"/>
        </w:rPr>
      </w:pPr>
    </w:p>
    <w:p>
      <w:pPr>
        <w:jc w:val="both"/>
        <w:ind w:left="820" w:hanging="488"/>
        <w:spacing w:after="0" w:line="253"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inflation, labor shortages, disruption of the supply chain, interest rates, fuel prices and other transportation costs, international currency fluctuations, geopolitical instability and acts of war (such as the ongoing conflict in Ukraine) or terrorism.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past, securities class-action litigation has often been instituted against companies following periods of volatility in the market price of their securities. This type of litigation could result in substantial costs and divert our management’s attention and resources, which could have a material adverse effect on us.</w:t>
      </w:r>
    </w:p>
    <w:p>
      <w:pPr>
        <w:spacing w:after="0" w:line="15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market price and trading volume of Common Stock and Warrants.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market for Common Stock and Warrants depends in part on the research and reports that securities or industry analysts publish about us or our business. Securities research analysts may establish and publish their own periodic projections for Holley.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demand for Common Stock and Warrants could decrease, which might cause the market price and trading volume of our Common Stock and Warrants to decline significantly.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and Warrants in the public market could cause our stock price to fall.</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December 31, 2022, the Holley Stockholder and the Sponsor (together with its affiliates) beneficially own, in the aggregate, approximately 55% of our shares of Common Stock, excluding any warrants exercisable for Common Stock held by Sponsor or its affiliates (or 57% inclusive of shares of Common Stock underlying Warrants held by Sponsor and its affiliates). All shares held by our affiliates are eligible for resale in the public market, subject to applicable securities laws, including the Securities Act. Therefore, unless shares owned by any of our affiliates are registered under the Securities Act, these shares may only be resold into the public markets in accordance with the requirements of an exemption from registration or safe harbor, including Rule 144 and the volume limitations, manner of sale requirements and notice requirements thereof. However, pursuant to the terms the Amended and Restated Registration Rights Agreement, of which the Company entered into with the Sponsor and the Holley Stockholder at the closing of the Business Combination, the Sponsor and the Holley Stockholder have the right to demand that we register their shares under the Securities Act as well as the right to include their shares in any registration statement that we file with the SEC, subject to certain exceptions. The registration statement, which was filed pursuant to these registration rights, and any registration of other shares we may file in the future, enables those securities to be sold in the public market. Any sale by the Holley Stockholder, the Sponsor or other affiliates and stockholders, or any perception in the public markets that such a transaction may occur could cause the market price of our Common Stock and Warrants to decline materially.</w:t>
      </w:r>
    </w:p>
    <w:p>
      <w:pPr>
        <w:spacing w:after="0" w:line="16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the Warrant holders, thereby making the Warrants worthless.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the ability to redeem outstanding Warrants at any time prior to their expiration, at a price of $0.01 per Warrant, provided that the last reported sales price of Common Stock equals or exceeds $ 18.00 per share (as adjusted for stock splits, stock dividends, reorganizations, recapitalizations and the like) on the trading day prior to the date on which we send the notice of redemption to the Warrant holders.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blue-sky laws of the state of residence in those states in which the Warrants were offered. Redemption of the outstanding Warrants could force stockholders (i) to exercise the Warrants and pay the exercise price therefor at a time when it may be disadvantageous to do so, (ii) to sell the Warrants at the then-current market price when stockholders might otherwise wish to hold the Warrants or (iii) to accept the nominal redemption price which, at the time the outstanding Warrants are called for redemption, is likely to be substantially less than the market value of the Warrants. None of the Private Warrants will be redeemable by us so long as they are held by the Sponsor, or its permitted transferees.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i w:val="1"/>
          <w:iCs w:val="1"/>
          <w:color w:val="auto"/>
        </w:rPr>
        <w:t>The NYSE may delist our securities from trading on its exchange, which could limit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make transactions in our securities and subject us to additional trading restrictions.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and Warrants are currently listed on NYSE. We cannot assure that our securities will continue to be listed on the NYSE.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order to continue listing our securities on the NYSE, we will be required to maintain certain financial, distribution and stock price levels.</w:t>
      </w:r>
    </w:p>
    <w:p>
      <w:pPr>
        <w:spacing w:after="0"/>
        <w:rPr>
          <w:sz w:val="20"/>
          <w:szCs w:val="20"/>
          <w:color w:val="auto"/>
        </w:rPr>
      </w:pPr>
      <w:r>
        <w:rPr>
          <w:rFonts w:ascii="Arial" w:cs="Arial" w:eastAsia="Arial" w:hAnsi="Arial"/>
          <w:sz w:val="18"/>
          <w:szCs w:val="18"/>
          <w:color w:val="auto"/>
        </w:rPr>
        <w:t>Generally, we will be required to maintain a minimum amount in stockholders’ equity.</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the NYSE delists our securities from trading on its exchange for failure to meet the exchange's continued listing standards or otherwise, and we are not able to list our securities on another national securities exchange, our securities could be quoted on an over-the-counter market, but no assurance of this can be given. If this were to occur, we and our stockholders could face significant material adverse consequences including:</w:t>
      </w:r>
    </w:p>
    <w:p>
      <w:pPr>
        <w:spacing w:after="0" w:line="160" w:lineRule="exact"/>
        <w:rPr>
          <w:sz w:val="20"/>
          <w:szCs w:val="20"/>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63" w:lineRule="exact"/>
        <w:rPr>
          <w:rFonts w:ascii="Arial" w:cs="Arial" w:eastAsia="Arial" w:hAnsi="Arial"/>
          <w:sz w:val="18"/>
          <w:szCs w:val="18"/>
          <w:color w:val="auto"/>
        </w:rPr>
      </w:pPr>
    </w:p>
    <w:p>
      <w:pPr>
        <w:ind w:left="820" w:right="20" w:hanging="488"/>
        <w:spacing w:after="0" w:line="271"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Since our Common Stock and Warrants are listed on the NYSE, they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the NYSE, our securities would not be covered securities and we would be subject to regulation in each state in which we offer our securities.</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Future issuances of debt securities and equity securities may adversely affect us, including the market price of Common Stock and may be dilutive to existing stockholders.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is no assurance that we will not incur debt or issue equity ranking senior to Common Stock. Those securities will generally have priority upon liquidation. Such securities also may be governed by an indenture or other instrument containing covenants restricting their operating flexibility. Additionally, any convertible or exchangeable securities that the Company issues in the future may have rights, preferences and privileges more favorable than those of Common Stock. Separately, additional financing may not be available on favorable terms, or at all.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Common Stock and be dilutive to existing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i w:val="1"/>
          <w:iCs w:val="1"/>
          <w:color w:val="auto"/>
        </w:rPr>
        <w:t xml:space="preserve">The JOBS Act permits </w:t>
      </w:r>
      <w:r>
        <w:rPr>
          <w:rFonts w:ascii="Arial" w:cs="Arial" w:eastAsia="Arial" w:hAnsi="Arial"/>
          <w:sz w:val="18"/>
          <w:szCs w:val="18"/>
          <w:color w:val="auto"/>
        </w:rPr>
        <w:t>“</w:t>
      </w:r>
      <w:r>
        <w:rPr>
          <w:rFonts w:ascii="Arial" w:cs="Arial" w:eastAsia="Arial" w:hAnsi="Arial"/>
          <w:sz w:val="18"/>
          <w:szCs w:val="18"/>
          <w:b w:val="1"/>
          <w:bCs w:val="1"/>
          <w:i w:val="1"/>
          <w:iCs w:val="1"/>
          <w:color w:val="auto"/>
        </w:rPr>
        <w:t>emerging growth companies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like us to take advantage of certain exemptions from various reporting requirements applicable to other public companies that are not emerging growth companies.</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the fifth anniversary of our initial public offering, (b) in which we have total annual gross revenue of at least $1.235 billion or (c) in which we are deemed to be a large accelerated filer, which means the market value of the Common Stock and Warrants that are held by non-affiliates exceeds $700 million as of the last business day of our prior second fiscal quarter, and (ii) the date on which we have issued more than $1.0 billion in non-convertible debt during the prior three-year period.</w:t>
      </w:r>
    </w:p>
    <w:p>
      <w:pPr>
        <w:spacing w:after="0" w:line="1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cannot predict if investors will find our Common Stock and Warrants less attractive because we will rely on these exemptions. If some investors find our Common Stock and Warrants less attractive as a result, there may be a less active trading market for our Common Stock, and Warrants and more stock price volatility.</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Delaware law and our certificate of incorporation and bylaws contain certain provisions, including anti- takeover provisions that limit the ability of stockholders to take certain actions and could delay or discourage takeover attempts that stockholders may consider favorable.</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certificate of incorporation, bylaws and the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the certificate of incorporation and bylaws include provisions regarding:</w:t>
      </w:r>
    </w:p>
    <w:p>
      <w:pPr>
        <w:spacing w:after="0" w:line="171" w:lineRule="exact"/>
        <w:rPr>
          <w:sz w:val="20"/>
          <w:szCs w:val="20"/>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prevent stockholders from acting by written consent;</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the ability of stockholders to amend our certificate of incorporation;</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the ability of stockholders to remove directors;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of stockholders;</w:t>
      </w:r>
    </w:p>
    <w:p>
      <w:pPr>
        <w:spacing w:after="0" w:line="36" w:lineRule="exact"/>
        <w:rPr>
          <w:rFonts w:ascii="Arial" w:cs="Arial" w:eastAsia="Arial" w:hAnsi="Arial"/>
          <w:sz w:val="18"/>
          <w:szCs w:val="18"/>
          <w:color w:val="auto"/>
        </w:rPr>
      </w:pPr>
    </w:p>
    <w:p>
      <w:pPr>
        <w:ind w:left="820" w:right="20" w:hanging="488"/>
        <w:spacing w:after="0" w:line="271"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the board of directors to issue shares of preferred stock, including “blank check” preferred stock and to determine the price and other terms of those shares, including preferences and voting rights, without stockholder;</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certificate of incorporation prohibits cumulative voting in the election of directors;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our directors and officers;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the board of directors to amend the bylaws; and</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the board of directors or to propose matters to be acted upon at a stockholders’ meeting.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These provisions, alone or together, could discourage, delay or prevent hostile takeovers and changes in control, including transactions in which the acquirer may offer a premium price for our Common Stock and Warrants, or changes in our board of directors or management.</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our Incentive Plan provides for accelerated vesting of awards that are assumed or substituted in connection with a change in control of the Company as a result of the change in control if a participant experiences a qualifying termination within two years following the change in control, which could discourage, delay or prevent a merger or acquisition at a premium price.</w:t>
      </w:r>
    </w:p>
    <w:p>
      <w:pPr>
        <w:spacing w:after="0" w:line="15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provisions of the certificate of incorporation requiring exclusive forum in the Court of Chancery of the State of Delaware for certain types of lawsuits may have the effect of discouraging lawsuits against our directors and officers.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certificate of incorporation provides that, unless we select or consent in writing to the selection of an alternative forum, to the fullest extent permitted by the applicable law: (a) the sole and exclusive forum for any complaint asserting any internal corporate claims, to the fullest extent permitted by law, and subject to applicable jurisdictional requirements, shall be the Court of Chancery of the State of Delaware (or, if the Court of Chancery does not have, or declines to accept, jurisdiction, another state court or a federal court located within the State of Delaware); and (b) the sole and exclusive forum for any complaint asserting a cause of action arising under the Securities Act of 1933, to the fullest extent permitted by law, shall be the federal district courts of the United States of America. For purposes of the foregoing, “internal corporate claims” means claims, including claims in the right of the Company that are based upon a violation of a duty by a current or former director, officer, employee or stockholder in such capacity, or as to which the DGCL confers jurisdiction upon the Court of Chancery. Any person or entity purchasing or otherwise acquiring any interest in any shares of Common Stock will be deemed to have consented to (i) the personal jurisdiction of the state and federal courts located within the State of Delaware in connection with any action brought in any such court to enforce the certificate of incorporation’s exclusive forum provision (an “FSC Enforcement Action”), and (ii) having service of process made upon such holder of Common Stock in any such FSC Enforcement Action by service upon such holder of Common Stock’s counsel in such action as agent for such holder of Common Stock.</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the certificate of incorporation to be inapplicable or unenforceable in such action.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corporate headquarters is located at 1801 Russellville Rd, Bowling Green, Kentucky 42101. We own the property and building where our headquarters is located. Our facility is approximately 200,000 square feet and includes approximately 69,000 square feet for corporate office space, 89,000 square feet for manufacturing and approximately 42,000 square feet for product shipment and delivery acceptance.</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 number of locations across the United States, Canada and Italy that serve multiple functions, including distribution, engineering, manufacturing, office space, R&amp;D, and retail sales. We have 14 facilities that perform manufacturing of our products and 13 distribution locations. We also have 18 R&amp;D/Engineering facilities designed to grow our new product innovations.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currently not a party to any legal proceedings that would be expected to have a material adverse effect on our business or financial condition. From time to time, we are subject to litigation incidental to our business, as well as other litigation of a non-material nature in the ordinary course of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w:t>
      </w:r>
      <w:r>
        <w:rPr>
          <w:rFonts w:ascii="Arial" w:cs="Arial" w:eastAsia="Arial" w:hAnsi="Arial"/>
          <w:sz w:val="18"/>
          <w:szCs w:val="18"/>
          <w:color w:val="auto"/>
        </w:rPr>
        <w:t>’</w:t>
      </w:r>
      <w:r>
        <w:rPr>
          <w:rFonts w:ascii="Arial" w:cs="Arial" w:eastAsia="Arial" w:hAnsi="Arial"/>
          <w:sz w:val="18"/>
          <w:szCs w:val="18"/>
          <w:b w:val="1"/>
          <w:bCs w:val="1"/>
          <w:color w:val="auto"/>
        </w:rPr>
        <w:t>s Common Equity, Related Stockholder Matters and Issuer Purchases of Equity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5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principal market on which our common stock and warrants are listed for trading is the New York Stock Exchange. Our common stock and warrants trade under the symbols “HLLY” and “HLLY WS,”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As of March 14, 2023, there were approximately 20 stockholders of record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never declared or paid any cash dividends on our capital stock, and we do not currently anticipate paying any cash dividends in the foreseeable future. We may consider declaring and paying a cash dividend in the future; however, there can be no assurance that we will do so.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Repurchase of Equity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Except as previously disclosed in a Current Report on Form 8-K, no unregistered sales of the Company’s equity securities were made during the year ended December 31,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 Performance Graph</w:t>
      </w:r>
    </w:p>
    <w:p>
      <w:pPr>
        <w:spacing w:after="0" w:line="14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following graph shows a comparison from July 16, 2021 (the date the Company’s common stock commenced trading on the NYSE) through December 31, 2022, of the cumulative total return for the Company's common stock, the Standard &amp; Poor's 500 Stock Index (S&amp;P 500 Index), and the Standard &amp; Poor’s Consumer Discretionary (Sector) Index. The graph assumes that $100 was invested in the Company’s common stock at the close of the market on July 16, 2021. In the case of the S&amp;P 500 Index and the S&amp;P Consumer Discretionary Index, the graph assumes that $ 100 was invested at the close of the market on June 30, 2021 and assumes reinvestments of dividends.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5340350" cy="3188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035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Unless the context requires otherwise, references to </w:t>
      </w:r>
      <w:r>
        <w:rPr>
          <w:rFonts w:ascii="Arial" w:cs="Arial" w:eastAsia="Arial" w:hAnsi="Arial"/>
          <w:sz w:val="18"/>
          <w:szCs w:val="18"/>
          <w:color w:val="auto"/>
        </w:rPr>
        <w:t>“</w:t>
      </w:r>
      <w:r>
        <w:rPr>
          <w:rFonts w:ascii="Arial" w:cs="Arial" w:eastAsia="Arial" w:hAnsi="Arial"/>
          <w:sz w:val="18"/>
          <w:szCs w:val="18"/>
          <w:i w:val="1"/>
          <w:iCs w:val="1"/>
          <w:color w:val="auto"/>
        </w:rPr>
        <w:t>Holley,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the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section are to the business and operations of Holley Inc. The following discussion and analysis should be read in conjunction with Holley</w:t>
      </w:r>
      <w:r>
        <w:rPr>
          <w:rFonts w:ascii="Arial" w:cs="Arial" w:eastAsia="Arial" w:hAnsi="Arial"/>
          <w:sz w:val="18"/>
          <w:szCs w:val="18"/>
          <w:color w:val="auto"/>
        </w:rPr>
        <w:t>’</w:t>
      </w:r>
      <w:r>
        <w:rPr>
          <w:rFonts w:ascii="Arial" w:cs="Arial" w:eastAsia="Arial" w:hAnsi="Arial"/>
          <w:sz w:val="18"/>
          <w:szCs w:val="18"/>
          <w:i w:val="1"/>
          <w:iCs w:val="1"/>
          <w:color w:val="auto"/>
        </w:rPr>
        <w:t>s consolidated financial statements and related notes thereto included in this Annual Report on Form 10-K. In addition to historical information, this discussion contains forward-looking statements that involve risks, uncertainties, and assumptions that could cause Holley</w:t>
      </w:r>
      <w:r>
        <w:rPr>
          <w:rFonts w:ascii="Arial" w:cs="Arial" w:eastAsia="Arial" w:hAnsi="Arial"/>
          <w:sz w:val="18"/>
          <w:szCs w:val="18"/>
          <w:color w:val="auto"/>
        </w:rPr>
        <w:t>’</w:t>
      </w:r>
      <w:r>
        <w:rPr>
          <w:rFonts w:ascii="Arial" w:cs="Arial" w:eastAsia="Arial" w:hAnsi="Arial"/>
          <w:sz w:val="18"/>
          <w:szCs w:val="18"/>
          <w:i w:val="1"/>
          <w:iCs w:val="1"/>
          <w:color w:val="auto"/>
        </w:rPr>
        <w:t>s actual results to differ materially from 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expectations. Factors that could cause such differences are discussed herein and under the caption,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 designer, marketer, and manufacturer of high-performance automotive aftermarket products serving car and truck enthusiasts, with sales, processing, and distribution facilities reaching most major markets in the United States, Canada, Europe and China. Holley designs, markets, manufactures and distributes a diversified line of performance automotive products including fuel injection systems, tuners, exhaust products, carburetors, safety equipment and various other performance automotive products. Our products are designed to enhance street, off-road, recreational and competitive vehicle performance and safety.</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Innovation is at the core of our business and growth strategy with approximately 34% of our 2022 sales coming from products introduced by us into the market since 2017. 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we have historically used strategic acquisitions to (i) expand our brand portfolio, (ii) enter new product categories and consumer segments, (iii) increase DTC scale and connection, (iv) expand share in current product categories and (v) realize value-enhancing revenue and cost synergies. While we believe our business is positioned for continued organic growth, we intend to continue evaluating opportunities for strategic acquisitions that would complement our current business and expand our addressable target market.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and in the section of this Form 10-K titled “Risk Factors.”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July 16, 2021, we consummated a business combination (“Business Combination”) pursuant to that certain Agreement and Plan of Merger dated March 11, 2021, (the “Merger Agreement”), by and among Empower Ltd., (“Empower”), Empower Merger Sub I Inc., a direct wholly owned subsidiary of Empower (“Merger Sub I”), Empower Merger Sub II LLC, a direct wholly owned subsidiary of Empower (“Merger Sub II”), and Holley Intermediate Holdings, Inc. ("Holdings").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Merger Agreement provided for, among other things, the following transactions: (i) Merger Sub I merged with and into Holdings, the separate corporate existence of Merger Sub I ceased and Holdings became the surviving corporation, and (ii) Holdings merged with and into Merger Sub II, the separate corporate existence of Holdings ceased, and Merger Sub II became the surviving limited liability company. Upon closing, Empower changed its name to Holley Inc. and its trading symbol on the New York Stock Exchange (the “NYSE”) from “EMPW” to “HLLY.”</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Business Combination was accounted for as a reverse recapitalization. Holdings was deemed the accounting acquirer with Holley Inc. as the successor registrant. As such, Empower was treated as the acquired company for financial reporting purposes, and financial statements for periods prior to the Business Combination are those of Holdings.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a result of the Business Combination, Holley Inc. listed on the NYSE, which required us to hire additional personnel and implement procedures and processes to address public company regulatory requirements and customary practices. We have incurred and expect to continue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Holley has historically pursued a growth strategy through both organic growth and acquisitions. The Company has pursued acquisitions that it believes will help drive profitability, cash flow and stockholder value. Holley targets companies that are market leaders, expand the Company’s geographic presence, provide a highly synergistic opportunity and/or enhance Holley’s ability to provide a wide array of its products to its customers through its distribution network.</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From 2020 through 2022, Holley completed 15 acquisitions. The most significant of these acquisitions impacting the comparability of our operating results were:</w:t>
      </w:r>
    </w:p>
    <w:p>
      <w:pPr>
        <w:spacing w:after="0" w:line="140" w:lineRule="exact"/>
        <w:rPr>
          <w:sz w:val="20"/>
          <w:szCs w:val="20"/>
          <w:color w:val="auto"/>
        </w:rPr>
      </w:pPr>
    </w:p>
    <w:p>
      <w:pPr>
        <w:jc w:val="both"/>
        <w:ind w:left="820" w:hanging="488"/>
        <w:spacing w:after="0" w:line="253"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Baer, Inc.</w:t>
      </w:r>
      <w:r>
        <w:rPr>
          <w:rFonts w:ascii="Arial" w:cs="Arial" w:eastAsia="Arial" w:hAnsi="Arial"/>
          <w:sz w:val="18"/>
          <w:szCs w:val="18"/>
          <w:color w:val="auto"/>
        </w:rPr>
        <w:t>: On December 23, 2021, Holley acquired Baer, Inc. doing business as Baer Brakes, a developer and supplier of brakes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brake systems. This acquisition moves Holley closer to its goals of providing complete vehicle solutions by adding a new product category and brake system expertise.</w:t>
      </w:r>
    </w:p>
    <w:p>
      <w:pPr>
        <w:spacing w:after="0" w:line="20" w:lineRule="exact"/>
        <w:rPr>
          <w:rFonts w:ascii="Arial" w:cs="Arial" w:eastAsia="Arial" w:hAnsi="Arial"/>
          <w:sz w:val="18"/>
          <w:szCs w:val="18"/>
          <w:color w:val="auto"/>
        </w:rPr>
      </w:pPr>
    </w:p>
    <w:p>
      <w:pPr>
        <w:jc w:val="both"/>
        <w:ind w:left="820" w:hanging="488"/>
        <w:spacing w:after="0" w:line="231" w:lineRule="auto"/>
        <w:tabs>
          <w:tab w:leader="none" w:pos="820" w:val="left"/>
        </w:tabs>
        <w:numPr>
          <w:ilvl w:val="0"/>
          <w:numId w:val="22"/>
        </w:numPr>
        <w:rPr>
          <w:rFonts w:ascii="Arial" w:cs="Arial" w:eastAsia="Arial" w:hAnsi="Arial"/>
          <w:sz w:val="22"/>
          <w:szCs w:val="22"/>
          <w:color w:val="auto"/>
        </w:rPr>
      </w:pPr>
      <w:r>
        <w:rPr>
          <w:rFonts w:ascii="Arial" w:cs="Arial" w:eastAsia="Arial" w:hAnsi="Arial"/>
          <w:sz w:val="18"/>
          <w:szCs w:val="18"/>
          <w:b w:val="1"/>
          <w:bCs w:val="1"/>
          <w:i w:val="1"/>
          <w:iCs w:val="1"/>
          <w:color w:val="auto"/>
        </w:rPr>
        <w:t>Brothers Mail Order Industries, Inc.</w:t>
      </w:r>
      <w:r>
        <w:rPr>
          <w:rFonts w:ascii="Arial" w:cs="Arial" w:eastAsia="Arial" w:hAnsi="Arial"/>
          <w:sz w:val="18"/>
          <w:szCs w:val="18"/>
          <w:color w:val="auto"/>
        </w:rPr>
        <w:t>: On December 16, 2021, Holley acquired Brothers Mail Order Industries, Inc., doing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Brothers Trucks, a distributor of Classic and Custom vehicle restoration parts serving the Chevrolet and GMC truck aftermarket. This acquisition increases Holley’s offering in truck and SUV appearance items.</w:t>
      </w:r>
    </w:p>
    <w:p>
      <w:pPr>
        <w:spacing w:after="0" w:line="33" w:lineRule="exact"/>
        <w:rPr>
          <w:rFonts w:ascii="Arial" w:cs="Arial" w:eastAsia="Arial" w:hAnsi="Arial"/>
          <w:sz w:val="22"/>
          <w:szCs w:val="22"/>
          <w:color w:val="auto"/>
        </w:rPr>
      </w:pPr>
    </w:p>
    <w:p>
      <w:pPr>
        <w:jc w:val="both"/>
        <w:ind w:left="820" w:hanging="488"/>
        <w:spacing w:after="0" w:line="231" w:lineRule="auto"/>
        <w:tabs>
          <w:tab w:leader="none" w:pos="820" w:val="left"/>
        </w:tabs>
        <w:numPr>
          <w:ilvl w:val="0"/>
          <w:numId w:val="22"/>
        </w:numPr>
        <w:rPr>
          <w:rFonts w:ascii="Arial" w:cs="Arial" w:eastAsia="Arial" w:hAnsi="Arial"/>
          <w:sz w:val="22"/>
          <w:szCs w:val="22"/>
          <w:color w:val="auto"/>
        </w:rPr>
      </w:pPr>
      <w:r>
        <w:rPr>
          <w:rFonts w:ascii="Arial" w:cs="Arial" w:eastAsia="Arial" w:hAnsi="Arial"/>
          <w:sz w:val="18"/>
          <w:szCs w:val="18"/>
          <w:b w:val="1"/>
          <w:bCs w:val="1"/>
          <w:i w:val="1"/>
          <w:iCs w:val="1"/>
          <w:color w:val="auto"/>
        </w:rPr>
        <w:t>Advance Engine Management Inc.</w:t>
      </w:r>
      <w:r>
        <w:rPr>
          <w:rFonts w:ascii="Arial" w:cs="Arial" w:eastAsia="Arial" w:hAnsi="Arial"/>
          <w:sz w:val="18"/>
          <w:szCs w:val="18"/>
          <w:color w:val="auto"/>
        </w:rPr>
        <w:t>: On April 14, 2021, Holley acquired Advance Engine Management Inc., doing business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AEM Performance Electronics, a developer and supplier of electronic control and monitoring systems for performance automotive applications. This acquisition increases Holley’s penetration into the import and other sport compact cars submarket.</w:t>
      </w:r>
    </w:p>
    <w:p>
      <w:pPr>
        <w:spacing w:after="0" w:line="33" w:lineRule="exact"/>
        <w:rPr>
          <w:rFonts w:ascii="Arial" w:cs="Arial" w:eastAsia="Arial" w:hAnsi="Arial"/>
          <w:sz w:val="22"/>
          <w:szCs w:val="22"/>
          <w:color w:val="auto"/>
        </w:rPr>
      </w:pPr>
    </w:p>
    <w:p>
      <w:pPr>
        <w:jc w:val="both"/>
        <w:ind w:left="820" w:hanging="488"/>
        <w:spacing w:after="0" w:line="231" w:lineRule="auto"/>
        <w:tabs>
          <w:tab w:leader="none" w:pos="820" w:val="left"/>
        </w:tabs>
        <w:numPr>
          <w:ilvl w:val="0"/>
          <w:numId w:val="22"/>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Simpson Performance Products: </w:t>
      </w:r>
      <w:r>
        <w:rPr>
          <w:rFonts w:ascii="Arial" w:cs="Arial" w:eastAsia="Arial" w:hAnsi="Arial"/>
          <w:sz w:val="18"/>
          <w:szCs w:val="18"/>
          <w:color w:val="auto"/>
        </w:rPr>
        <w:t>On November 16, 2020, Holley acquired Simpson Performance Products, Inc. (“Simpson”),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designer and seller of motorsport safety products including helmets head &amp; neck restraints, seat belts, fire suits and more. This acquisition extended Holley’s footprint into the safety and racing segment.</w:t>
      </w:r>
    </w:p>
    <w:p>
      <w:pPr>
        <w:spacing w:after="0" w:line="33" w:lineRule="exact"/>
        <w:rPr>
          <w:rFonts w:ascii="Arial" w:cs="Arial" w:eastAsia="Arial" w:hAnsi="Arial"/>
          <w:sz w:val="22"/>
          <w:szCs w:val="22"/>
          <w:color w:val="auto"/>
        </w:rPr>
      </w:pPr>
    </w:p>
    <w:p>
      <w:pPr>
        <w:jc w:val="both"/>
        <w:ind w:left="820" w:hanging="488"/>
        <w:spacing w:after="0" w:line="231" w:lineRule="auto"/>
        <w:tabs>
          <w:tab w:leader="none" w:pos="820" w:val="left"/>
        </w:tabs>
        <w:numPr>
          <w:ilvl w:val="0"/>
          <w:numId w:val="22"/>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Drake Automotive Group: </w:t>
      </w:r>
      <w:r>
        <w:rPr>
          <w:rFonts w:ascii="Arial" w:cs="Arial" w:eastAsia="Arial" w:hAnsi="Arial"/>
          <w:sz w:val="18"/>
          <w:szCs w:val="18"/>
          <w:color w:val="auto"/>
        </w:rPr>
        <w:t>On November 11, 2020, Holley acquired Drake Automotive Group LLC (“Drake”), a designer and seller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automotive aftermarket appearance parts, wheels, chassis &amp; suspension products and accessories. This acquisition increases Holley’s penetration within the Ford/Mustang platform where it has historically been under indexed relative to the market.</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The acquisitions have all been accounted for in accordance with Financial Accounting Standards Board ("FASB")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the operations of the acquired entities are included in our historical results for the periods following the closing of the acquisition. See Note 1, “</w:t>
      </w:r>
      <w:r>
        <w:rPr>
          <w:rFonts w:ascii="Arial" w:cs="Arial" w:eastAsia="Arial" w:hAnsi="Arial"/>
          <w:sz w:val="18"/>
          <w:szCs w:val="18"/>
          <w:i w:val="1"/>
          <w:iCs w:val="1"/>
          <w:color w:val="auto"/>
        </w:rPr>
        <w:t>Description of the Business, Basis of Presentation, and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and Note 2, “</w:t>
      </w:r>
      <w:r>
        <w:rPr>
          <w:rFonts w:ascii="Arial" w:cs="Arial" w:eastAsia="Arial" w:hAnsi="Arial"/>
          <w:sz w:val="18"/>
          <w:szCs w:val="18"/>
          <w:i w:val="1"/>
          <w:iCs w:val="1"/>
          <w:color w:val="auto"/>
        </w:rPr>
        <w:t>Business Combination and Acquisitions</w:t>
      </w:r>
      <w:r>
        <w:rPr>
          <w:rFonts w:ascii="Arial" w:cs="Arial" w:eastAsia="Arial" w:hAnsi="Arial"/>
          <w:sz w:val="18"/>
          <w:szCs w:val="18"/>
          <w:color w:val="auto"/>
        </w:rPr>
        <w:t>,” in the Notes to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elsewhere in this Annual Report on Form 10-K for additional information related to the Company’s acquisitions and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COVID-19 has adversely impacted global supply chain and general economic conditions. The Company has continued to experience disruptions and higher costs in manufacturing, supply chain, logistical operations, and shortages of certain Company products in distribution channels. The full extent of COVID-19's effect on the Company's operational and financial performance in the future will depend on future developments, including but not limited to the duration, spread, intensity and phase of the pandemic in various countries; the emergence of COVID-19 variants and the utilization and effectiveness of treatments and vaccines against these variants; the further impact of COVID-19 on the global economy; and demand for the Company's products and services. Should the ongoing COVID-19 pandemic not improve, or worsen, or if the Company's attempt to mitigate its impact on its supply chain, operations and costs is not successful, the Company's business, results of operations, and financial condition may be adversely affected.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for additional discussion on the COVID-19 pandemic and the impact on our business.</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business and results of operations, financial condition, and liquidity are impacted by broad economic conditions including inflation, labor shortages, and disruption of the supply chain, as well as by geopolitical events, specifically the conflict in Ukraine. The Company's operations have been adversely impacted by inflationary pressures primarily related to transportation, labor and component costs. Sales growth in certain products has been constrained by continuing supply chain challenges and automotive electronic component shortages. In response to the global supply chain volatility and inflationary impacts, the Company has attempted to minimize potential adverse impacts on its business with cost savings initiatives, price increases to customers, and by increasing inventory levels of certain products and working closely with its suppliers and customers to minimize disruptions in delivering products to customers. The Company's profitability has been, and may continue to be, adversely affected by constrained consumer demand, a shift in sales to lower-margin products, and demands on our performance that increased our costs.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principal activity from which the Company generates its sales is the designing, marketing, manufacturing and distribution of performance aftermarket automotive parts for its end consumers. Sales are displayed net of rebates and sales returns allowances. Sales returns are recorded as a charge against gross sales in the period in which the related sales are recognized.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Selling, general, and administrative consist of payroll and related personnel expenses, IT and office services, office rent expense and professional services. In addition, self-insurance, advertising, research and development, outgoing shipping costs, pre-production and start-up costs are also included within selling, general, and administrative. The Company has incurred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other professional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Acquisition and restructuring costs consist of professional fees for legal, accounting, consulting, administrative, and other professional services directly attributable to potential acquisitions. In addition, operational restructuring costs are included within this classification.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 Costs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Related party acquisition and management fee costs consist of fees paid to the Company’s historical private equity sponsor pursuant to a management services agreement for management services and consulting services directly attributable to potential acquisitions. Upon the Closing of the Business Combination, the management services agreement with our private equity sponsor was terminated.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expense consists of interest due on the indebtedness under our credit facilities. On December 31, 2022, $659.4 million was outstanding under the Credit Agreement. Interest is based on LIBOR or the prime rate, plus the applicable margin rate.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2022 Compared With Year Ended December 31,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Holley’s results of operations for the years ended December 31, 2022 and 2021 (dollars in thousands):</w:t>
      </w:r>
    </w:p>
    <w:p>
      <w:pPr>
        <w:spacing w:after="0" w:line="198"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color w:val="auto"/>
              </w:rPr>
              <w:t>For the years ended December 31,</w:t>
            </w:r>
          </w:p>
        </w:tc>
        <w:tc>
          <w:tcPr>
            <w:tcW w:w="12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Change ($)</w:t>
            </w:r>
          </w:p>
        </w:tc>
        <w:tc>
          <w:tcPr>
            <w:tcW w:w="200" w:type="dxa"/>
            <w:vAlign w:val="bottom"/>
          </w:tcPr>
          <w:p>
            <w:pPr>
              <w:spacing w:after="0"/>
              <w:rPr>
                <w:sz w:val="17"/>
                <w:szCs w:val="17"/>
                <w:color w:val="auto"/>
              </w:rPr>
            </w:pPr>
          </w:p>
        </w:tc>
        <w:tc>
          <w:tcPr>
            <w:tcW w:w="124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Change (%)</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688,415</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692,847</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(4,432)</w:t>
            </w:r>
          </w:p>
        </w:tc>
        <w:tc>
          <w:tcPr>
            <w:tcW w:w="1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434,757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406,040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28,717</w:t>
            </w:r>
          </w:p>
        </w:tc>
        <w:tc>
          <w:tcPr>
            <w:tcW w:w="20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253,658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286,807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(33,149)</w:t>
            </w:r>
          </w:p>
        </w:tc>
        <w:tc>
          <w:tcPr>
            <w:tcW w:w="1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150,728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116,793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33,935</w:t>
            </w:r>
          </w:p>
        </w:tc>
        <w:tc>
          <w:tcPr>
            <w:tcW w:w="20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14,683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13,999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684</w:t>
            </w:r>
          </w:p>
        </w:tc>
        <w:tc>
          <w:tcPr>
            <w:tcW w:w="20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2,395</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4,513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23,668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(19,155)</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acquisition and management fee costs</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25,789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(25,789)</w:t>
            </w:r>
          </w:p>
        </w:tc>
        <w:tc>
          <w:tcPr>
            <w:tcW w:w="1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759</w:t>
            </w:r>
          </w:p>
        </w:tc>
        <w:tc>
          <w:tcPr>
            <w:tcW w:w="20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77,523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(26,781)</w:t>
            </w:r>
          </w:p>
        </w:tc>
        <w:tc>
          <w:tcPr>
            <w:tcW w:w="1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(57,021)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32,580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(89,601)</w:t>
            </w:r>
          </w:p>
        </w:tc>
        <w:tc>
          <w:tcPr>
            <w:tcW w:w="14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(10,731)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8,875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(19,606)</w:t>
            </w:r>
          </w:p>
        </w:tc>
        <w:tc>
          <w:tcPr>
            <w:tcW w:w="14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13,650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(13,650)</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40,227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39,128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1,099</w:t>
            </w:r>
          </w:p>
        </w:tc>
        <w:tc>
          <w:tcPr>
            <w:tcW w:w="2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78,267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(16,710)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94,977</w:t>
            </w:r>
          </w:p>
        </w:tc>
        <w:tc>
          <w:tcPr>
            <w:tcW w:w="200" w:type="dxa"/>
            <w:vAlign w:val="bottom"/>
          </w:tcPr>
          <w:p>
            <w:pPr>
              <w:spacing w:after="0"/>
              <w:rPr>
                <w:sz w:val="17"/>
                <w:szCs w:val="17"/>
                <w:color w:val="auto"/>
              </w:rPr>
            </w:pPr>
          </w:p>
        </w:tc>
        <w:tc>
          <w:tcPr>
            <w:tcW w:w="14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(5,936)</w:t>
            </w:r>
          </w:p>
        </w:tc>
        <w:tc>
          <w:tcPr>
            <w:tcW w:w="1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73,774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(27,139)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100,913</w:t>
            </w:r>
          </w:p>
        </w:tc>
        <w:tc>
          <w:tcPr>
            <w:tcW w:w="200" w:type="dxa"/>
            <w:vAlign w:val="bottom"/>
          </w:tcPr>
          <w:p>
            <w:pPr>
              <w:spacing w:after="0"/>
              <w:rPr>
                <w:sz w:val="17"/>
                <w:szCs w:val="17"/>
                <w:color w:val="auto"/>
              </w:rPr>
            </w:pPr>
          </w:p>
        </w:tc>
        <w:tc>
          <w:tcPr>
            <w:tcW w:w="14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(1,020)</w:t>
            </w:r>
          </w:p>
        </w:tc>
        <w:tc>
          <w:tcPr>
            <w:tcW w:w="14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Pension liability gain (loss)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(86)</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comprehensive income (loss)</w:t>
            </w:r>
          </w:p>
        </w:tc>
        <w:tc>
          <w:tcPr>
            <w:tcW w:w="58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73,086</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(26,721)</w:t>
            </w:r>
          </w:p>
        </w:tc>
        <w:tc>
          <w:tcPr>
            <w:tcW w:w="22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99,807</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sales for the year ended December 31, 2022, decreased $ 4.4 million, or 0.6%, to $688.4 million compared to $692.9 million for the year ended December 31, 2021. Non-comparable sales associated with acquisitions contributed $31.3 million to net sales in 2022, or year-over-year growth of 4.5%. The remaining comparable sales decreased by $35.7 million, or 5.2%. The decline in comparable sales was primarily driven by supply chain constraints that prevented the Company from building and shipping to orders received from customers and stabilizing demand due to a reduction in disposable income of our consumers. As a result, lower unit volume drove a decrease of approximately $88.5 million that was partially offset by improved price realization of approximately $52.8 million compared to 2021. Comparable year-over-year results by category include a decrease in electronic system sales of $28.1 million (9.1% category decline), a decrease in exhaust system sales of $11.4 million (14.6% category decline), a decrease in mechanical system sales of $4.6 million (3.0% category decline), a decrease in safety product sales of $3.2 million (4.9% category decline), and accessories sales growth of $11.6 million (13.6% category growth).</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 of goods sold for year ended December 31, 2022, increased $28.7 million, or 7.1%, to $434.8 million compared to $406.0 million for the year ended December 31, 2021. The increase in cost of goods sold during the year ended December 31, 2022, in which sales declined reflects compression in gross profit margin due to manufacturing inefficiencies driven by supply chain constraints, higher product rationalization charges, higher warranty costs, and inflationary pressures on certain other costs.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profit for the year ended December 31, 2022, decreased $33.2 million, or 11.6%, to $253.7 million compared to $286.8 million for the year ended December 31, 2021. Gross margin for the year ended December 31, 2022, of 36.8% decreased from gross margin of 41.4% for the year ended December 31, 2021. The decrease in gross profit and gross profit margin was driven primarily by inflationary factors, higher expenses associated with product rationalization and warranty costs, and a shift in the mix of products sold towards products with lower margins due in part to limitations caused by supply chain challenges. In general, gross margin and margins on individual products will remain under pressure due to various factors, including potential increases in manufacturing costs and the shift of the Company's sales mix towards products with lower gross margins. Future gross margins could also be affected by the Company's ability to manage product quality and warranty costs effectively and to stimulate demand for certain of its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Selling, general and administrative costs for the year ended December 31, 2022, increased $33.9 million, or 29.1%, to $150.7 million compared to $116.8 million for the year ended December 31, 2021. When expressed as a percentage of sales, selling, general and administrative costs increased to 21.9% of sales for the year ended December 31, 2022, compared to 16.9% of sales in 2021. The increase in costs was driven by a $19.4 million increase in compensation expense related to equity awards, which included an $11.4 million cumulative adjustment related to the early vesting of profit interest units granted by the Holley Stockholder prior to the Business Combination. Outbound shipping and handling costs increased $ 7.6 million, reflecting inflationary pressures on domestic shipping companies, and recent acquisitions contributed $3.7 million to the increase in selling, general and administrative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costs for the year ended December 31, 2022, increased $0.8 million, or 2.8%, to $29.1 million compared to $ 28.3 million for the year ended December 31, 2021. The increase in research and development costs reflects our pursuit of product innovation and new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Amortization of intangible assets for the year ended December 31, 2022, increased $0.7 million, or 4.9%, to $ 14.7 million compared to $14.0 million for the year ended December 31, 2021, due to recent acquisitions. Additionally, an impairment charge of $2.4 million was recognized on certain indefinite-lived tradenames during 2022 (see Note 5,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 the Notes to the Consolidated Financial Statements included elsewhere in the Annual Report on Form 10-K for additional information related to the Company’s recognition of impairment charges).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Acquisition and restructuring costs for the year ended December 31, 2022, decreased $19.2 million to $4.5 million, as compared to $23.7 million for the year ended December 31, 2021. The year ended December 31, 2021, included an adjustment of $17.2 million for contingent consideration payable for the acquisition of Simpson Performance Products (“Simpson”).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 Costs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Upon the Closing of the Business Combination, the management services agreement with our private equity sponsor was terminated. Related party acquisition and management fee costs for the year ended December 31, 2021, were $25.8 million, of which $23.3 million represents a fee paid upon the Closing of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operating income for the year ended December 31, 2022, decreased $26.8 million, or 34.5%, to $50.7 million compared to $77.5 million for the year ended December 31,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December 31, 2022, we recognized a gain of $57.0 million from the change in fair value of the warrant liability as compared to a loss of $32.6 million for the year ended December 31, 2021. The warrant liability reflects the fair value of the warrants issued in connection with the Business Combination.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December 31, 2022, we recognized a gain of $10.7 million from the change in fair value of the earn-out liability as compared to a loss of $8.9 million for the year ended December 31, 2021. The earn-out liability reflects the fair value of the earn-out shares resulting from the Business Combination.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expense for the year ended December 31, 2022, increased $1.1 million, or 2.8%, to $40.2 million compared to $39.1 million for the year ended December 31, 2021, due to a higher effective interest rate.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we recognized net income of $78.3 million before income taxes for the year ended December 31, 2022, compared to a net loss before income taxes of $(16.7) million for the year ended December 31,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recognized income tax expense of $4.5 million for the year ended December 31, 2022, compared to $10.4 million for the year ended December 31, 2021. The effective tax rate for the year ended December 31, 2022, was 5.7%. The difference between the effective tax rate and the federal statutory rate in 2022 was primarily due to permanent differences resulting from the change in fair value of the warrant and earn-out liabilities. The difference between the effective tax rate for the year ended December 31, 2021, and the federal statutory rate in 2021 was due to the permanent difference resulting from the adjustment to the Simpson earn-out liability during the period and the change in fair value of the warrant and earn-out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and Total Comprehensive Income (Loss)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factors described above, we recognized net income of $73.8 million for the year ended December 31, 2022, compared to a net loss of $(27.1) million for the year ended December 31, 2021. Additionally, we recognized total comprehensive income of $73.1 million for the year ended December 31, 2022, compared to total comprehensive loss of $(26.7) million for the year ended December 31, 2021. Comprehensive income (loss) includes the effect of foreign currency translation and pension liability adjustments.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With Year Ended December 31, 2020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Holley’s results of operations for the years ended December 31, 2021 and 2020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color w:val="auto"/>
              </w:rPr>
              <w:t>For the years ended December 31,</w:t>
            </w: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2021</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2020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Change ($)</w:t>
            </w:r>
          </w:p>
        </w:tc>
        <w:tc>
          <w:tcPr>
            <w:tcW w:w="180" w:type="dxa"/>
            <w:vAlign w:val="bottom"/>
          </w:tcPr>
          <w:p>
            <w:pPr>
              <w:spacing w:after="0"/>
              <w:rPr>
                <w:sz w:val="17"/>
                <w:szCs w:val="17"/>
                <w:color w:val="auto"/>
              </w:rPr>
            </w:pPr>
          </w:p>
        </w:tc>
        <w:tc>
          <w:tcPr>
            <w:tcW w:w="11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Change (%)</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8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692,847</w:t>
            </w: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504,179</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188,668</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37.4%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406,040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295,935</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110,105</w:t>
            </w:r>
          </w:p>
        </w:tc>
        <w:tc>
          <w:tcPr>
            <w:tcW w:w="18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286,807</w:t>
            </w: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208,244</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78,563</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37.7%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116,793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70,875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45,918</w:t>
            </w:r>
          </w:p>
        </w:tc>
        <w:tc>
          <w:tcPr>
            <w:tcW w:w="18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64.8%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28,280</w:t>
            </w: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23,483</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4,797</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13,999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11,082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2,917</w:t>
            </w:r>
          </w:p>
        </w:tc>
        <w:tc>
          <w:tcPr>
            <w:tcW w:w="18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23,668</w:t>
            </w: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9,743</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13,925</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142.9%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Related party acquisition and management fee costs</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25,789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6,089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19,700</w:t>
            </w:r>
          </w:p>
        </w:tc>
        <w:tc>
          <w:tcPr>
            <w:tcW w:w="18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323.5%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expense</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w:t>
            </w: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1,517</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(762)</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(50.2%)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vMerge w:val="continue"/>
          </w:tcPr>
          <w:p>
            <w:pPr>
              <w:spacing w:after="0"/>
              <w:rPr>
                <w:sz w:val="17"/>
                <w:szCs w:val="17"/>
                <w:color w:val="auto"/>
              </w:rPr>
            </w:pPr>
          </w:p>
        </w:tc>
        <w:tc>
          <w:tcPr>
            <w:tcW w:w="468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77,523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85,455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(7,932)</w:t>
            </w:r>
          </w:p>
        </w:tc>
        <w:tc>
          <w:tcPr>
            <w:tcW w:w="1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32,580</w:t>
            </w: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32,580</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8,875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8,875</w:t>
            </w:r>
          </w:p>
        </w:tc>
        <w:tc>
          <w:tcPr>
            <w:tcW w:w="180" w:type="dxa"/>
            <w:vAlign w:val="bottom"/>
          </w:tcPr>
          <w:p>
            <w:pPr>
              <w:spacing w:after="0"/>
              <w:rPr>
                <w:sz w:val="17"/>
                <w:szCs w:val="17"/>
                <w:color w:val="auto"/>
              </w:rPr>
            </w:pP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13,650</w:t>
            </w: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13,650</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39,128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43,772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(4,644)</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vMerge w:val="continue"/>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(16,710)</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41,683</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(58,393)</w:t>
            </w:r>
          </w:p>
        </w:tc>
        <w:tc>
          <w:tcPr>
            <w:tcW w:w="14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n/a</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10,429</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8,826</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1,603</w:t>
            </w:r>
          </w:p>
        </w:tc>
        <w:tc>
          <w:tcPr>
            <w:tcW w:w="18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(27,139)</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32,857</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(59,996)</w:t>
            </w:r>
          </w:p>
        </w:tc>
        <w:tc>
          <w:tcPr>
            <w:tcW w:w="14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n/a</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87.5%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liability gain (loss)</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gridSpan w:val="2"/>
          </w:tcPr>
          <w:p>
            <w:pPr>
              <w:ind w:left="280"/>
              <w:spacing w:after="0" w:line="182" w:lineRule="exact"/>
              <w:rPr>
                <w:sz w:val="20"/>
                <w:szCs w:val="20"/>
                <w:color w:val="auto"/>
              </w:rPr>
            </w:pPr>
            <w:r>
              <w:rPr>
                <w:rFonts w:ascii="Arial" w:cs="Arial" w:eastAsia="Arial" w:hAnsi="Arial"/>
                <w:sz w:val="18"/>
                <w:szCs w:val="18"/>
                <w:color w:val="auto"/>
              </w:rPr>
              <w:t>Total comprehensive income (loss)</w:t>
            </w:r>
          </w:p>
        </w:tc>
        <w:tc>
          <w:tcPr>
            <w:tcW w:w="8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(26,721)</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32,580</w:t>
            </w:r>
          </w:p>
        </w:tc>
        <w:tc>
          <w:tcPr>
            <w:tcW w:w="18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(59,301)</w:t>
            </w:r>
          </w:p>
        </w:tc>
        <w:tc>
          <w:tcPr>
            <w:tcW w:w="140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n/a</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00" w:type="dxa"/>
            <w:vAlign w:val="bottom"/>
            <w:tcBorders>
              <w:bottom w:val="single" w:sz="8" w:color="auto"/>
            </w:tcBorders>
          </w:tcPr>
          <w:p>
            <w:pPr>
              <w:spacing w:after="0"/>
              <w:rPr>
                <w:sz w:val="8"/>
                <w:szCs w:val="8"/>
                <w:color w:val="auto"/>
              </w:rPr>
            </w:pPr>
          </w:p>
        </w:tc>
        <w:tc>
          <w:tcPr>
            <w:tcW w:w="46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sales for the year ended December 31, 2021, increased $188.6 million, or 37.4%, to $692.8 million compared to $504.2 million for the year ended December 31, 2020. Non-comparable sales associated with acquisitions contributed $116.4 million or 23.1% of year-over-year growth. The remainder of the increase was driven by a $37.3 million, or 25.1%, increase in electronic systems products sold and an $18.4 million, or 18.1%, increase in mechanical systems products sold.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goods sold for year ended December 31, 2021, increased $110.1 million, or 37.2%, to $406.0 million compared to $295.9 million for the year ended December 31, 2020. The increase in cost of goods sold during the year ended December 31, 2021, was in line with a corresponding increase in product sales during such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year ended December 31, 2021, increased $ 78.5 million, or 37.7%, to $286.8 million compared to $208.3 million for the year ended December 31, 2020. The increase in gross profit was driven by the increase in sales. Gross margin for the year ended December 31, 2021, was 41.4% compared to a gross margin of 41.3% for the year ended December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Selling, general and administrative costs for the year ended December 31, 2021, increased $45.9 million, or 64.8%, to $116.8 million compared to $70.9 million for the year ended December 31, 2020. When expressed as a percentage of sales, selling, general and administrative costs increased to 16.9% of sales for the year ended December 31, 2021, compared to 14.1% of sales in 2020. Recent acquisitions accounted for $18.5 million of the increase in selling, general and administrative costs. The increase in costs was also driven by a $4.5 million increase in compensation expense related to equity awards, a $5.4 million increase in outbound shipping costs related to higher sales and domestic supply chain pressure, and a $5.9 million increase in professional fees, primarily due to the Business Combination and as a result of becoming a public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costs for the year ended December 31, 2021, increased $4.8 million, or 20.4%, to $28.3 million compared to $23.5 million for the year ended December 31, 2020. The increase in research and development costs was primarily due to headcount investments as we continue to pursue product innovation and new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Amortization of intangible assets for the year ended December 31, 2021, increased $2.9 million, or 26.3%, to $14.0 million compared to $11.1 million for the year ended December 31, 2020, due to recent acquisitions.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Acquisition and restructuring costs for the year ended December 31, 2021, increased $14.0 million to $23.7 million, which includes $17.2 million in contingent consideration related to the Simpson acquisition, $4.8 million in professional fees associated with the eight acquisitions completed in 2021, and $1.4 million of restructuring costs related to recent acquisitions. Acquisition and restructuring costs for the year ended December 31, 2020, were $9.7 million, which includes $2.3 million in professional fees associated with the Simpson, Drake and Detroit Speed acquisitions completed in 2020 and $3.2 million in restructuring costs incurred with the move of the West Sacramento, CA operations to our Bowling Green, KY facilities.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Acquisition and Management Fees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Related party acquisition and management fees for the year ended December 31, 2021, were $25.8 million, of which $23.3 million represents a fee paid upon the Closing of the Business Combination. Related party acquisition and management fees for the year ended December 31, 2020, were $6.1 million, which includes $4.2 million in management fees paid to the Company’s former private equity sponsor and $1.9 million that was attributable to the Drake and Simpson acquisitions,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operating income for the year ended December 31, 2021, decreased $8.0 million, or 9.3%, to $77.5 million compared to $85.5 million for the year ended December 31, 2020.</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year ended December 31, 2021, we recognized a loss of $32.6 million from the change in fair value of the warrant liability. The warrant liability reflects the fair value of the warrants issued in connection with the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year ended December 31, 2021, we recognized a loss of $8.9 million from the change in fair value of the earn-out liability. The earn-out liability reflects the fair value of the earn-out shares resulting from the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the year ended December 31, 2021, we recognized a $13.6 million loss on the early extinguishment of debt. The extinguishment loss includes a write off of $12.2 million in unamortized debt issuance costs associated with our previous first lien and second lien notes due to the refinancing of our previous credit facility (refer to Note 6, “</w:t>
      </w:r>
      <w:r>
        <w:rPr>
          <w:rFonts w:ascii="Arial" w:cs="Arial" w:eastAsia="Arial" w:hAnsi="Arial"/>
          <w:sz w:val="18"/>
          <w:szCs w:val="18"/>
          <w:i w:val="1"/>
          <w:iCs w:val="1"/>
          <w:color w:val="auto"/>
        </w:rPr>
        <w:t>Debt</w:t>
      </w:r>
      <w:r>
        <w:rPr>
          <w:rFonts w:ascii="Arial" w:cs="Arial" w:eastAsia="Arial" w:hAnsi="Arial"/>
          <w:sz w:val="18"/>
          <w:szCs w:val="18"/>
          <w:color w:val="auto"/>
        </w:rPr>
        <w:t>” for further discussion). Additionally, we wrote off $1.4 million of unamortized debt issuance costs when $100 million of the net proceeds from the Business Combination were used to reduce the outstanding principal balance of our second lien note.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 for the year ended December 31, 2021, decreased $ 4.7 million, or 10.6%, to $39.1 million compared to $43.8 million for the year ended December 31, 2020, due to a lower effective interest rate combine with the favorable impact of the $100 million paydown on our second lien note in July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a result of factors described above, we recognized a loss of $(16.7) million before income taxes for the year ended December 31, 2021, compared to income before income taxes of $41.7 million for the year ended December 31,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recognized income tax expense of $10.4 million for the year ended December 31, 2021, compared to $8.8 million for the year ended December 31, 2020. We recognized tax expense on a net loss for the year ended December 31, 2021, due to permanent differences resulting from the Business Combination, change in fair value of the warrant and earn-out liabilities, and the adjustment to the Simpson earnout during the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and Total Comprehensive Income (Loss)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factors described above, we recognized a net loss of $(27.1) million for the year ended December 31, 2021, compared to net income of $32.9 million for the year ended December 31, 2020. Additionally, we recognized total comprehensive loss of $(26.7) million for the year ended December 31, 2021, compared to total comprehensive income of $32.6 million for the year ended December 31, 2020. Comprehensive income (loss) includes the effect of foreign currency translation and pension liability adjustments.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Holley believes EBITDA and Adjusted EBITDA are useful to investors in evaluating the Company’s financial performance. In addition, Holley uses these measures internally to establish forecasts, budgets and operational goals to manage and monitor its business. Holley believes that these non-GAAP financial measures help to depict a more realistic representation of the performance of the underlying business, enabling the Company to evaluate and plan more effectively for the future. Holley believes that investors should have access to the same set of tools that its management uses in analyzing operating results.</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Holley defines EBITDA as earnings before (a) depreciation, (b) amortization of intangible assets, (c) interest expense, and (d) income tax expense. Holley defines Adjusted EBITDA as EBITDA plus (i) acquisition and restructuring costs, which for 2021 includes a $17.2 million adjustment due to a change in the fair value of the Simpson acquisition contingent consideration payable, (ii) impairment of indefinite-lived intangible assets, (iii) changes in the fair value of the warrant liability, (iv) changes in the fair value of the earn-out liability, (v) compensation expense related to equity awards, (vi) product rationalization initiatives aimed at eliminating unprofitable or slow-moving stock keeping units,</w:t>
      </w:r>
    </w:p>
    <w:p>
      <w:pPr>
        <w:spacing w:after="0" w:line="4" w:lineRule="exact"/>
        <w:rPr>
          <w:sz w:val="20"/>
          <w:szCs w:val="20"/>
          <w:color w:val="auto"/>
        </w:rPr>
      </w:pPr>
    </w:p>
    <w:p>
      <w:pPr>
        <w:jc w:val="both"/>
        <w:ind w:firstLine="8"/>
        <w:spacing w:after="0" w:line="23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on the early extinguishment of debt (viii) related party acquisition and management fee costs, (ix) notable items that consist primarily of non-cash adjustments related to the adoption of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2022, amortization of the fair market value increase in inventory due to acquisitions in 2021, and the amortization of the fair market value increase in inventory due to acquisitions and a legal settlement in 2020, and (x) other expenses, which for 2022 includes a $1.0 million loss on the sale of a business (see Note 2,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Acquisitions, and Divestiture</w:t>
      </w:r>
      <w:r>
        <w:rPr>
          <w:rFonts w:ascii="Arial" w:cs="Arial" w:eastAsia="Arial" w:hAnsi="Arial"/>
          <w:sz w:val="18"/>
          <w:szCs w:val="18"/>
          <w:color w:val="auto"/>
        </w:rPr>
        <w:t>," in the Notes to the Consolidated Financial Statements included elsewhere in this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 for additional information related to the divestiture) and for all periods includes net losses from disposal of fixed assets and foreign currency transactions. We have included within the definition of Adjusted EBITDA impairment of indefinite-lived intangible assets, changes in the fair value of warrant liabilities, changes in the fair value of the earn-out liability, and losses from the early extinguishment of debt, as management believes such matters, when they occur, do not directly reflect the performance of the underlying business.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EBITDA and Adjusted EBITDA are not prepared in accordance with accounting principles generally accepted in the United States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Holley’s financial performance. These metrics should not be considered as alternatives to net income (loss) or any other performance measures derived in accordance with GAAP.</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unaudited table presents the reconciliation of net income (loss), the most directly comparable GAAP measure, to EBITDA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for the years ended December 31, 2022, 2021 and 2020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color w:val="auto"/>
              </w:rPr>
              <w:t>For the years ended December 31,</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1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73,774</w:t>
            </w: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(27,139)</w:t>
            </w:r>
          </w:p>
        </w:tc>
        <w:tc>
          <w:tcPr>
            <w:tcW w:w="5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32,857</w:t>
            </w: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8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Depreciation</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7,886</w:t>
            </w: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860" w:type="dxa"/>
            <w:vAlign w:val="bottom"/>
          </w:tcPr>
          <w:p>
            <w:pPr>
              <w:ind w:left="320"/>
              <w:spacing w:after="0" w:line="202" w:lineRule="exact"/>
              <w:rPr>
                <w:sz w:val="20"/>
                <w:szCs w:val="20"/>
                <w:color w:val="auto"/>
              </w:rPr>
            </w:pPr>
            <w:r>
              <w:rPr>
                <w:rFonts w:ascii="Arial" w:cs="Arial" w:eastAsia="Arial" w:hAnsi="Arial"/>
                <w:sz w:val="18"/>
                <w:szCs w:val="18"/>
                <w:color w:val="auto"/>
              </w:rPr>
              <w:t>Amortization of intangible assets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14,683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13,999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11,082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8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40,227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43,772</w:t>
            </w: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860" w:type="dxa"/>
            <w:vAlign w:val="bottom"/>
          </w:tcPr>
          <w:p>
            <w:pPr>
              <w:ind w:left="320"/>
              <w:spacing w:after="0" w:line="202" w:lineRule="exact"/>
              <w:rPr>
                <w:sz w:val="20"/>
                <w:szCs w:val="20"/>
                <w:color w:val="auto"/>
              </w:rPr>
            </w:pPr>
            <w:r>
              <w:rPr>
                <w:rFonts w:ascii="Arial" w:cs="Arial" w:eastAsia="Arial" w:hAnsi="Arial"/>
                <w:sz w:val="18"/>
                <w:szCs w:val="18"/>
                <w:color w:val="auto"/>
              </w:rPr>
              <w:t>Income tax expense</w:t>
            </w:r>
          </w:p>
        </w:tc>
        <w:tc>
          <w:tcPr>
            <w:tcW w:w="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143,284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47,944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104,423</w:t>
            </w: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860" w:type="dxa"/>
            <w:vAlign w:val="bottom"/>
          </w:tcPr>
          <w:p>
            <w:pPr>
              <w:ind w:left="320"/>
              <w:spacing w:after="0" w:line="202" w:lineRule="exact"/>
              <w:rPr>
                <w:sz w:val="20"/>
                <w:szCs w:val="20"/>
                <w:color w:val="auto"/>
              </w:rPr>
            </w:pPr>
            <w:r>
              <w:rPr>
                <w:rFonts w:ascii="Arial" w:cs="Arial" w:eastAsia="Arial" w:hAnsi="Arial"/>
                <w:sz w:val="18"/>
                <w:szCs w:val="18"/>
                <w:color w:val="auto"/>
              </w:rPr>
              <w:t>Acquisition and restructuring costs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4,513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23,668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9,743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8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860" w:type="dxa"/>
            <w:vAlign w:val="bottom"/>
          </w:tcPr>
          <w:p>
            <w:pPr>
              <w:ind w:left="32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(57,021)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32,580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8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Change in fair value of earn-out liability</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(10,731)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8,875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860" w:type="dxa"/>
            <w:vAlign w:val="bottom"/>
          </w:tcPr>
          <w:p>
            <w:pPr>
              <w:ind w:left="320"/>
              <w:spacing w:after="0" w:line="202" w:lineRule="exact"/>
              <w:rPr>
                <w:sz w:val="20"/>
                <w:szCs w:val="20"/>
                <w:color w:val="auto"/>
              </w:rPr>
            </w:pPr>
            <w:r>
              <w:rPr>
                <w:rFonts w:ascii="Arial" w:cs="Arial" w:eastAsia="Arial" w:hAnsi="Arial"/>
                <w:sz w:val="18"/>
                <w:szCs w:val="18"/>
                <w:color w:val="auto"/>
              </w:rPr>
              <w:t>Equity-based compensation expense</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24,395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4,963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8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Product rationalization</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860" w:type="dxa"/>
            <w:vAlign w:val="bottom"/>
          </w:tcPr>
          <w:p>
            <w:pPr>
              <w:ind w:left="320"/>
              <w:spacing w:after="0" w:line="202" w:lineRule="exact"/>
              <w:rPr>
                <w:sz w:val="20"/>
                <w:szCs w:val="20"/>
                <w:color w:val="auto"/>
              </w:rPr>
            </w:pPr>
            <w:r>
              <w:rPr>
                <w:rFonts w:ascii="Arial" w:cs="Arial" w:eastAsia="Arial" w:hAnsi="Arial"/>
                <w:sz w:val="18"/>
                <w:szCs w:val="18"/>
                <w:color w:val="auto"/>
              </w:rPr>
              <w:t>Loss on early extinguishment of debt</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13,650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8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Related party acquisition and management fee costs</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25,789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6,089</w:t>
            </w: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860" w:type="dxa"/>
            <w:vAlign w:val="bottom"/>
          </w:tcPr>
          <w:p>
            <w:pPr>
              <w:ind w:left="320"/>
              <w:spacing w:after="0" w:line="202" w:lineRule="exact"/>
              <w:rPr>
                <w:sz w:val="20"/>
                <w:szCs w:val="20"/>
                <w:color w:val="auto"/>
              </w:rPr>
            </w:pPr>
            <w:r>
              <w:rPr>
                <w:rFonts w:ascii="Arial" w:cs="Arial" w:eastAsia="Arial" w:hAnsi="Arial"/>
                <w:sz w:val="18"/>
                <w:szCs w:val="18"/>
                <w:color w:val="auto"/>
              </w:rPr>
              <w:t>Notable items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11,270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3,891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86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expense</w:t>
            </w:r>
          </w:p>
        </w:tc>
        <w:tc>
          <w:tcPr>
            <w:tcW w:w="7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gridSpan w:val="2"/>
          </w:tcPr>
          <w:p>
            <w:pPr>
              <w:ind w:left="280"/>
              <w:spacing w:after="0" w:line="182" w:lineRule="exact"/>
              <w:rPr>
                <w:sz w:val="20"/>
                <w:szCs w:val="20"/>
                <w:color w:val="auto"/>
              </w:rPr>
            </w:pPr>
            <w:r>
              <w:rPr>
                <w:rFonts w:ascii="Arial" w:cs="Arial" w:eastAsia="Arial" w:hAnsi="Arial"/>
                <w:sz w:val="18"/>
                <w:szCs w:val="18"/>
                <w:color w:val="auto"/>
              </w:rPr>
              <w:t>Adjusted EBITDA</w:t>
            </w:r>
          </w:p>
        </w:tc>
        <w:tc>
          <w:tcPr>
            <w:tcW w:w="11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114,706</w:t>
            </w:r>
          </w:p>
        </w:tc>
        <w:tc>
          <w:tcPr>
            <w:tcW w:w="140" w:type="dxa"/>
            <w:vAlign w:val="bottom"/>
          </w:tcPr>
          <w:p>
            <w:pPr>
              <w:spacing w:after="0"/>
              <w:rPr>
                <w:sz w:val="17"/>
                <w:szCs w:val="17"/>
                <w:color w:val="auto"/>
              </w:rPr>
            </w:pPr>
          </w:p>
        </w:tc>
        <w:tc>
          <w:tcPr>
            <w:tcW w:w="4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169,494</w:t>
            </w:r>
          </w:p>
        </w:tc>
        <w:tc>
          <w:tcPr>
            <w:tcW w:w="120" w:type="dxa"/>
            <w:vAlign w:val="bottom"/>
          </w:tcPr>
          <w:p>
            <w:pPr>
              <w:spacing w:after="0"/>
              <w:rPr>
                <w:sz w:val="17"/>
                <w:szCs w:val="17"/>
                <w:color w:val="auto"/>
              </w:rPr>
            </w:pPr>
          </w:p>
        </w:tc>
        <w:tc>
          <w:tcPr>
            <w:tcW w:w="56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126,150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80" w:type="dxa"/>
            <w:vAlign w:val="bottom"/>
            <w:vMerge w:val="restart"/>
          </w:tcPr>
          <w:p>
            <w:pPr>
              <w:jc w:val="right"/>
              <w:ind w:right="130"/>
              <w:spacing w:after="0"/>
              <w:rPr>
                <w:sz w:val="20"/>
                <w:szCs w:val="20"/>
                <w:color w:val="auto"/>
              </w:rPr>
            </w:pPr>
            <w:r>
              <w:rPr>
                <w:rFonts w:ascii="Arial" w:cs="Arial" w:eastAsia="Arial" w:hAnsi="Arial"/>
                <w:sz w:val="18"/>
                <w:szCs w:val="18"/>
                <w:color w:val="auto"/>
              </w:rPr>
              <w:t>40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00" w:type="dxa"/>
            <w:vAlign w:val="bottom"/>
            <w:tcBorders>
              <w:bottom w:val="single" w:sz="8" w:color="auto"/>
            </w:tcBorders>
          </w:tcPr>
          <w:p>
            <w:pPr>
              <w:spacing w:after="0"/>
              <w:rPr>
                <w:sz w:val="8"/>
                <w:szCs w:val="8"/>
                <w:color w:val="auto"/>
              </w:rPr>
            </w:pPr>
          </w:p>
        </w:tc>
        <w:tc>
          <w:tcPr>
            <w:tcW w:w="48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Holley’s primary cash needs are to support working capital, capital expenditures, acquisitions, and debt repayments. The Company has generally financed its historical needs with operating cash flows, capital contributions and borrowings under its credit facilities. These sources of liquidity may be impacted by various factors, including demand for Holley’s products, investments made in acquired businesses, plant and equipment and other capital expenditures, and expenditures on general infrastructure and information technology.</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December 31, 2022, the Company had cash of $ 26.2 million and availability of $113.8 million under its revolving credit facility. The Company has a senior secured revolving credit facility with $ 125 million in borrowing capacity. On December 31, 2022, the Company had $10.0 million in borrowings and $1.2 million of letters of credit outstanding under the revolving credit facility. In February 2023, the Company entered into an amendment to its Credit Agreement which, among other things, contains a minimum liquidity financial covenant of $45 million, which includes unrestricted cash and any available borrowing capacity under the revolving credit facility. The amendment also increases the consolidated net leverage ratio financial covenant level applicable under the Credit Agreement as of the fiscal quarter ending March 31, 2023 through the fiscal quarter ending March 31, 2024 (the “Covenant Relief Period”), to initially 7.25:1.00, and provides for modified step-down levels for such covenant thereafter.</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is obligated under various operating leases for facilities, equipment, and automobiles with estimated lease payments of approximately $7.2 million, including short-term leases, due in fiscal year 2023.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in the Notes to the Consolidated Financial Statements included elsewhere in this Annual Report on Form 10-K for additional information related to the Company’s lease obligations.</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Holley's capital expenditures for the year ended December 31, 2022 of $ 13.6 million are primarily related to ongoing maintenance and improvements, including investments related to upgrading and maintaining our information technology systems, tooling for new products, vehicles for product development, and machinery and equipment for operations. We expect capital expenditures in the range of $10 million to $15 million in fiscal year 2023</w:t>
      </w:r>
      <w:r>
        <w:rPr>
          <w:rFonts w:ascii="Arial" w:cs="Arial" w:eastAsia="Arial" w:hAnsi="Arial"/>
          <w:sz w:val="18"/>
          <w:szCs w:val="18"/>
          <w:b w:val="1"/>
          <w:bCs w:val="1"/>
          <w:color w:val="auto"/>
        </w:rPr>
        <w:t>.</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See Note 6,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Financial Statements included elsewhere in this Annual Report on Form 10-K for further detail of our credit facility and the timing of principal maturities. On December 31, 2022, based on the then current weighted average interest rate of 8.4%, expected interest payments associated with outstanding debt totaled approximately $55.7 million for fiscal year 2023.</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discussed under “Business Environment” above, although the future impact of supply chain disruptions and inflationary pressures are highly uncertain, the Company believes that its current operating performance, operating plan, cash position, and borrowings available under its revolving credit facility will be sufficient to satisfy its liquidity needs and capital expenditure requirements for at least the next twelve months and thereafter for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color w:val="auto"/>
              </w:rPr>
              <w:t>For the years ended December 31,</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196"/>
        </w:trPr>
        <w:tc>
          <w:tcPr>
            <w:tcW w:w="3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provided by operating activities</w:t>
            </w:r>
          </w:p>
        </w:tc>
        <w:tc>
          <w:tcPr>
            <w:tcW w:w="1380" w:type="dxa"/>
            <w:vAlign w:val="bottom"/>
            <w:gridSpan w:val="2"/>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12,312</w:t>
            </w: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21,583</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88,413</w:t>
            </w: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600" w:type="dxa"/>
            <w:vAlign w:val="bottom"/>
          </w:tcPr>
          <w:p>
            <w:pPr>
              <w:spacing w:after="0" w:line="202" w:lineRule="exact"/>
              <w:rPr>
                <w:sz w:val="20"/>
                <w:szCs w:val="20"/>
                <w:color w:val="auto"/>
              </w:rPr>
            </w:pPr>
            <w:r>
              <w:rPr>
                <w:rFonts w:ascii="Arial" w:cs="Arial" w:eastAsia="Arial" w:hAnsi="Arial"/>
                <w:sz w:val="18"/>
                <w:szCs w:val="18"/>
                <w:color w:val="auto"/>
              </w:rPr>
              <w:t>Cash flows used in investing activities</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(25,037)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(134,089)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(165,618)</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provided by financing activities</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77,157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140,544</w:t>
            </w: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600" w:type="dxa"/>
            <w:vAlign w:val="bottom"/>
          </w:tcPr>
          <w:p>
            <w:pPr>
              <w:spacing w:after="0" w:line="202" w:lineRule="exact"/>
              <w:rPr>
                <w:sz w:val="20"/>
                <w:szCs w:val="20"/>
                <w:color w:val="auto"/>
              </w:rPr>
            </w:pPr>
            <w:r>
              <w:rPr>
                <w:rFonts w:ascii="Arial" w:cs="Arial" w:eastAsia="Arial" w:hAnsi="Arial"/>
                <w:sz w:val="18"/>
                <w:szCs w:val="18"/>
                <w:color w:val="auto"/>
              </w:rPr>
              <w:t>Effect of foreign currency rate fluctuations on cash</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4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decrease in cash and cash equivalents</w:t>
            </w: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(10,175)</w:t>
            </w:r>
          </w:p>
        </w:tc>
        <w:tc>
          <w:tcPr>
            <w:tcW w:w="4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(35,349)</w:t>
            </w:r>
          </w:p>
        </w:tc>
        <w:tc>
          <w:tcPr>
            <w:tcW w:w="56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63,339</w:t>
            </w:r>
          </w:p>
        </w:tc>
        <w:tc>
          <w:tcPr>
            <w:tcW w:w="100" w:type="dxa"/>
            <w:vAlign w:val="bottom"/>
            <w:shd w:val="clear" w:color="auto" w:fill="CCEEFF"/>
          </w:tcPr>
          <w:p>
            <w:pPr>
              <w:spacing w:after="0"/>
              <w:rPr>
                <w:sz w:val="20"/>
                <w:szCs w:val="20"/>
                <w:color w:val="auto"/>
              </w:rPr>
            </w:pPr>
          </w:p>
        </w:tc>
        <w:tc>
          <w:tcPr>
            <w:tcW w:w="280" w:type="dxa"/>
            <w:vAlign w:val="bottom"/>
          </w:tcPr>
          <w:p>
            <w:pPr>
              <w:spacing w:after="0"/>
              <w:rPr>
                <w:sz w:val="20"/>
                <w:szCs w:val="20"/>
                <w:color w:val="auto"/>
              </w:rPr>
            </w:pPr>
          </w:p>
        </w:tc>
      </w:tr>
      <w:tr>
        <w:trPr>
          <w:trHeight w:val="403"/>
        </w:trPr>
        <w:tc>
          <w:tcPr>
            <w:tcW w:w="300" w:type="dxa"/>
            <w:vAlign w:val="bottom"/>
          </w:tcPr>
          <w:p>
            <w:pPr>
              <w:spacing w:after="0"/>
              <w:rPr>
                <w:sz w:val="24"/>
                <w:szCs w:val="24"/>
                <w:color w:val="auto"/>
              </w:rPr>
            </w:pPr>
          </w:p>
        </w:tc>
        <w:tc>
          <w:tcPr>
            <w:tcW w:w="460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rPr>
              <w:t>41</w:t>
            </w: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Pr>
          <w:p>
            <w:pPr>
              <w:spacing w:after="0"/>
              <w:rPr>
                <w:sz w:val="24"/>
                <w:szCs w:val="24"/>
                <w:color w:val="auto"/>
              </w:rPr>
            </w:pPr>
          </w:p>
        </w:tc>
      </w:tr>
      <w:tr>
        <w:trPr>
          <w:trHeight w:val="98"/>
        </w:trPr>
        <w:tc>
          <w:tcPr>
            <w:tcW w:w="300" w:type="dxa"/>
            <w:vAlign w:val="bottom"/>
            <w:tcBorders>
              <w:bottom w:val="single" w:sz="8" w:color="auto"/>
            </w:tcBorders>
          </w:tcPr>
          <w:p>
            <w:pPr>
              <w:spacing w:after="0"/>
              <w:rPr>
                <w:sz w:val="8"/>
                <w:szCs w:val="8"/>
                <w:color w:val="auto"/>
              </w:rPr>
            </w:pPr>
          </w:p>
        </w:tc>
        <w:tc>
          <w:tcPr>
            <w:tcW w:w="46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Cash provided by operating activities for the year ended December 31, 2022, was $12.3 million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operating activities of $21.6 million for the year ended December 31, 2021. Cash provided by prepaids and other current assets, accrued interest and accounts receivable increased by $ 14.6 million, $ 5.9 million, and $3.3 million, respectively. Offsetting these increases were decreases in cash provided by inventory, accrued liabilities and accounts payable of $13.3 million, $13.0 million, and $9.5 million, respectively. The changes in accounts receivable, accounts payable, and inventory are impacted by fluctuations in sales and accrued interest, accounts receivable and accounts payable are impacted by the timing of receipts and payments.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Cash provided by operating activities for the year ended December 31, 2021, was $ 21.6 million compared to cash provided by operating activities of $88.4 million for the year ended December 31, 2020. Cash provided by accounts receivable, accrued liabilities and accounts payable increased by $11.8 million, $ 9.2 million, and $0.3 million, respectively. Offsetting these increases were decreases in cash provided by inventory and prepaids and other current assets of $67.1 million and $15.3 million, respectively. The changes in accounts receivable, accounts payable and inventory reflect the growth in the business in 2021.</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for the year ended December 31, 2022, was $25.0 million, primarily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of $14.3 million and capital expenditures of $13.6 million. For the year ended December 31, 2021, cash used in investing activities was $134.1 million, primarily relating to acquisitions of $119.2 million and capital expenditures of $15.2 million. For the year ended December 31, 2020, cash used in investing activities was $165.6 million, primarily relating to acquisitions of $156.8 million and capital expenditures of $9.4 million.</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for the year ended December 31, 2022, was $ 2.9 million, which primarily reflected</w:t>
      </w:r>
      <w:r>
        <w:rPr>
          <w:rFonts w:ascii="Arial" w:cs="Arial" w:eastAsia="Arial" w:hAnsi="Arial"/>
          <w:sz w:val="18"/>
          <w:szCs w:val="18"/>
          <w:i w:val="1"/>
          <w:iCs w:val="1"/>
          <w:color w:val="auto"/>
        </w:rPr>
        <w:t xml:space="preserve"> </w:t>
      </w:r>
      <w:r>
        <w:rPr>
          <w:rFonts w:ascii="Arial" w:cs="Arial" w:eastAsia="Arial" w:hAnsi="Arial"/>
          <w:sz w:val="18"/>
          <w:szCs w:val="18"/>
          <w:color w:val="auto"/>
        </w:rPr>
        <w:t>net borrowings on long-term debt. Cash provided by financing activities for the year ended December 31, 2021, was $77.2 million, which included $630.0 million in proceeds from long-term debt, $132.3 million in cash received due to the recapitalization, and $25.0 million in net borrowings under the revolving credit agreement, largely offset by $687.5 million in principal payments on long-term debt, $13.4 million in deferred financing fees, and $9.2 million in payment of contingent consideration on acquisitions. Cash provided by financing activities for the year ended December 31, 2020, was $140.5 million, which included $170.0 million of proceeds from long-term debt, net of $24.6 million in debt payments and $4.7 million in deferred financing fees.</w:t>
      </w:r>
    </w:p>
    <w:p>
      <w:pPr>
        <w:spacing w:after="0" w:line="17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i w:val="1"/>
          <w:iCs w:val="1"/>
          <w:color w:val="auto"/>
        </w:rPr>
        <w:t>Working Capital</w:t>
      </w:r>
      <w:r>
        <w:rPr>
          <w:rFonts w:ascii="Arial" w:cs="Arial" w:eastAsia="Arial" w:hAnsi="Arial"/>
          <w:sz w:val="18"/>
          <w:szCs w:val="18"/>
          <w:color w:val="auto"/>
        </w:rPr>
        <w:t>. On December 31, 2022, working capital was $223.7 million compared to $199.9 million on December 31, 2021.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2022, inventories increased by $48.5 million. Offsetting this increase in working capital were a decrease in cash of $10.2 million, an increase in accrued liabilities of $8.5 million, and a decrease in accounts receivable of $4.3 million,</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Holley’s working capital on December 31, 2021, increased $23.9 million from $176.0 million at December 31, 2020. For the year ended December 31, 2021, inventories increased by $51.1 million, prepaid and other current assets increased by $ 13.9 million, while acquisition contingent consideration payable decreased by $9.2 million. Offsetting these items were a decrease in Holley's cash balance of $35.3 million and an increase in accounts payable of $11.1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discussion and analysis of Holley's financial condition and results of operations are based upon its consolidated financial statements, which have been prepared in accordance with GAAP. See Note 1, </w:t>
      </w:r>
      <w:r>
        <w:rPr>
          <w:rFonts w:ascii="Arial" w:cs="Arial" w:eastAsia="Arial" w:hAnsi="Arial"/>
          <w:sz w:val="18"/>
          <w:szCs w:val="18"/>
          <w:b w:val="1"/>
          <w:bCs w:val="1"/>
          <w:color w:val="auto"/>
        </w:rPr>
        <w:t>"</w:t>
      </w:r>
      <w:r>
        <w:rPr>
          <w:rFonts w:ascii="Arial" w:cs="Arial" w:eastAsia="Arial" w:hAnsi="Arial"/>
          <w:sz w:val="18"/>
          <w:szCs w:val="18"/>
          <w:i w:val="1"/>
          <w:iCs w:val="1"/>
          <w:color w:val="auto"/>
        </w:rPr>
        <w:t>Description of the Business, Basis of Presentation, and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the Consolidated Financial Statements included elsewhere in this Annual Report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10-K for a complete summary of the significant accounting policies used in the presentation of Holley's financial statements. The preparation of these financial statements requires management to make estimates and judgments that affect the reported amounts and related disclosures of assets, liabilities, revenue, and expenses. Holley evaluates its estimates and assumptions on an ongoing basis. The estimates and assumptions used by management are based on historical experience and other factors, which are believed to be reasonable under the circumstances. Actual results may differ from these estimates under different assumptions or conditions, impacting Holley's reported results of operations and financial condition.</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Critical accounting policies and estimates are those that management considers the most important to the portrayal of Holley's financial condition and results of operations because they require the most difficult, subjective, or complex judgments, often as a result of the need to make estimates about the effect of matters that are inherently uncertain. Holley believes that its most critical accounting estimates are related to accounting for inventory reserves, the fair value of assets and liabilities acquired in the Business Combination and acquisitions, and accounting for goodwill and intangible assets. These critical accounting policies are addressed below.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Reserve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inventories are stated at the lower of cost or net realizable value using the first-in, first-out (FIFO) method. Adjustments to reduce the cost of inventory to its net realizable value are made, if required, for estimated excess, obsolescence or impaired balances. See Part IV, Item 15 in this Annual Report on Form 10-K for additional information related to the Company's inventory valuation reserve.</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regularly monitor inventory quantities on hand and on order and record write-downs for excess and obsolete inventories based on our estimate of the demand for our products, potential obsolescence of technology, product life cycles, and when pricing trends or forecast indicate that the carrying value of inventory exceeds our estimated selling price. These factors are affected by market and economic conditions, technology changes, and new product introductions and require estimates that may include elements that are uncertain. Actual demand may differ from forecasted demand and may have a material effect on our gross margin. If inventory is written down, a new cost basis will be established that cannot be increased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Acquired Assets and Liabilities</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Assigning fair market values to the assets acquired and liabilities assumed at the date of an acquisition requires knowledge of current market values and the values of assets in use, and often requires the application of significant judgment regarding estimates and assumptions. The same applies to assigning fair market values to the liabilities assumed in the Business Combination at the date of the transaction and at each reporting date thereafter. While the ultimate responsibility resides with management, for certain acquisitions the Company retains the services of certified valuation specialists to assist with assigning estimated values to certain acquired assets and assumed liabilities, including intangible assets, tangible long- lived assets, and liabilities assumed in the Business Combination. Acquired intangible assets, excluding goodwill, are valued using various methodologies including discounted cash flows, relief from royalty, and multiperiod excess earnings depending on the type of intangible asset purchased. These methodologies incorporate various estimates and assumptions, such as projected revenue growth rates, profit margins and forecasted cash flows based on discount rates and terminal growth rates. The Company uses a Monte Carlo simulation model to estimate the fair value of its private warrants and earn-out liability assumed in the Business Combination, which requires certain subjective inputs and assumptions, including expected common stock price volatility, expected term, and risk-free interest rates. These estimates and assumptions could vary significantly, which could result in material differences in the fair values assigned to the assets and liabilities. See Note 2, "</w:t>
      </w:r>
      <w:r>
        <w:rPr>
          <w:rFonts w:ascii="Arial" w:cs="Arial" w:eastAsia="Arial" w:hAnsi="Arial"/>
          <w:sz w:val="18"/>
          <w:szCs w:val="18"/>
          <w:i w:val="1"/>
          <w:iCs w:val="1"/>
          <w:color w:val="auto"/>
        </w:rPr>
        <w:t>Business Combination, Acquisitions, and Divestiture</w:t>
      </w:r>
      <w:r>
        <w:rPr>
          <w:rFonts w:ascii="Arial" w:cs="Arial" w:eastAsia="Arial" w:hAnsi="Arial"/>
          <w:sz w:val="18"/>
          <w:szCs w:val="18"/>
          <w:color w:val="auto"/>
        </w:rPr>
        <w:t>" and Note 8,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in the Notes to the Consolidated Financial Statements included elsewhere in this Annual Report on Form 10-K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related to the Company’s assets and liabilities measured at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Goodwill represents the excess of purchase price over the fair value of the net tangible and identifiable intangible assets of businesses acquired. Goodwill amounts are not amortized, but rather tested for impairment at least annually or more often if circumstances indicate that the carrying value may not be recoverable. During the third quarter of 2022, management concluded it was necessary to reevaluate goodwill and indefinite-lived intangible assets for impairment after supply chain challenges led to management revising its earnings estimate for 2022, which resulted in a decline in the Company's market capitalization. Based on a quantitative assessment in the third quarter of 2022, we did not identify any indicators of goodwill impairment. During the fourth quarter of 2022, management performed the annual impairment test for goodwill, and a quantitative analysis did not identify any indicators of impairment. Based on the annual impairment assessment, the estimated fair value exceeded the carrying value of the reporting unit by 15%. As of December 31, 2022, management concluded it was necessary to reevaluate goodwill for impairment due to a further downward revision of its earnings estimate for 2022 and a continued decline in the Company's market capitalization. Accordingly, management performed a qualitative assessment and did not identify any indicators of impairment. Goodwill was $418.1 million as of December 31, 2022, and is considered at higher risk of failing future quantitative impairment tests due to the narrow difference between fair value and carrying value. No goodwill impairment changes were incurred during 2022 and 2021.</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Intangible assets include trade names, customer relationships and developed technology obtained through business acquisitions. Acquired finite-lived intangible assets are initially recorded at fair value and are amortized on a straight-line basis over their estimated useful lives. Indefinite life intangible assets are not amortized but are tested for impairment at least annually or more often if circumstances indicate that the carrying amounts may not be recoverable. During the third quarter of 2022, a quantitative assessment of indefinite life intangible assets identified certain tradenames for which the carrying amounts might not be recoverable. As a result of this evaluation, a pre-tax impairment of $2.4 million was recognized on certain indefinite-lived tradenames. Management did not identify any circumstances to indicate that it was necessary to reevaluate indefinite-lived intangible assets for impairment in the fourth quarter of 2022. No impairment was recognized on intangible assets in 2021.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fair value of the indefinite-lived tradenames was estimated using the relief from royalty method, a form of the income approach. Significant judgement is required in estimating the fair value of a reporting unit and in performing impairment tests. The most significant assumptions utilized in the determination of the estimated fair values of the indefinite-lived tradenames were the sales projections and long-term earnings growth rates, the royalty rate and the discount rate. The long-term earnings growth rate represents the expected rate at which the brands are expected to grow beyond the shorter-term business planning period. The royalty rate is based on observed market royalty rates for various industrial, consumer and commercial trademarks. The discount rate is based on our weighted average cost of capital adjusted for risk.</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Determining the fair value of the reporting unit requires significant judgment, including judgements about the appropriate terminal growth rates, weighted average costs of capital and the amounts and timing of projected future cash flows. Fair value determinations are sensitive to changes in underlying assumptions, estimates, and market factors. Projected future cash flows are based on our most recent forecasts and strategic plans as well as certain growth rate assumptions. Potential changes in our costs and operating structure, the implementation of synergies, and overall performance in the automotive aftermarket industry, could negatively impact our near-term cash-flow projections and could trigger a potential impairment of our goodwill. In addition, failure to execute our strategic plans as well as increases in weighted average costs of capital could negatively impact the fair value of the reporting unit and increase the risk of future impairment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Consolidated Financial Statements included elsewhere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Annual Report on Form 10-K.</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Holley is exposed to market risk in the normal course of business due to the Company’s ongoing investing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The Company generally does not hedge its interest rate exposure. On December 31, 2022 the Company had $659.4 million of floating-rate debt outstanding under the Credit Agreement. A hypothetical 100 basis point increase or decrease in interest rates would result in an approximately $6.6 million change to Holley’s annual interest expense.</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Credit and other Risks</w:t>
      </w:r>
      <w:r>
        <w:rPr>
          <w:rFonts w:ascii="Arial" w:cs="Arial" w:eastAsia="Arial" w:hAnsi="Arial"/>
          <w:sz w:val="18"/>
          <w:szCs w:val="18"/>
          <w:color w:val="auto"/>
        </w:rPr>
        <w:t>. Holley is exposed to credit risk associated with cash and cash equivalents and trade receivables. On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majority the Company’s cash and cash equivalents consisted of cash balances in non-interest-bearing checking accounts which exceed the insurance coverage provided on such deposits.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Exchange Rate Sensitivity</w:t>
      </w:r>
      <w:r>
        <w:rPr>
          <w:rFonts w:ascii="Arial" w:cs="Arial" w:eastAsia="Arial" w:hAnsi="Arial"/>
          <w:sz w:val="18"/>
          <w:szCs w:val="18"/>
          <w:color w:val="auto"/>
        </w:rPr>
        <w:t>. On December 31, 2022, the Company was exposed to changes in foreign currency exchange rates.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this exposure to changes in foreign currency exchange rates has not had a material effect on the Company’s financial condition or results of operations, foreign currency fluctuations could have an adverse effect on business and results of operations in the future. Historically, Holley’s primary exposure has been related to transactions denominated in the Euros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consolidated financial statements and accompanying notes listed in Part IV, Item 15(a)(1) of this Annual Report on Form 10-K are included immediately following Part IV hereof and incorporated by reference herein.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Interim President and Chief Executive Officer and Chief Financial Officer, as appropriate to allow timely decisions regarding required disclosure.</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management under the supervision and with the participation of the Company’s Interim President and Chief Executive Officer and Chief Financial Officer carried out an evaluation of the effectiveness of the design and operation of our disclosure controls and procedures, as defined in Rule 13a-15(e) and 15d-15(e) under the Exchange Act, on December 31, 2022. Based on their evaluation the Interim President and Chief Executive Officer and Chief Financial Officer have concluded that the Company’s disclosure controls and procedures were effective on December 31, 2022.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w:t>
      </w:r>
      <w:r>
        <w:rPr>
          <w:rFonts w:ascii="Arial" w:cs="Arial" w:eastAsia="Arial" w:hAnsi="Arial"/>
          <w:sz w:val="18"/>
          <w:szCs w:val="18"/>
          <w:color w:val="auto"/>
        </w:rPr>
        <w:t>’</w:t>
      </w:r>
      <w:r>
        <w:rPr>
          <w:rFonts w:ascii="Arial" w:cs="Arial" w:eastAsia="Arial" w:hAnsi="Arial"/>
          <w:sz w:val="18"/>
          <w:szCs w:val="18"/>
          <w:b w:val="1"/>
          <w:bCs w:val="1"/>
          <w:color w:val="auto"/>
        </w:rPr>
        <w:t>s Annual Report on Internal Control Over Financial Reporting</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The Company’s internal control system is designed to provide reasonable assurance regarding the reliability of financial reporting and the preparation and fair presentation of published financial statements in accordance with U.S. GAAP and includes those policies and procedures that: (i) pertain to the maintenance of records that in reasonable detail accurately and fairly reflect the transactions and dispositions of its assets; (ii) provide reasonable assurance that transactions are recorded as necessary to permit preparation of its financial statements in accordance with U.S. GAAP, and that its receipts and expenditures are being made only in accordance with authorizations of its management and directors; and (iii) provide reasonable assurance regarding prevention or timely detection of unauthorized acquisition, use or disposition of the Company's assets that could have a material effect on its financial statements.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its inherent limitations, internal control over financial reporting may not prevent or detect misstatements. Management's projections of any evaluation of the effectiveness of internal control over financial reporting as to future periods are subject to the risks that controls may become inadequate because of changes in conditions, or that the degree of compliance with the policies or procedures may deteriorate.</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management, under the oversight of the Interim President and Chief Executive Officer and Chief Financial Officer, assessed the effectiveness of the Company’s internal control over financial reporting on December 31, 2022 and in making this assessment used the criteria set forth by the Committee of Sponsoring Organizations of the Treadway Commission Internal Control-Integrated Framework (2013). Based on this assessment, the Company’s management, under the oversight of the Interim President and Chief Executive Officer and Chief Financial Officer, determined that the Company’s internal control over financial reporting was effective on December 31, 2022.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15d- 15(f) of the Exchange Act) during the most recent fiscal quarter that have materially affected, or are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359"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Item 10 will appear in the Company’s Proxy Statement for its 2023 Annual Meeting of Stockholders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Item 11 will appear in the Company’s Proxy Statement for its 2023 Annual Meeting of Stockholders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Item 12 will appear in the Company’s Proxy Statement for its 2023 Annual Meeting of Stockholders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Item 13 will appear in the Company’s Proxy Statement for its 2023 Annual Meeting of Stockholders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Item 14 will appear in the Company’s Proxy Statement for its 2023 Annual Meeting of Stockholders and is incorporated herein by reference.</w:t>
      </w:r>
    </w:p>
    <w:p>
      <w:pPr>
        <w:spacing w:after="0" w:line="14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2" w:right="9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(1)Financial Statements:</w:t>
      </w:r>
    </w:p>
    <w:p>
      <w:pPr>
        <w:spacing w:after="0" w:line="239" w:lineRule="exact"/>
        <w:rPr>
          <w:sz w:val="20"/>
          <w:szCs w:val="20"/>
          <w:color w:val="auto"/>
        </w:rPr>
      </w:pPr>
    </w:p>
    <w:p>
      <w:pPr>
        <w:ind w:left="640" w:right="1080"/>
        <w:spacing w:after="0" w:line="271" w:lineRule="auto"/>
        <w:rPr>
          <w:sz w:val="20"/>
          <w:szCs w:val="20"/>
          <w:color w:val="auto"/>
        </w:rPr>
      </w:pPr>
      <w:r>
        <w:rPr>
          <w:rFonts w:ascii="Arial" w:cs="Arial" w:eastAsia="Arial" w:hAnsi="Arial"/>
          <w:sz w:val="18"/>
          <w:szCs w:val="18"/>
          <w:color w:val="auto"/>
        </w:rPr>
        <w:t>The financial statements are filed as part of this Annual Report on Form 10-K under “Item 8. Financial Statements and Supplementary Data.”</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(2)Financial Statement Schedules:</w:t>
      </w:r>
    </w:p>
    <w:p>
      <w:pPr>
        <w:spacing w:after="0" w:line="239"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Schedule II-Valuation and Qualifying Accounts is included below. The rest of the schedules required by this item have been omitted as they are either not required, not applicable or the information required is presented in the financial statements and notes thereto under "Item 8. Financial Statements and Supplementary Data" of this report.</w:t>
      </w:r>
    </w:p>
    <w:p>
      <w:pPr>
        <w:spacing w:after="0" w:line="3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Holley Inc. and Subsidiaries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Schedule II - Valuation and Qualifying Accounts</w:t>
      </w:r>
    </w:p>
    <w:p>
      <w:pPr>
        <w:jc w:val="center"/>
        <w:ind w:right="-179"/>
        <w:spacing w:after="0"/>
        <w:rPr>
          <w:sz w:val="20"/>
          <w:szCs w:val="20"/>
          <w:color w:val="auto"/>
        </w:rPr>
      </w:pPr>
      <w:r>
        <w:rPr>
          <w:rFonts w:ascii="Arial" w:cs="Arial" w:eastAsia="Arial" w:hAnsi="Arial"/>
          <w:sz w:val="18"/>
          <w:szCs w:val="18"/>
          <w:color w:val="auto"/>
        </w:rPr>
        <w:t>Years Ended December 31, 2022, 2021, and 2020</w:t>
      </w:r>
    </w:p>
    <w:p>
      <w:pPr>
        <w:spacing w:after="0" w:line="176"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rPr>
              <w:t>Charged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rPr>
              <w:t>Charged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8"/>
              </w:rPr>
              <w:t>Balance at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9"/>
              </w:rPr>
              <w:t>(Credited)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420"/>
              <w:spacing w:after="0" w:line="202" w:lineRule="exact"/>
              <w:rPr>
                <w:sz w:val="20"/>
                <w:szCs w:val="20"/>
                <w:color w:val="auto"/>
              </w:rPr>
            </w:pPr>
            <w:r>
              <w:rPr>
                <w:rFonts w:ascii="Arial" w:cs="Arial" w:eastAsia="Arial" w:hAnsi="Arial"/>
                <w:sz w:val="18"/>
                <w:szCs w:val="18"/>
                <w:color w:val="auto"/>
                <w:w w:val="99"/>
              </w:rPr>
              <w:t>Reserves</w:t>
            </w:r>
          </w:p>
        </w:tc>
        <w:tc>
          <w:tcPr>
            <w:tcW w:w="118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Against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rPr>
              <w:t>Balance 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Beginning of</w:t>
            </w:r>
          </w:p>
        </w:tc>
        <w:tc>
          <w:tcPr>
            <w:tcW w:w="220" w:type="dxa"/>
            <w:vAlign w:val="bottom"/>
          </w:tcPr>
          <w:p>
            <w:pPr>
              <w:spacing w:after="0"/>
              <w:rPr>
                <w:sz w:val="17"/>
                <w:szCs w:val="17"/>
                <w:color w:val="auto"/>
              </w:rPr>
            </w:pPr>
          </w:p>
        </w:tc>
        <w:tc>
          <w:tcPr>
            <w:tcW w:w="120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to Costs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420"/>
              <w:spacing w:after="0" w:line="202" w:lineRule="exact"/>
              <w:rPr>
                <w:sz w:val="20"/>
                <w:szCs w:val="20"/>
                <w:color w:val="auto"/>
              </w:rPr>
            </w:pPr>
            <w:r>
              <w:rPr>
                <w:rFonts w:ascii="Arial" w:cs="Arial" w:eastAsia="Arial" w:hAnsi="Arial"/>
                <w:sz w:val="18"/>
                <w:szCs w:val="18"/>
                <w:color w:val="auto"/>
                <w:w w:val="99"/>
              </w:rPr>
              <w:t>from</w:t>
            </w:r>
          </w:p>
        </w:tc>
        <w:tc>
          <w:tcPr>
            <w:tcW w:w="118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8"/>
              </w:rPr>
              <w:t>Allowances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End of</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99"/>
              </w:rPr>
              <w:t>Period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98"/>
              </w:rPr>
              <w:t>Expenses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Acquisitions</w:t>
            </w:r>
          </w:p>
        </w:tc>
        <w:tc>
          <w:tcPr>
            <w:tcW w:w="1060" w:type="dxa"/>
            <w:vAlign w:val="bottom"/>
          </w:tcPr>
          <w:p>
            <w:pPr>
              <w:jc w:val="center"/>
              <w:ind w:right="30"/>
              <w:spacing w:after="0"/>
              <w:rPr>
                <w:sz w:val="20"/>
                <w:szCs w:val="20"/>
                <w:color w:val="auto"/>
              </w:rPr>
            </w:pPr>
            <w:r>
              <w:rPr>
                <w:rFonts w:ascii="Arial" w:cs="Arial" w:eastAsia="Arial" w:hAnsi="Arial"/>
                <w:sz w:val="18"/>
                <w:szCs w:val="18"/>
                <w:color w:val="auto"/>
              </w:rPr>
              <w:t>(1) (2)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Accounts receivable reserve:</w:t>
            </w: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line="202" w:lineRule="exact"/>
              <w:rPr>
                <w:sz w:val="20"/>
                <w:szCs w:val="20"/>
                <w:color w:val="auto"/>
              </w:rPr>
            </w:pPr>
            <w:r>
              <w:rPr>
                <w:rFonts w:ascii="Arial" w:cs="Arial" w:eastAsia="Arial" w:hAnsi="Arial"/>
                <w:sz w:val="18"/>
                <w:szCs w:val="18"/>
                <w:color w:val="auto"/>
              </w:rPr>
              <w:t>Year ended December 31, 2020: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Bad debt reserve</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1,597</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ind w:left="160"/>
              <w:spacing w:after="0" w:line="202" w:lineRule="exact"/>
              <w:rPr>
                <w:sz w:val="20"/>
                <w:szCs w:val="20"/>
                <w:color w:val="auto"/>
              </w:rPr>
            </w:pPr>
            <w:r>
              <w:rPr>
                <w:rFonts w:ascii="Arial" w:cs="Arial" w:eastAsia="Arial" w:hAnsi="Arial"/>
                <w:sz w:val="18"/>
                <w:szCs w:val="18"/>
                <w:color w:val="auto"/>
              </w:rPr>
              <w:t>Cash discount reserve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5,289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5,105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2021: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ind w:left="160"/>
              <w:spacing w:after="0" w:line="202" w:lineRule="exact"/>
              <w:rPr>
                <w:sz w:val="20"/>
                <w:szCs w:val="20"/>
                <w:color w:val="auto"/>
              </w:rPr>
            </w:pPr>
            <w:r>
              <w:rPr>
                <w:rFonts w:ascii="Arial" w:cs="Arial" w:eastAsia="Arial" w:hAnsi="Arial"/>
                <w:sz w:val="18"/>
                <w:szCs w:val="18"/>
                <w:color w:val="auto"/>
              </w:rPr>
              <w:t>Bad debt reserve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813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809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666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Cash discount reserve</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6,169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line="202" w:lineRule="exact"/>
              <w:rPr>
                <w:sz w:val="20"/>
                <w:szCs w:val="20"/>
                <w:color w:val="auto"/>
              </w:rPr>
            </w:pPr>
            <w:r>
              <w:rPr>
                <w:rFonts w:ascii="Arial" w:cs="Arial" w:eastAsia="Arial" w:hAnsi="Arial"/>
                <w:sz w:val="18"/>
                <w:szCs w:val="18"/>
                <w:color w:val="auto"/>
              </w:rPr>
              <w:t>Year ended December 31, 2022:</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Bad debt reserve</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ind w:left="160"/>
              <w:spacing w:after="0" w:line="202" w:lineRule="exact"/>
              <w:rPr>
                <w:sz w:val="20"/>
                <w:szCs w:val="20"/>
                <w:color w:val="auto"/>
              </w:rPr>
            </w:pPr>
            <w:r>
              <w:rPr>
                <w:rFonts w:ascii="Arial" w:cs="Arial" w:eastAsia="Arial" w:hAnsi="Arial"/>
                <w:sz w:val="18"/>
                <w:szCs w:val="18"/>
                <w:color w:val="auto"/>
              </w:rPr>
              <w:t>Cash discount reserve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5,941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5,983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00" w:type="dxa"/>
            <w:vAlign w:val="bottom"/>
          </w:tcPr>
          <w:p>
            <w:pPr>
              <w:spacing w:after="0" w:line="202" w:lineRule="exact"/>
              <w:rPr>
                <w:sz w:val="20"/>
                <w:szCs w:val="20"/>
                <w:color w:val="auto"/>
              </w:rPr>
            </w:pPr>
            <w:r>
              <w:rPr>
                <w:rFonts w:ascii="Arial" w:cs="Arial" w:eastAsia="Arial" w:hAnsi="Arial"/>
                <w:sz w:val="18"/>
                <w:szCs w:val="18"/>
                <w:b w:val="1"/>
                <w:bCs w:val="1"/>
                <w:color w:val="auto"/>
              </w:rPr>
              <w:t>Inventory valuation reserve: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2020: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ind w:left="160"/>
              <w:spacing w:after="0" w:line="202" w:lineRule="exact"/>
              <w:rPr>
                <w:sz w:val="20"/>
                <w:szCs w:val="20"/>
                <w:color w:val="auto"/>
              </w:rPr>
            </w:pPr>
            <w:r>
              <w:rPr>
                <w:rFonts w:ascii="Arial" w:cs="Arial" w:eastAsia="Arial" w:hAnsi="Arial"/>
                <w:sz w:val="18"/>
                <w:szCs w:val="18"/>
                <w:color w:val="auto"/>
              </w:rPr>
              <w:t>Expired and obsolete reserve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18,870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2,293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480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22,052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2021: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ind w:left="160"/>
              <w:spacing w:after="0" w:line="202" w:lineRule="exact"/>
              <w:rPr>
                <w:sz w:val="20"/>
                <w:szCs w:val="20"/>
                <w:color w:val="auto"/>
              </w:rPr>
            </w:pPr>
            <w:r>
              <w:rPr>
                <w:rFonts w:ascii="Arial" w:cs="Arial" w:eastAsia="Arial" w:hAnsi="Arial"/>
                <w:sz w:val="18"/>
                <w:szCs w:val="18"/>
                <w:color w:val="auto"/>
              </w:rPr>
              <w:t>Expired and obsolete reserve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22,052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3,806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804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26,280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2022:</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160"/>
              <w:spacing w:after="0" w:line="201" w:lineRule="exact"/>
              <w:rPr>
                <w:sz w:val="20"/>
                <w:szCs w:val="20"/>
                <w:color w:val="auto"/>
              </w:rPr>
            </w:pPr>
            <w:r>
              <w:rPr>
                <w:rFonts w:ascii="Arial" w:cs="Arial" w:eastAsia="Arial" w:hAnsi="Arial"/>
                <w:sz w:val="18"/>
                <w:szCs w:val="18"/>
                <w:color w:val="auto"/>
              </w:rPr>
              <w:t>Expired and obsolete reserve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26,280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13,410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1,156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38,534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60" w:hanging="271"/>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Write-off of uncollectible accounts, net of recoveries.</w:t>
      </w:r>
    </w:p>
    <w:p>
      <w:pPr>
        <w:spacing w:after="0" w:line="27" w:lineRule="exact"/>
        <w:rPr>
          <w:rFonts w:ascii="Arial" w:cs="Arial" w:eastAsia="Arial" w:hAnsi="Arial"/>
          <w:sz w:val="18"/>
          <w:szCs w:val="18"/>
          <w:color w:val="auto"/>
        </w:rPr>
      </w:pPr>
    </w:p>
    <w:p>
      <w:pPr>
        <w:ind w:left="500" w:hanging="211"/>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Write-off of obsolete inventory, net of inventory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-250190</wp:posOffset>
            </wp:positionV>
            <wp:extent cx="677227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(3)Exhibits: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immediately following the signature page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2" w:right="4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0580" w:type="dxa"/>
            <w:vAlign w:val="bottom"/>
            <w:gridSpan w:val="8"/>
          </w:tcPr>
          <w:p>
            <w:pPr>
              <w:spacing w:after="0"/>
              <w:rPr>
                <w:sz w:val="20"/>
                <w:szCs w:val="20"/>
                <w:color w:val="auto"/>
              </w:rPr>
            </w:pPr>
            <w:r>
              <w:rPr>
                <w:rFonts w:ascii="Arial" w:cs="Arial" w:eastAsia="Arial" w:hAnsi="Arial"/>
                <w:sz w:val="18"/>
                <w:szCs w:val="18"/>
                <w:color w:val="0000EE"/>
              </w:rPr>
              <w:t>Table of Contents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0"/>
        </w:trPr>
        <w:tc>
          <w:tcPr>
            <w:tcW w:w="140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tcPr>
          <w:p>
            <w:pPr>
              <w:jc w:val="center"/>
              <w:ind w:right="4090"/>
              <w:spacing w:after="0"/>
              <w:rPr>
                <w:sz w:val="20"/>
                <w:szCs w:val="20"/>
                <w:color w:val="auto"/>
              </w:rPr>
            </w:pPr>
            <w:r>
              <w:rPr>
                <w:rFonts w:ascii="Arial" w:cs="Arial" w:eastAsia="Arial" w:hAnsi="Arial"/>
                <w:sz w:val="18"/>
                <w:szCs w:val="18"/>
                <w:b w:val="1"/>
                <w:bCs w:val="1"/>
                <w:color w:val="auto"/>
                <w:w w:val="99"/>
              </w:rPr>
              <w:t>HOLLEY INC.</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80" w:type="dxa"/>
            <w:vAlign w:val="bottom"/>
            <w:gridSpan w:val="4"/>
          </w:tcPr>
          <w:p>
            <w:pPr>
              <w:jc w:val="center"/>
              <w:ind w:right="2750"/>
              <w:spacing w:after="0"/>
              <w:rPr>
                <w:sz w:val="20"/>
                <w:szCs w:val="20"/>
                <w:color w:val="auto"/>
              </w:rPr>
            </w:pPr>
            <w:r>
              <w:rPr>
                <w:rFonts w:ascii="Arial" w:cs="Arial" w:eastAsia="Arial" w:hAnsi="Arial"/>
                <w:sz w:val="18"/>
                <w:szCs w:val="18"/>
                <w:b w:val="1"/>
                <w:bCs w:val="1"/>
                <w:color w:val="auto"/>
                <w:w w:val="99"/>
              </w:rPr>
              <w:t>INDEX TO FINANCIAL STATEMENTS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580" w:type="dxa"/>
            <w:vAlign w:val="bottom"/>
            <w:gridSpan w:val="8"/>
            <w:vMerge w:val="restart"/>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Number 248)</w:t>
            </w:r>
          </w:p>
        </w:tc>
        <w:tc>
          <w:tcPr>
            <w:tcW w:w="660" w:type="dxa"/>
            <w:vAlign w:val="bottom"/>
            <w:gridSpan w:val="4"/>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580" w:type="dxa"/>
            <w:vAlign w:val="bottom"/>
            <w:gridSpan w:val="8"/>
            <w:vMerge w:val="continue"/>
          </w:tcPr>
          <w:p>
            <w:pPr>
              <w:spacing w:after="0"/>
              <w:rPr>
                <w:sz w:val="15"/>
                <w:szCs w:val="15"/>
                <w:color w:val="auto"/>
              </w:rPr>
            </w:pPr>
          </w:p>
        </w:tc>
        <w:tc>
          <w:tcPr>
            <w:tcW w:w="42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color w:val="0000EE"/>
              </w:rPr>
              <w:t>50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0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Consolidated Balance Sheets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79"/>
              </w:rPr>
              <w:t>51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Consolidated Statements of</w:t>
            </w:r>
          </w:p>
        </w:tc>
        <w:tc>
          <w:tcPr>
            <w:tcW w:w="236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5"/>
              </w:rPr>
              <w:t>Comprehensive Income (Loss)</w:t>
            </w:r>
          </w:p>
        </w:tc>
        <w:tc>
          <w:tcPr>
            <w:tcW w:w="58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79"/>
              </w:rPr>
              <w:t>52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580" w:type="dxa"/>
            <w:vAlign w:val="bottom"/>
            <w:gridSpan w:val="8"/>
          </w:tcPr>
          <w:p>
            <w:pPr>
              <w:spacing w:after="0" w:line="182" w:lineRule="exact"/>
              <w:rPr>
                <w:sz w:val="20"/>
                <w:szCs w:val="20"/>
                <w:color w:val="auto"/>
              </w:rPr>
            </w:pPr>
            <w:r>
              <w:rPr>
                <w:rFonts w:ascii="Arial" w:cs="Arial" w:eastAsia="Arial" w:hAnsi="Arial"/>
                <w:sz w:val="18"/>
                <w:szCs w:val="18"/>
                <w:color w:val="0000EE"/>
              </w:rPr>
              <w:t>Consolidated Statements of Changes in Stockholders’ Equity</w:t>
            </w:r>
          </w:p>
        </w:tc>
        <w:tc>
          <w:tcPr>
            <w:tcW w:w="20" w:type="dxa"/>
            <w:vAlign w:val="bottom"/>
          </w:tcPr>
          <w:p>
            <w:pPr>
              <w:spacing w:after="0"/>
              <w:rPr>
                <w:sz w:val="15"/>
                <w:szCs w:val="15"/>
                <w:color w:val="auto"/>
              </w:rPr>
            </w:pPr>
          </w:p>
        </w:tc>
        <w:tc>
          <w:tcPr>
            <w:tcW w:w="180" w:type="dxa"/>
            <w:vAlign w:val="bottom"/>
          </w:tcPr>
          <w:p>
            <w:pPr>
              <w:spacing w:after="0" w:line="182" w:lineRule="exact"/>
              <w:rPr>
                <w:sz w:val="20"/>
                <w:szCs w:val="20"/>
                <w:color w:val="auto"/>
              </w:rPr>
            </w:pPr>
            <w:r>
              <w:rPr>
                <w:rFonts w:ascii="Arial" w:cs="Arial" w:eastAsia="Arial" w:hAnsi="Arial"/>
                <w:sz w:val="18"/>
                <w:szCs w:val="18"/>
                <w:color w:val="0000EE"/>
                <w:w w:val="79"/>
              </w:rPr>
              <w:t>53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6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Consolidated Statements of Cash Flows</w:t>
            </w:r>
          </w:p>
        </w:tc>
        <w:tc>
          <w:tcPr>
            <w:tcW w:w="5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79"/>
              </w:rPr>
              <w:t>54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80" w:type="dxa"/>
            <w:vAlign w:val="bottom"/>
            <w:gridSpan w:val="8"/>
          </w:tcPr>
          <w:p>
            <w:pPr>
              <w:spacing w:after="0" w:line="182" w:lineRule="exact"/>
              <w:rPr>
                <w:sz w:val="20"/>
                <w:szCs w:val="20"/>
                <w:color w:val="auto"/>
              </w:rPr>
            </w:pPr>
            <w:r>
              <w:rPr>
                <w:rFonts w:ascii="Arial" w:cs="Arial" w:eastAsia="Arial" w:hAnsi="Arial"/>
                <w:sz w:val="18"/>
                <w:szCs w:val="18"/>
                <w:color w:val="0000EE"/>
              </w:rPr>
              <w:t>Notes to Consolidated Financial Statements</w:t>
            </w:r>
          </w:p>
        </w:tc>
        <w:tc>
          <w:tcPr>
            <w:tcW w:w="20" w:type="dxa"/>
            <w:vAlign w:val="bottom"/>
            <w:vMerge w:val="continue"/>
          </w:tcPr>
          <w:p>
            <w:pPr>
              <w:spacing w:after="0"/>
              <w:rPr>
                <w:sz w:val="15"/>
                <w:szCs w:val="15"/>
                <w:color w:val="auto"/>
              </w:rPr>
            </w:pPr>
          </w:p>
        </w:tc>
        <w:tc>
          <w:tcPr>
            <w:tcW w:w="180" w:type="dxa"/>
            <w:vAlign w:val="bottom"/>
          </w:tcPr>
          <w:p>
            <w:pPr>
              <w:spacing w:after="0" w:line="182" w:lineRule="exact"/>
              <w:rPr>
                <w:sz w:val="20"/>
                <w:szCs w:val="20"/>
                <w:color w:val="auto"/>
              </w:rPr>
            </w:pPr>
            <w:r>
              <w:rPr>
                <w:rFonts w:ascii="Arial" w:cs="Arial" w:eastAsia="Arial" w:hAnsi="Arial"/>
                <w:sz w:val="18"/>
                <w:szCs w:val="18"/>
                <w:color w:val="0000EE"/>
                <w:w w:val="79"/>
              </w:rPr>
              <w:t>55</w:t>
            </w:r>
          </w:p>
        </w:tc>
        <w:tc>
          <w:tcPr>
            <w:tcW w:w="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3500" w:type="dxa"/>
            <w:vAlign w:val="bottom"/>
            <w:tcBorders>
              <w:top w:val="single" w:sz="8" w:color="0000EE"/>
            </w:tcBorders>
            <w:gridSpan w:val="4"/>
          </w:tcPr>
          <w:p>
            <w:pPr>
              <w:spacing w:after="0"/>
              <w:rPr>
                <w:sz w:val="24"/>
                <w:szCs w:val="24"/>
                <w:color w:val="auto"/>
              </w:rPr>
            </w:pPr>
          </w:p>
        </w:tc>
        <w:tc>
          <w:tcPr>
            <w:tcW w:w="7080" w:type="dxa"/>
            <w:vAlign w:val="bottom"/>
            <w:gridSpan w:val="4"/>
          </w:tcPr>
          <w:p>
            <w:pPr>
              <w:jc w:val="center"/>
              <w:ind w:right="2750"/>
              <w:spacing w:after="0"/>
              <w:rPr>
                <w:sz w:val="20"/>
                <w:szCs w:val="20"/>
                <w:color w:val="auto"/>
              </w:rPr>
            </w:pPr>
            <w:r>
              <w:rPr>
                <w:rFonts w:ascii="Arial" w:cs="Arial" w:eastAsia="Arial" w:hAnsi="Arial"/>
                <w:sz w:val="18"/>
                <w:szCs w:val="18"/>
                <w:color w:val="auto"/>
                <w:w w:val="99"/>
              </w:rPr>
              <w:t>49</w:t>
            </w:r>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4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Board of Directors and Stockholders</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Holley Inc.</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 w:lineRule="exact"/>
        <w:rPr>
          <w:sz w:val="20"/>
          <w:szCs w:val="20"/>
          <w:color w:val="auto"/>
        </w:rPr>
      </w:pPr>
    </w:p>
    <w:p>
      <w:pPr>
        <w:jc w:val="both"/>
        <w:ind w:left="540"/>
        <w:spacing w:after="0" w:line="237" w:lineRule="auto"/>
        <w:rPr>
          <w:sz w:val="20"/>
          <w:szCs w:val="20"/>
          <w:color w:val="auto"/>
        </w:rPr>
      </w:pPr>
      <w:r>
        <w:rPr>
          <w:rFonts w:ascii="Arial" w:cs="Arial" w:eastAsia="Arial" w:hAnsi="Arial"/>
          <w:sz w:val="18"/>
          <w:szCs w:val="18"/>
          <w:color w:val="auto"/>
        </w:rPr>
        <w:t>We have audited the accompanying consolidated balance sheets of Holley Inc. (a Delaware corporation) and subsidiaries (the “Company”) as of December 31, 2022 and 2021, the related consolidated statements of comprehensive income (loss), changes in stockholders’ equity, and cash flows for each of the three years in the period ended December 31, 2022, and the related notes and financial statement schedule included under Item 15(a)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Change in accounting principle</w:t>
      </w:r>
    </w:p>
    <w:p>
      <w:pPr>
        <w:spacing w:after="0" w:line="14" w:lineRule="exact"/>
        <w:rPr>
          <w:sz w:val="20"/>
          <w:szCs w:val="20"/>
          <w:color w:val="auto"/>
        </w:rPr>
      </w:pPr>
    </w:p>
    <w:p>
      <w:pPr>
        <w:jc w:val="both"/>
        <w:ind w:left="540"/>
        <w:spacing w:after="0" w:line="250" w:lineRule="auto"/>
        <w:rPr>
          <w:sz w:val="20"/>
          <w:szCs w:val="20"/>
          <w:color w:val="auto"/>
        </w:rPr>
      </w:pPr>
      <w:r>
        <w:rPr>
          <w:rFonts w:ascii="Arial" w:cs="Arial" w:eastAsia="Arial" w:hAnsi="Arial"/>
          <w:sz w:val="18"/>
          <w:szCs w:val="18"/>
          <w:color w:val="auto"/>
        </w:rPr>
        <w:t xml:space="preserve">As discussed in Note 14 to the consolidated financial statements, the Company has changed its method of accounting for leases in 2022 due to the adoption of ASC Topic 842, </w:t>
      </w:r>
      <w:r>
        <w:rPr>
          <w:rFonts w:ascii="Arial" w:cs="Arial" w:eastAsia="Arial" w:hAnsi="Arial"/>
          <w:sz w:val="18"/>
          <w:szCs w:val="18"/>
          <w:i w:val="1"/>
          <w:iCs w:val="1"/>
          <w:color w:val="auto"/>
        </w:rPr>
        <w:t>Leases.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Basis for opinion</w:t>
      </w:r>
    </w:p>
    <w:p>
      <w:pPr>
        <w:spacing w:after="0" w:line="14" w:lineRule="exact"/>
        <w:rPr>
          <w:sz w:val="20"/>
          <w:szCs w:val="20"/>
          <w:color w:val="auto"/>
        </w:rPr>
      </w:pPr>
    </w:p>
    <w:p>
      <w:pPr>
        <w:jc w:val="both"/>
        <w:ind w:left="540"/>
        <w:spacing w:after="0"/>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jc w:val="both"/>
        <w:ind w:left="540"/>
        <w:spacing w:after="0" w:line="24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5" w:lineRule="exact"/>
        <w:rPr>
          <w:sz w:val="20"/>
          <w:szCs w:val="20"/>
          <w:color w:val="auto"/>
        </w:rPr>
      </w:pPr>
    </w:p>
    <w:p>
      <w:pPr>
        <w:jc w:val="both"/>
        <w:ind w:left="540"/>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served as the Company’s auditor since 2020</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Cincinnati, Ohio</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March 15, 2023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6"/>
        </w:trPr>
        <w:tc>
          <w:tcPr>
            <w:tcW w:w="1400" w:type="dxa"/>
            <w:vAlign w:val="bottom"/>
            <w:tcBorders>
              <w:top w:val="single" w:sz="8" w:color="0000EE"/>
            </w:tcBorders>
          </w:tcPr>
          <w:p>
            <w:pPr>
              <w:spacing w:after="0"/>
              <w:rPr>
                <w:sz w:val="24"/>
                <w:szCs w:val="24"/>
                <w:color w:val="auto"/>
              </w:rPr>
            </w:pPr>
          </w:p>
        </w:tc>
        <w:tc>
          <w:tcPr>
            <w:tcW w:w="66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HOLLEY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400" w:type="dxa"/>
            <w:vAlign w:val="bottom"/>
          </w:tcPr>
          <w:p>
            <w:pPr>
              <w:spacing w:after="0"/>
              <w:rPr>
                <w:sz w:val="17"/>
                <w:szCs w:val="17"/>
                <w:color w:val="auto"/>
              </w:rPr>
            </w:pPr>
          </w:p>
        </w:tc>
        <w:tc>
          <w:tcPr>
            <w:tcW w:w="6600" w:type="dxa"/>
            <w:vAlign w:val="bottom"/>
          </w:tcPr>
          <w:p>
            <w:pPr>
              <w:jc w:val="center"/>
              <w:ind w:left="1750"/>
              <w:spacing w:after="0" w:line="202" w:lineRule="exact"/>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400" w:type="dxa"/>
            <w:vAlign w:val="bottom"/>
          </w:tcPr>
          <w:p>
            <w:pPr>
              <w:spacing w:after="0"/>
              <w:rPr>
                <w:sz w:val="20"/>
                <w:szCs w:val="20"/>
                <w:color w:val="auto"/>
              </w:rPr>
            </w:pPr>
          </w:p>
        </w:tc>
        <w:tc>
          <w:tcPr>
            <w:tcW w:w="6600" w:type="dxa"/>
            <w:vAlign w:val="bottom"/>
          </w:tcPr>
          <w:p>
            <w:pPr>
              <w:jc w:val="center"/>
              <w:ind w:left="1750"/>
              <w:spacing w:after="0"/>
              <w:rPr>
                <w:sz w:val="20"/>
                <w:szCs w:val="20"/>
                <w:color w:val="auto"/>
              </w:rPr>
            </w:pPr>
            <w:r>
              <w:rPr>
                <w:rFonts w:ascii="Arial" w:cs="Arial" w:eastAsia="Arial" w:hAnsi="Arial"/>
                <w:sz w:val="18"/>
                <w:szCs w:val="18"/>
                <w:color w:val="auto"/>
              </w:rPr>
              <w:t>(in thousands, except share data)</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0"/>
        </w:trPr>
        <w:tc>
          <w:tcPr>
            <w:tcW w:w="14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7"/>
                <w:szCs w:val="17"/>
                <w:color w:val="auto"/>
              </w:rPr>
            </w:pPr>
          </w:p>
        </w:tc>
      </w:tr>
      <w:tr>
        <w:trPr>
          <w:trHeight w:val="196"/>
        </w:trPr>
        <w:tc>
          <w:tcPr>
            <w:tcW w:w="1400" w:type="dxa"/>
            <w:vAlign w:val="bottom"/>
            <w:shd w:val="clear" w:color="auto" w:fill="CCEEFF"/>
          </w:tcPr>
          <w:p>
            <w:pPr>
              <w:spacing w:after="0"/>
              <w:rPr>
                <w:sz w:val="17"/>
                <w:szCs w:val="17"/>
                <w:color w:val="auto"/>
              </w:rPr>
            </w:pPr>
          </w:p>
        </w:tc>
        <w:tc>
          <w:tcPr>
            <w:tcW w:w="6600" w:type="dxa"/>
            <w:vAlign w:val="bottom"/>
            <w:shd w:val="clear" w:color="auto" w:fill="CCEEFF"/>
          </w:tcPr>
          <w:p>
            <w:pPr>
              <w:jc w:val="center"/>
              <w:ind w:right="1430"/>
              <w:spacing w:after="0" w:line="196" w:lineRule="exact"/>
              <w:rPr>
                <w:sz w:val="20"/>
                <w:szCs w:val="20"/>
                <w:color w:val="auto"/>
              </w:rPr>
            </w:pPr>
            <w:r>
              <w:rPr>
                <w:rFonts w:ascii="Arial" w:cs="Arial" w:eastAsia="Arial" w:hAnsi="Arial"/>
                <w:sz w:val="18"/>
                <w:szCs w:val="18"/>
                <w:b w:val="1"/>
                <w:bCs w:val="1"/>
                <w:color w:val="auto"/>
                <w:w w:val="99"/>
              </w:rPr>
              <w:t>ASSETS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26,150</w:t>
            </w:r>
          </w:p>
        </w:tc>
        <w:tc>
          <w:tcPr>
            <w:tcW w:w="120" w:type="dxa"/>
            <w:vAlign w:val="bottom"/>
          </w:tcPr>
          <w:p>
            <w:pPr>
              <w:spacing w:after="0"/>
              <w:rPr>
                <w:sz w:val="17"/>
                <w:szCs w:val="17"/>
                <w:color w:val="auto"/>
              </w:rPr>
            </w:pPr>
          </w:p>
        </w:tc>
        <w:tc>
          <w:tcPr>
            <w:tcW w:w="5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36,325</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less allowance for credit losses of $1,550 and $1,387, respectively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47,083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51,390</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233,573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185,040</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Prepaids and other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18,157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18,962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324,963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291,717</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51,495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418,121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411,383</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intangibles assets, net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424,855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438,461</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Right-of-use assets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29,522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8000" w:type="dxa"/>
            <w:vAlign w:val="bottom"/>
            <w:gridSpan w:val="2"/>
            <w:shd w:val="clear" w:color="auto" w:fill="CCEEFF"/>
          </w:tcPr>
          <w:p>
            <w:pPr>
              <w:ind w:left="340"/>
              <w:spacing w:after="0" w:line="182" w:lineRule="exact"/>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1,249,642</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1,193,056</w:t>
            </w:r>
          </w:p>
        </w:tc>
      </w:tr>
      <w:tr>
        <w:trPr>
          <w:trHeight w:val="183"/>
        </w:trPr>
        <w:tc>
          <w:tcPr>
            <w:tcW w:w="1400" w:type="dxa"/>
            <w:vAlign w:val="bottom"/>
            <w:tcBorders>
              <w:top w:val="single" w:sz="8" w:color="CCEEFF"/>
            </w:tcBorders>
          </w:tcPr>
          <w:p>
            <w:pPr>
              <w:spacing w:after="0"/>
              <w:rPr>
                <w:sz w:val="15"/>
                <w:szCs w:val="15"/>
                <w:color w:val="auto"/>
              </w:rPr>
            </w:pPr>
          </w:p>
        </w:tc>
        <w:tc>
          <w:tcPr>
            <w:tcW w:w="6600" w:type="dxa"/>
            <w:vAlign w:val="bottom"/>
            <w:tcBorders>
              <w:top w:val="single" w:sz="8" w:color="CCEEFF"/>
            </w:tcBorders>
          </w:tcPr>
          <w:p>
            <w:pPr>
              <w:jc w:val="center"/>
              <w:ind w:right="143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44,948</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45,708</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5,994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3,359</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43,317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34,853</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7,875</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101,259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91,795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643,563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637,673</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61,293</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Earn-out liability</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26,596</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taxes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70,045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24,992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1,167</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833,652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888,569</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Commitments and contingencies (Refer to Note 17 - Commitments and Contingencies)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4"/>
        </w:trPr>
        <w:tc>
          <w:tcPr>
            <w:tcW w:w="8000" w:type="dxa"/>
            <w:vAlign w:val="bottom"/>
            <w:gridSpan w:val="2"/>
          </w:tcPr>
          <w:p>
            <w:pPr>
              <w:spacing w:after="0" w:line="183" w:lineRule="exact"/>
              <w:rPr>
                <w:sz w:val="20"/>
                <w:szCs w:val="20"/>
                <w:color w:val="auto"/>
              </w:rPr>
            </w:pPr>
            <w:r>
              <w:rPr>
                <w:rFonts w:ascii="Arial" w:cs="Arial" w:eastAsia="Arial" w:hAnsi="Arial"/>
                <w:sz w:val="18"/>
                <w:szCs w:val="18"/>
                <w:color w:val="auto"/>
              </w:rPr>
              <w:t>Preferred stock, $0.0001 par value, 5,000,000 shares authorized, none issued and outstanding on</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December 31, 2022 and 2021</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84"/>
        </w:trPr>
        <w:tc>
          <w:tcPr>
            <w:tcW w:w="8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Common stock, $0.0001 par value, 550,000,000 shares authorized, 117,147,997 and 115,807,337</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on December 31, 2022 and 2021, respectively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368,122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329,705</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(944)</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(256)</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Retained earnings (accumulated deficit)</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48,800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(24,974)</w:t>
            </w:r>
          </w:p>
        </w:tc>
      </w:tr>
      <w:tr>
        <w:trPr>
          <w:trHeight w:val="196"/>
        </w:trPr>
        <w:tc>
          <w:tcPr>
            <w:tcW w:w="800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415,990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304,487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34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1,249,642</w:t>
            </w:r>
          </w:p>
        </w:tc>
        <w:tc>
          <w:tcPr>
            <w:tcW w:w="120" w:type="dxa"/>
            <w:vAlign w:val="bottom"/>
          </w:tcPr>
          <w:p>
            <w:pPr>
              <w:spacing w:after="0"/>
              <w:rPr>
                <w:sz w:val="17"/>
                <w:szCs w:val="17"/>
                <w:color w:val="auto"/>
              </w:rPr>
            </w:pPr>
          </w:p>
        </w:tc>
        <w:tc>
          <w:tcPr>
            <w:tcW w:w="58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1,193,056</w:t>
            </w:r>
          </w:p>
        </w:tc>
      </w:tr>
      <w:tr>
        <w:trPr>
          <w:trHeight w:val="20"/>
        </w:trPr>
        <w:tc>
          <w:tcPr>
            <w:tcW w:w="1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47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6"/>
        </w:trPr>
        <w:tc>
          <w:tcPr>
            <w:tcW w:w="140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18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HOLLEY INC.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400" w:type="dxa"/>
            <w:vAlign w:val="bottom"/>
          </w:tcPr>
          <w:p>
            <w:pPr>
              <w:spacing w:after="0"/>
              <w:rPr>
                <w:sz w:val="17"/>
                <w:szCs w:val="17"/>
                <w:color w:val="auto"/>
              </w:rPr>
            </w:pPr>
          </w:p>
        </w:tc>
        <w:tc>
          <w:tcPr>
            <w:tcW w:w="8200" w:type="dxa"/>
            <w:vAlign w:val="bottom"/>
            <w:gridSpan w:val="8"/>
          </w:tcPr>
          <w:p>
            <w:pPr>
              <w:jc w:val="right"/>
              <w:ind w:right="960"/>
              <w:spacing w:after="0" w:line="202" w:lineRule="exact"/>
              <w:rPr>
                <w:sz w:val="20"/>
                <w:szCs w:val="20"/>
                <w:color w:val="auto"/>
              </w:rPr>
            </w:pPr>
            <w:r>
              <w:rPr>
                <w:rFonts w:ascii="Arial" w:cs="Arial" w:eastAsia="Arial" w:hAnsi="Arial"/>
                <w:sz w:val="18"/>
                <w:szCs w:val="18"/>
                <w:b w:val="1"/>
                <w:bCs w:val="1"/>
                <w:color w:val="auto"/>
              </w:rPr>
              <w:t>CONSOLIDATED STATEMENTS OF COMPREHENSIVE INCOME (LOSS)</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40" w:type="dxa"/>
            <w:vAlign w:val="bottom"/>
            <w:gridSpan w:val="2"/>
          </w:tcPr>
          <w:p>
            <w:pPr>
              <w:jc w:val="right"/>
              <w:ind w:right="400"/>
              <w:spacing w:after="0"/>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8"/>
        </w:trPr>
        <w:tc>
          <w:tcPr>
            <w:tcW w:w="1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color w:val="auto"/>
              </w:rPr>
              <w:t>For the years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2022</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r>
      <w:tr>
        <w:trPr>
          <w:trHeight w:val="196"/>
        </w:trPr>
        <w:tc>
          <w:tcPr>
            <w:tcW w:w="4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8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688,415</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692,847</w:t>
            </w:r>
          </w:p>
        </w:tc>
        <w:tc>
          <w:tcPr>
            <w:tcW w:w="5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504,179</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Cost of goods sold</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434,757</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406,040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295,935</w:t>
            </w:r>
          </w:p>
        </w:tc>
      </w:tr>
      <w:tr>
        <w:trPr>
          <w:trHeight w:val="20"/>
        </w:trPr>
        <w:tc>
          <w:tcPr>
            <w:tcW w:w="1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253,658</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286,807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208,244</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150,728</w:t>
            </w: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116,793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70,875</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29,083</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28,280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23,483</w:t>
            </w:r>
          </w:p>
        </w:tc>
      </w:tr>
      <w:tr>
        <w:trPr>
          <w:trHeight w:val="202"/>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14,683</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13,999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11,082</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2,395</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4,513</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23,668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9,743</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Related party acquisition and management fee costs</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25,789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6,089</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Other operating expense</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1,514</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1,517</w:t>
            </w:r>
          </w:p>
        </w:tc>
      </w:tr>
      <w:tr>
        <w:trPr>
          <w:trHeight w:val="20"/>
        </w:trPr>
        <w:tc>
          <w:tcPr>
            <w:tcW w:w="1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operating expense</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202,916</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209,284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122,789</w:t>
            </w:r>
          </w:p>
        </w:tc>
      </w:tr>
      <w:tr>
        <w:trPr>
          <w:trHeight w:val="20"/>
        </w:trPr>
        <w:tc>
          <w:tcPr>
            <w:tcW w:w="140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Operating income</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50,742</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77,523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85,455</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(57,021)</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32,580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(10,731)</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8,875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13,650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40,227</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39,128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43,772</w:t>
            </w:r>
          </w:p>
        </w:tc>
      </w:tr>
      <w:tr>
        <w:trPr>
          <w:trHeight w:val="20"/>
        </w:trPr>
        <w:tc>
          <w:tcPr>
            <w:tcW w:w="1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non-operating (income) expense</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(27,525)</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94,233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43,772</w:t>
            </w:r>
          </w:p>
        </w:tc>
      </w:tr>
      <w:tr>
        <w:trPr>
          <w:trHeight w:val="20"/>
        </w:trPr>
        <w:tc>
          <w:tcPr>
            <w:tcW w:w="140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Income (loss) before income taxes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78,267</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(16,710)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41,683</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4,493</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10,429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8,826</w:t>
            </w:r>
          </w:p>
        </w:tc>
      </w:tr>
      <w:tr>
        <w:trPr>
          <w:trHeight w:val="20"/>
        </w:trPr>
        <w:tc>
          <w:tcPr>
            <w:tcW w:w="140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b w:val="1"/>
                <w:bCs w:val="1"/>
                <w:color w:val="auto"/>
              </w:rPr>
              <w:t>Net income (loss)</w:t>
            </w:r>
          </w:p>
        </w:tc>
        <w:tc>
          <w:tcPr>
            <w:tcW w:w="18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73,774</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(27,139)</w:t>
            </w:r>
          </w:p>
        </w:tc>
        <w:tc>
          <w:tcPr>
            <w:tcW w:w="5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32,857</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Comprehensive income (loss):</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 adjustment</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(990)</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r>
      <w:tr>
        <w:trPr>
          <w:trHeight w:val="203"/>
        </w:trPr>
        <w:tc>
          <w:tcPr>
            <w:tcW w:w="47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liability gain (loss)</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(293)</w:t>
            </w:r>
          </w:p>
        </w:tc>
      </w:tr>
      <w:tr>
        <w:trPr>
          <w:trHeight w:val="20"/>
        </w:trPr>
        <w:tc>
          <w:tcPr>
            <w:tcW w:w="140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other comprehensive income (loss)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(688)</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418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(277)</w:t>
            </w:r>
          </w:p>
        </w:tc>
      </w:tr>
      <w:tr>
        <w:trPr>
          <w:trHeight w:val="20"/>
        </w:trPr>
        <w:tc>
          <w:tcPr>
            <w:tcW w:w="1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760" w:type="dxa"/>
            <w:vAlign w:val="bottom"/>
            <w:gridSpan w:val="2"/>
            <w:shd w:val="clear" w:color="auto" w:fill="CCEEFF"/>
          </w:tcPr>
          <w:p>
            <w:pPr>
              <w:ind w:left="500"/>
              <w:spacing w:after="0" w:line="182" w:lineRule="exact"/>
              <w:rPr>
                <w:sz w:val="20"/>
                <w:szCs w:val="20"/>
                <w:color w:val="auto"/>
              </w:rPr>
            </w:pPr>
            <w:r>
              <w:rPr>
                <w:rFonts w:ascii="Arial" w:cs="Arial" w:eastAsia="Arial" w:hAnsi="Arial"/>
                <w:sz w:val="18"/>
                <w:szCs w:val="18"/>
                <w:b w:val="1"/>
                <w:bCs w:val="1"/>
                <w:color w:val="auto"/>
              </w:rPr>
              <w:t>Total comprehensive income (loss)</w:t>
            </w:r>
          </w:p>
        </w:tc>
        <w:tc>
          <w:tcPr>
            <w:tcW w:w="184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8"/>
                <w:szCs w:val="18"/>
                <w:color w:val="auto"/>
              </w:rPr>
              <w:t>73,086</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(26,721)</w:t>
            </w:r>
          </w:p>
        </w:tc>
        <w:tc>
          <w:tcPr>
            <w:tcW w:w="56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32,580</w:t>
            </w:r>
          </w:p>
        </w:tc>
      </w:tr>
      <w:tr>
        <w:trPr>
          <w:trHeight w:val="183"/>
        </w:trPr>
        <w:tc>
          <w:tcPr>
            <w:tcW w:w="476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8"/>
                <w:szCs w:val="18"/>
                <w:b w:val="1"/>
                <w:bCs w:val="1"/>
                <w:color w:val="auto"/>
              </w:rPr>
              <w:t>Common Share Data:</w:t>
            </w:r>
          </w:p>
        </w:tc>
        <w:tc>
          <w:tcPr>
            <w:tcW w:w="156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116,762,928</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89,959,993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67,673,884</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common shares outstanding - diluted</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117,248,296</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89,959,993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67,673,884</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Basic net income (loss) per share</w:t>
            </w:r>
          </w:p>
        </w:tc>
        <w:tc>
          <w:tcPr>
            <w:tcW w:w="1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0.63</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(0.30)</w:t>
            </w:r>
          </w:p>
        </w:tc>
        <w:tc>
          <w:tcPr>
            <w:tcW w:w="5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0.49</w:t>
            </w:r>
          </w:p>
        </w:tc>
      </w:tr>
      <w:tr>
        <w:trPr>
          <w:trHeight w:val="239"/>
        </w:trPr>
        <w:tc>
          <w:tcPr>
            <w:tcW w:w="4760" w:type="dxa"/>
            <w:vAlign w:val="bottom"/>
            <w:gridSpan w:val="2"/>
          </w:tcPr>
          <w:p>
            <w:pPr>
              <w:spacing w:after="0"/>
              <w:rPr>
                <w:sz w:val="20"/>
                <w:szCs w:val="20"/>
                <w:color w:val="auto"/>
              </w:rPr>
            </w:pPr>
            <w:r>
              <w:rPr>
                <w:rFonts w:ascii="Arial" w:cs="Arial" w:eastAsia="Arial" w:hAnsi="Arial"/>
                <w:sz w:val="18"/>
                <w:szCs w:val="18"/>
                <w:color w:val="auto"/>
              </w:rPr>
              <w:t>Diluted net income (loss) per share</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6"/>
        </w:trPr>
        <w:tc>
          <w:tcPr>
            <w:tcW w:w="140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center"/>
              <w:ind w:right="660"/>
              <w:spacing w:after="0"/>
              <w:rPr>
                <w:sz w:val="20"/>
                <w:szCs w:val="20"/>
                <w:color w:val="auto"/>
              </w:rPr>
            </w:pPr>
            <w:r>
              <w:rPr>
                <w:rFonts w:ascii="Arial" w:cs="Arial" w:eastAsia="Arial" w:hAnsi="Arial"/>
                <w:sz w:val="18"/>
                <w:szCs w:val="18"/>
                <w:b w:val="1"/>
                <w:bCs w:val="1"/>
                <w:color w:val="auto"/>
                <w:w w:val="99"/>
              </w:rPr>
              <w:t>HOLLEY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7480" w:type="dxa"/>
            <w:vAlign w:val="bottom"/>
            <w:gridSpan w:val="15"/>
          </w:tcPr>
          <w:p>
            <w:pPr>
              <w:jc w:val="center"/>
              <w:ind w:left="890"/>
              <w:spacing w:after="0" w:line="202" w:lineRule="exact"/>
              <w:rPr>
                <w:sz w:val="20"/>
                <w:szCs w:val="20"/>
                <w:color w:val="auto"/>
              </w:rPr>
            </w:pPr>
            <w:r>
              <w:rPr>
                <w:rFonts w:ascii="Arial" w:cs="Arial" w:eastAsia="Arial" w:hAnsi="Arial"/>
                <w:sz w:val="18"/>
                <w:szCs w:val="18"/>
                <w:b w:val="1"/>
                <w:bCs w:val="1"/>
                <w:color w:val="auto"/>
                <w:w w:val="99"/>
              </w:rPr>
              <w:t>CONSOLIDATED STATEMENTS OF CHANGES IN STOCKHOLDERS' EQUITY</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900" w:type="dxa"/>
            <w:vAlign w:val="bottom"/>
            <w:gridSpan w:val="9"/>
          </w:tcPr>
          <w:p>
            <w:pPr>
              <w:jc w:val="center"/>
              <w:ind w:left="730"/>
              <w:spacing w:after="0"/>
              <w:rPr>
                <w:sz w:val="20"/>
                <w:szCs w:val="20"/>
                <w:color w:val="auto"/>
              </w:rPr>
            </w:pPr>
            <w:r>
              <w:rPr>
                <w:rFonts w:ascii="Arial" w:cs="Arial" w:eastAsia="Arial" w:hAnsi="Arial"/>
                <w:sz w:val="18"/>
                <w:szCs w:val="18"/>
                <w:color w:val="auto"/>
              </w:rPr>
              <w:t>(in thousands, except share data)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1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540" w:type="dxa"/>
            <w:vAlign w:val="bottom"/>
            <w:gridSpan w:val="5"/>
          </w:tcPr>
          <w:p>
            <w:pPr>
              <w:ind w:left="6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9"/>
              </w:rPr>
              <w:t>Accumulated</w:t>
            </w:r>
          </w:p>
        </w:tc>
        <w:tc>
          <w:tcPr>
            <w:tcW w:w="180" w:type="dxa"/>
            <w:vAlign w:val="bottom"/>
          </w:tcPr>
          <w:p>
            <w:pPr>
              <w:spacing w:after="0"/>
              <w:rPr>
                <w:sz w:val="24"/>
                <w:szCs w:val="24"/>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9"/>
              </w:rPr>
              <w:t>Retained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4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97"/>
              </w:rPr>
              <w:t>Other</w:t>
            </w:r>
          </w:p>
        </w:tc>
        <w:tc>
          <w:tcPr>
            <w:tcW w:w="180" w:type="dxa"/>
            <w:vAlign w:val="bottom"/>
          </w:tcPr>
          <w:p>
            <w:pPr>
              <w:spacing w:after="0"/>
              <w:rPr>
                <w:sz w:val="17"/>
                <w:szCs w:val="17"/>
                <w:color w:val="auto"/>
              </w:rPr>
            </w:pPr>
          </w:p>
        </w:tc>
        <w:tc>
          <w:tcPr>
            <w:tcW w:w="114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Paid-In</w:t>
            </w:r>
          </w:p>
        </w:tc>
        <w:tc>
          <w:tcPr>
            <w:tcW w:w="1540" w:type="dxa"/>
            <w:vAlign w:val="bottom"/>
            <w:gridSpan w:val="4"/>
          </w:tcPr>
          <w:p>
            <w:pPr>
              <w:jc w:val="center"/>
              <w:ind w:right="120"/>
              <w:spacing w:after="0" w:line="202" w:lineRule="exact"/>
              <w:rPr>
                <w:sz w:val="20"/>
                <w:szCs w:val="20"/>
                <w:color w:val="auto"/>
              </w:rPr>
            </w:pPr>
            <w:r>
              <w:rPr>
                <w:rFonts w:ascii="Arial" w:cs="Arial" w:eastAsia="Arial" w:hAnsi="Arial"/>
                <w:sz w:val="18"/>
                <w:szCs w:val="18"/>
                <w:color w:val="auto"/>
                <w:w w:val="99"/>
              </w:rPr>
              <w:t>Comprehensive</w:t>
            </w:r>
          </w:p>
        </w:tc>
        <w:tc>
          <w:tcPr>
            <w:tcW w:w="1320" w:type="dxa"/>
            <w:vAlign w:val="bottom"/>
            <w:gridSpan w:val="3"/>
          </w:tcPr>
          <w:p>
            <w:pPr>
              <w:jc w:val="center"/>
              <w:ind w:right="220"/>
              <w:spacing w:after="0" w:line="202" w:lineRule="exact"/>
              <w:rPr>
                <w:sz w:val="20"/>
                <w:szCs w:val="20"/>
                <w:color w:val="auto"/>
              </w:rPr>
            </w:pPr>
            <w:r>
              <w:rPr>
                <w:rFonts w:ascii="Arial" w:cs="Arial" w:eastAsia="Arial" w:hAnsi="Arial"/>
                <w:sz w:val="18"/>
                <w:szCs w:val="18"/>
                <w:color w:val="auto"/>
                <w:w w:val="99"/>
              </w:rPr>
              <w:t>(Accumulated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Gain (Loss)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Deficit)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on December 31, 2019</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67,673,884</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236,496</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(30,692)</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205,414</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32,857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32,857</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liability adjustment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Capital contributions, net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on December 31, 2020</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67,673,884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238,883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(674)</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2,165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240,381</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loss</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(27,139)</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(27,139)</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4,963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liability adjustment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Recapitalization transaction, net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48,133,453</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85,859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85,864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on December 31, 2021</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115,807,337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329,705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(24,974)</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304,487</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73,774</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73,774</w:t>
            </w:r>
          </w:p>
        </w:tc>
        <w:tc>
          <w:tcPr>
            <w:tcW w:w="0" w:type="dxa"/>
            <w:vAlign w:val="bottom"/>
          </w:tcPr>
          <w:p>
            <w:pPr>
              <w:spacing w:after="0"/>
              <w:rPr>
                <w:sz w:val="1"/>
                <w:szCs w:val="1"/>
                <w:color w:val="auto"/>
              </w:rPr>
            </w:pPr>
          </w:p>
        </w:tc>
      </w:tr>
      <w:tr>
        <w:trPr>
          <w:trHeight w:val="202"/>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24,395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24,395</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(990)</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liability adjustment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Issuance of earn-out shares</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1,093,750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14,689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14,689</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Warrants exercised</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33,333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tcPr>
          <w:p>
            <w:pPr>
              <w:ind w:left="340"/>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213,577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units</w:t>
            </w:r>
          </w:p>
        </w:tc>
        <w:tc>
          <w:tcPr>
            <w:tcW w:w="11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Balance on December 31, 2022</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117,147,997</w:t>
            </w:r>
          </w:p>
        </w:tc>
        <w:tc>
          <w:tcPr>
            <w:tcW w:w="220" w:type="dxa"/>
            <w:vAlign w:val="bottom"/>
          </w:tcPr>
          <w:p>
            <w:pPr>
              <w:spacing w:after="0"/>
              <w:rPr>
                <w:sz w:val="17"/>
                <w:szCs w:val="17"/>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368,122</w:t>
            </w:r>
          </w:p>
        </w:tc>
        <w:tc>
          <w:tcPr>
            <w:tcW w:w="140" w:type="dxa"/>
            <w:vAlign w:val="bottom"/>
          </w:tcPr>
          <w:p>
            <w:pPr>
              <w:spacing w:after="0"/>
              <w:rPr>
                <w:sz w:val="17"/>
                <w:szCs w:val="17"/>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(944)</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48,800</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415,990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6"/>
        </w:trPr>
        <w:tc>
          <w:tcPr>
            <w:tcW w:w="1400" w:type="dxa"/>
            <w:vAlign w:val="bottom"/>
            <w:tcBorders>
              <w:top w:val="single" w:sz="8" w:color="0000EE"/>
            </w:tcBorders>
          </w:tcPr>
          <w:p>
            <w:pPr>
              <w:spacing w:after="0"/>
              <w:rPr>
                <w:sz w:val="24"/>
                <w:szCs w:val="24"/>
                <w:color w:val="auto"/>
              </w:rPr>
            </w:pPr>
          </w:p>
        </w:tc>
        <w:tc>
          <w:tcPr>
            <w:tcW w:w="4920" w:type="dxa"/>
            <w:vAlign w:val="bottom"/>
          </w:tcPr>
          <w:p>
            <w:pPr>
              <w:jc w:val="center"/>
              <w:ind w:left="3450"/>
              <w:spacing w:after="0"/>
              <w:rPr>
                <w:sz w:val="20"/>
                <w:szCs w:val="20"/>
                <w:color w:val="auto"/>
              </w:rPr>
            </w:pPr>
            <w:r>
              <w:rPr>
                <w:rFonts w:ascii="Arial" w:cs="Arial" w:eastAsia="Arial" w:hAnsi="Arial"/>
                <w:sz w:val="18"/>
                <w:szCs w:val="18"/>
                <w:b w:val="1"/>
                <w:bCs w:val="1"/>
                <w:color w:val="auto"/>
                <w:w w:val="99"/>
              </w:rPr>
              <w:t>HOLLEY INC.</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400" w:type="dxa"/>
            <w:vAlign w:val="bottom"/>
          </w:tcPr>
          <w:p>
            <w:pPr>
              <w:spacing w:after="0"/>
              <w:rPr>
                <w:sz w:val="17"/>
                <w:szCs w:val="17"/>
                <w:color w:val="auto"/>
              </w:rPr>
            </w:pPr>
          </w:p>
        </w:tc>
        <w:tc>
          <w:tcPr>
            <w:tcW w:w="6620" w:type="dxa"/>
            <w:vAlign w:val="bottom"/>
            <w:gridSpan w:val="4"/>
          </w:tcPr>
          <w:p>
            <w:pPr>
              <w:jc w:val="center"/>
              <w:ind w:left="1750"/>
              <w:spacing w:after="0" w:line="202" w:lineRule="exact"/>
              <w:rPr>
                <w:sz w:val="20"/>
                <w:szCs w:val="20"/>
                <w:color w:val="auto"/>
              </w:rPr>
            </w:pPr>
            <w:r>
              <w:rPr>
                <w:rFonts w:ascii="Arial" w:cs="Arial" w:eastAsia="Arial" w:hAnsi="Arial"/>
                <w:sz w:val="18"/>
                <w:szCs w:val="18"/>
                <w:b w:val="1"/>
                <w:bCs w:val="1"/>
                <w:color w:val="auto"/>
                <w:w w:val="98"/>
              </w:rPr>
              <w:t>CONSOLIDATED STATEMENTS OF CASH FLOWS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400" w:type="dxa"/>
            <w:vAlign w:val="bottom"/>
          </w:tcPr>
          <w:p>
            <w:pPr>
              <w:spacing w:after="0"/>
              <w:rPr>
                <w:sz w:val="20"/>
                <w:szCs w:val="20"/>
                <w:color w:val="auto"/>
              </w:rPr>
            </w:pPr>
          </w:p>
        </w:tc>
        <w:tc>
          <w:tcPr>
            <w:tcW w:w="4920" w:type="dxa"/>
            <w:vAlign w:val="bottom"/>
          </w:tcPr>
          <w:p>
            <w:pPr>
              <w:jc w:val="center"/>
              <w:ind w:left="3450"/>
              <w:spacing w:after="0"/>
              <w:rPr>
                <w:sz w:val="20"/>
                <w:szCs w:val="20"/>
                <w:color w:val="auto"/>
              </w:rPr>
            </w:pPr>
            <w:r>
              <w:rPr>
                <w:rFonts w:ascii="Arial" w:cs="Arial" w:eastAsia="Arial" w:hAnsi="Arial"/>
                <w:sz w:val="18"/>
                <w:szCs w:val="18"/>
                <w:color w:val="auto"/>
                <w:w w:val="99"/>
              </w:rPr>
              <w:t>(in thousands)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7"/>
        </w:trPr>
        <w:tc>
          <w:tcPr>
            <w:tcW w:w="14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color w:val="auto"/>
              </w:rPr>
              <w:t>For the years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2022</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r>
      <w:tr>
        <w:trPr>
          <w:trHeight w:val="196"/>
        </w:trPr>
        <w:tc>
          <w:tcPr>
            <w:tcW w:w="632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73,774</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(27,139)</w:t>
            </w:r>
          </w:p>
        </w:tc>
        <w:tc>
          <w:tcPr>
            <w:tcW w:w="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32,857</w:t>
            </w:r>
          </w:p>
        </w:tc>
      </w:tr>
      <w:tr>
        <w:trPr>
          <w:trHeight w:val="184"/>
        </w:trPr>
        <w:tc>
          <w:tcPr>
            <w:tcW w:w="6320" w:type="dxa"/>
            <w:vAlign w:val="bottom"/>
            <w:tcBorders>
              <w:right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Adjustments to reconcile net income (loss) to net cash from operating</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63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10,107</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11,527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7,886</w:t>
            </w: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14,683</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13,999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11,082</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2,395</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Amortization of deferred loan costs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1,707</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3,182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3,092</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Amortization of right of use assets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5,666</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Gain on termination of leases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(279)</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(Decrease) increase in warrant liability</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(57,021)</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32,580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(Decrease) increase in earn-out liability</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(10,731)</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8,875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24,395</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4,963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487</w:t>
            </w: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 in deferred taxes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(11,655)</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6,750</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Loss on sale of business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1,037</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Loss on early extinguishment of long-term debt</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13,650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Loss (gain) on disposal of property, plant and equipment</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253</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943</w:t>
            </w: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Provision for inventory reserves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13,410</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4,228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3,003</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878</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1,597</w:t>
            </w:r>
          </w:p>
        </w:tc>
      </w:tr>
      <w:tr>
        <w:trPr>
          <w:trHeight w:val="203"/>
        </w:trPr>
        <w:tc>
          <w:tcPr>
            <w:tcW w:w="632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operating assets and liabilities: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3,777</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464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(11,349)</w:t>
            </w: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(58,406)</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(45,073)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22,006</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Prepaids and other current assets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1,142</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(13,408)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1,884</w:t>
            </w: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(740)</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8,727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8,399</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2,635</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(3,229)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737</w:t>
            </w: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and other liabilities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(4,715)</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8,238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(961)</w:t>
            </w:r>
          </w:p>
        </w:tc>
      </w:tr>
      <w:tr>
        <w:trPr>
          <w:trHeight w:val="20"/>
        </w:trPr>
        <w:tc>
          <w:tcPr>
            <w:tcW w:w="1400" w:type="dxa"/>
            <w:vAlign w:val="bottom"/>
            <w:shd w:val="clear" w:color="auto" w:fill="CCEEFF"/>
          </w:tcPr>
          <w:p>
            <w:pPr>
              <w:spacing w:after="0" w:line="20" w:lineRule="exact"/>
              <w:rPr>
                <w:sz w:val="1"/>
                <w:szCs w:val="1"/>
                <w:color w:val="auto"/>
              </w:rPr>
            </w:pPr>
          </w:p>
        </w:tc>
        <w:tc>
          <w:tcPr>
            <w:tcW w:w="49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6320" w:type="dxa"/>
            <w:vAlign w:val="bottom"/>
            <w:gridSpan w:val="2"/>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12,312</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21,583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88,413</w:t>
            </w:r>
          </w:p>
        </w:tc>
      </w:tr>
      <w:tr>
        <w:trPr>
          <w:trHeight w:val="203"/>
        </w:trPr>
        <w:tc>
          <w:tcPr>
            <w:tcW w:w="632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(13,590)</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(15,233)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(9,433)</w:t>
            </w: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the disposal of fixed assets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888</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698</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Proceeds from sale of business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1,966</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Cash paid for acquisitions, net</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(14,301)</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(119,220)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(156,833)</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Trademark acquisition</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(50)</w:t>
            </w:r>
          </w:p>
        </w:tc>
      </w:tr>
      <w:tr>
        <w:trPr>
          <w:trHeight w:val="20"/>
        </w:trPr>
        <w:tc>
          <w:tcPr>
            <w:tcW w:w="14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2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(25,037)</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(134,089)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(165,618)</w:t>
            </w: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issuance of long-term debt</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37,000</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655,000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205,000</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Principal payments on long-term debt</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(33,483)</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(687,529)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(59,646)</w:t>
            </w: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financing fees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(13,413)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(4,710)</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Payment of acquisition contingent consideration</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(9,200)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84"/>
        </w:trPr>
        <w:tc>
          <w:tcPr>
            <w:tcW w:w="6320" w:type="dxa"/>
            <w:vAlign w:val="bottom"/>
            <w:tcBorders>
              <w:right w:val="single" w:sz="8" w:color="CCEEFF"/>
            </w:tcBorders>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Proceeds from Business Combination and PIPE financing, net of issuance</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63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costs paid</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132,299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Payments from stock-based award activities</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(1,050)</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84"/>
        </w:trPr>
        <w:tc>
          <w:tcPr>
            <w:tcW w:w="6320" w:type="dxa"/>
            <w:vAlign w:val="bottom"/>
            <w:tcBorders>
              <w:right w:val="single" w:sz="8" w:color="CCEEFF"/>
            </w:tcBorders>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Proceeds from issuance of common stock in connection with the exercise</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63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of warrants</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Capital distributions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w:t>
            </w:r>
          </w:p>
        </w:tc>
      </w:tr>
      <w:tr>
        <w:trPr>
          <w:trHeight w:val="20"/>
        </w:trPr>
        <w:tc>
          <w:tcPr>
            <w:tcW w:w="14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2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2,850</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77,157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140,544</w:t>
            </w:r>
          </w:p>
        </w:tc>
      </w:tr>
      <w:tr>
        <w:trPr>
          <w:trHeight w:val="20"/>
        </w:trPr>
        <w:tc>
          <w:tcPr>
            <w:tcW w:w="1400" w:type="dxa"/>
            <w:vAlign w:val="bottom"/>
            <w:shd w:val="clear" w:color="auto" w:fill="CCEEFF"/>
          </w:tcPr>
          <w:p>
            <w:pPr>
              <w:spacing w:after="0" w:line="20" w:lineRule="exact"/>
              <w:rPr>
                <w:sz w:val="1"/>
                <w:szCs w:val="1"/>
                <w:color w:val="auto"/>
              </w:rPr>
            </w:pPr>
          </w:p>
        </w:tc>
        <w:tc>
          <w:tcPr>
            <w:tcW w:w="49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63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Effect of foreign currency rate fluctuations on cash</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(300)</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14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2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(10,175)</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(35,349)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63,339</w:t>
            </w: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2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of period</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36,325</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71,674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8,335</w:t>
            </w:r>
          </w:p>
        </w:tc>
      </w:tr>
      <w:tr>
        <w:trPr>
          <w:trHeight w:val="20"/>
        </w:trPr>
        <w:tc>
          <w:tcPr>
            <w:tcW w:w="1400" w:type="dxa"/>
            <w:vAlign w:val="bottom"/>
            <w:shd w:val="clear" w:color="auto" w:fill="CCEEFF"/>
          </w:tcPr>
          <w:p>
            <w:pPr>
              <w:spacing w:after="0" w:line="20" w:lineRule="exact"/>
              <w:rPr>
                <w:sz w:val="1"/>
                <w:szCs w:val="1"/>
                <w:color w:val="auto"/>
              </w:rPr>
            </w:pPr>
          </w:p>
        </w:tc>
        <w:tc>
          <w:tcPr>
            <w:tcW w:w="49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6320" w:type="dxa"/>
            <w:vAlign w:val="bottom"/>
            <w:gridSpan w:val="2"/>
          </w:tcPr>
          <w:p>
            <w:pPr>
              <w:spacing w:after="0" w:line="182" w:lineRule="exact"/>
              <w:rPr>
                <w:sz w:val="20"/>
                <w:szCs w:val="20"/>
                <w:color w:val="auto"/>
              </w:rPr>
            </w:pPr>
            <w:r>
              <w:rPr>
                <w:rFonts w:ascii="Arial" w:cs="Arial" w:eastAsia="Arial" w:hAnsi="Arial"/>
                <w:sz w:val="18"/>
                <w:szCs w:val="18"/>
                <w:color w:val="auto"/>
              </w:rPr>
              <w:t>End of period</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26,150</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36,325</w:t>
            </w:r>
          </w:p>
        </w:tc>
        <w:tc>
          <w:tcPr>
            <w:tcW w:w="56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71,674</w:t>
            </w:r>
          </w:p>
        </w:tc>
      </w:tr>
      <w:tr>
        <w:trPr>
          <w:trHeight w:val="20"/>
        </w:trPr>
        <w:tc>
          <w:tcPr>
            <w:tcW w:w="14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320" w:type="dxa"/>
            <w:vAlign w:val="bottom"/>
            <w:tcBorders>
              <w:right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36,868</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38,067</w:t>
            </w:r>
          </w:p>
        </w:tc>
        <w:tc>
          <w:tcPr>
            <w:tcW w:w="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39,945</w:t>
            </w: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6,834</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10,648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3,239</w:t>
            </w: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Earn-out shares issued to Empower Sponsor Holdings LLC</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14,689</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Assumption of warrant liability</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28,713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Assumption of earn-out liability</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17,722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39"/>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Units exchanged in Detroit Speed transaction</w:t>
            </w:r>
          </w:p>
        </w:tc>
        <w:tc>
          <w:tcPr>
            <w:tcW w:w="3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ectPr>
          <w:pgSz w:w="11900" w:h="16838" w:orient="portrait"/>
          <w:cols w:equalWidth="0" w:num="1">
            <w:col w:w="11240"/>
          </w:cols>
          <w:pgMar w:left="320" w:top="108"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2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w:t>
      </w:r>
    </w:p>
    <w:p>
      <w:pPr>
        <w:spacing w:after="0" w:line="157"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Holley Inc., a Delaware corporation headquartered in Bowling Green, Kentucky (the “Company” or “Holley”), conducts operations through its wholly owned subsidiaries. These operating subsidiaries are comprised of Holley Performance Products Inc. (“Holley Performance”), Hot Rod Brands, Inc. (“Hot Rod Brands”), Simpson Safety Solutions, Inc., B&amp;M Racing and Performance Products, Inc., and Speedshop.com, Inc.</w:t>
      </w:r>
    </w:p>
    <w:p>
      <w:pPr>
        <w:spacing w:after="0" w:line="119"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On July 16, 2021, (the “Closing” and such date, the “Closing Date”) the Company consummated the business combination (the “Business Combination”) pursuant to that certain Agreement and Plan of Merger dated March 11, 2021, (the “Merger Agreement”), by and among Empower Ltd., (“Empower”), Empower Merger Sub I Inc. (“Merger Sub I”), Empower Merger Sub II LLC (“Merger Sub II”), and Holley Intermediate Holdings, Inc. (“Holley Intermediate”). On the Closing Date, Empower changed its name to Holley Inc. See Note 2, “</w:t>
      </w:r>
      <w:r>
        <w:rPr>
          <w:rFonts w:ascii="Arial" w:cs="Arial" w:eastAsia="Arial" w:hAnsi="Arial"/>
          <w:sz w:val="18"/>
          <w:szCs w:val="18"/>
          <w:i w:val="1"/>
          <w:iCs w:val="1"/>
          <w:color w:val="auto"/>
        </w:rPr>
        <w:t>Business Combination, Acquisitions, and Divestiture,</w:t>
      </w:r>
      <w:r>
        <w:rPr>
          <w:rFonts w:ascii="Arial" w:cs="Arial" w:eastAsia="Arial" w:hAnsi="Arial"/>
          <w:sz w:val="18"/>
          <w:szCs w:val="18"/>
          <w:color w:val="auto"/>
        </w:rPr>
        <w:t>” for more information.</w:t>
      </w:r>
    </w:p>
    <w:p>
      <w:pPr>
        <w:spacing w:after="0" w:line="122"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Holley Intermediate, the predecessor to Holley, was incorporated on October 25, 2018, to effect the merger of Driven Performance Brands, Inc. (“Driven”) and the purchase of High Performance Industries, Inc. (“HPI”). The Company designs, manufactures and distributes 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that are produced through its two major subsidiaries, Holley Performance and Hot Rod Brands.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North America, Canada, Italy and China.</w:t>
      </w:r>
    </w:p>
    <w:p>
      <w:pPr>
        <w:spacing w:after="0" w:line="12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p>
    <w:p>
      <w:pPr>
        <w:spacing w:after="0" w:line="155"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2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Risks and Uncertainties</w:t>
      </w:r>
    </w:p>
    <w:p>
      <w:pPr>
        <w:spacing w:after="0" w:line="155"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COVID-19 has adversely impacted global supply chain and general economic conditions. The Company has continued to experience disruptions and higher costs in manufacturing, supply chain, logistical operations, and shortages of certain Company products in distribution channels. The full extent of COVID-19's effect on the Company's operational and financial performance in the future will depend on future developments, including but not limited to the duration, spread, intensity and phase of the pandemic in various countries; the emergence of COVID-19 variants and the utilization and effectiveness of treatments and vaccines against these variants; the further impact of COVID-19 on the global economy; and demand for the Company's products and services. Should the ongoing COVID-19 pandemic not improve, or worsen, or if the Company's attempt to mitigate its impact on its supply chain, operations and costs is not successful, the Company's business, results of operations, and financial condition may be adversely affected. See Part I: Item 1A. Risk Factors for additional discussion on the COVID-19 pandemic and the impact on our business.</w:t>
      </w:r>
    </w:p>
    <w:p>
      <w:pPr>
        <w:spacing w:after="0" w:line="129"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Company's business and results of operations, financial condition, and liquidity are impacted by broad economic conditions including inflation, labor shortages, and disruption of the supply chain, as well as by geopolitical events, including the conflict in Ukraine. The Company's operations have been adversely impacted by inflationary pressures primarily related to transportation, labor and component costs. Sales growth in certain products has been constrained by continuing supply chain challenges and automotive electronic component shortages. In response to the global supply chain volatility and inflationary impacts, the Company has attempted to minimize potential adverse impacts on its business with cost savings initiatives, price increases to customers, and by increasing inventory levels of certain products and working closely with its suppliers and customers to minimize disruptions in delivering products to customers.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or “GAAP”) and include the accounts of the Company and its wholly owned subsidiaries. All significant intercompany transactions and accounts have been eliminated in consolidation.</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Actual results could differ from those estimates. These estimates require the use of judgment as future events, and the effect of these events, cannot be predicted with certainty. The estimates will change as new events occur, as more experience is acquired and as more information is obtained. The Company evaluates and updates assumptions and estimates on an ongoing basis and may consult outside experts to assist as considered necessary.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Cash and cash equivalents include cash and deposits with financial institutions with original maturities less than 90 days. The Federal Deposit Insurance Corporation insures financial institution deposits up to $250. The Company maintains deposits exceeding $250 in certain accounts at financial institutions. On December 31, 2022 and 2021, the Company had cash in foreign bank accounts of $5,878 and $5,765, respectively.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96"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Accounts receivable represent amounts due from customers in the ordinary course of business. The receivables are stated at the amount management expects to collect. The Company is subject to risk of loss from uncollectible receivables in excess of its allowance. The Company maintains an allowance for credit losses for estimated losses from customers’ inability to make required payments. In order to estimate the appropriate level of this allowance, the Company analyzes historical bad debts, customer concentrations, current customer credit worthiness, current economic trends and changes in customer payment patterns. Accounts are written off when management determines the account is uncollectable. Interest is not charged on past due accounts.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96" w:lineRule="exact"/>
        <w:rPr>
          <w:sz w:val="20"/>
          <w:szCs w:val="20"/>
          <w:color w:val="auto"/>
        </w:rPr>
      </w:pPr>
    </w:p>
    <w:p>
      <w:pPr>
        <w:jc w:val="both"/>
        <w:ind w:left="340" w:right="20"/>
        <w:spacing w:after="0" w:line="271" w:lineRule="auto"/>
        <w:rPr>
          <w:sz w:val="20"/>
          <w:szCs w:val="20"/>
          <w:color w:val="auto"/>
        </w:rPr>
      </w:pPr>
      <w:r>
        <w:rPr>
          <w:rFonts w:ascii="Arial" w:cs="Arial" w:eastAsia="Arial" w:hAnsi="Arial"/>
          <w:sz w:val="18"/>
          <w:szCs w:val="18"/>
          <w:color w:val="auto"/>
        </w:rPr>
        <w:t>The Company's inventories are stated at the lower of cost or net realizable value using the first-in, first-out (FIFO) method. Adjustments to reduce the cost of inventory to its net realizable value are made, if required, for estimated excess, obsolescence or impaired balances.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19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Company's operations are managed and reported to its Chief Executive Officer (“CEO”), the Company’s chief operating decision maker, on a consolidated basis. The CEO assesses performance and allocates resources based on the consolidated results of operations. Under this organizational and reporting structure, the Company has one reportable segment.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96"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Goodwill represents the excess of purchase price over the fair value of the net assets of businesses acquired. On an annual basis or whenever events or changes in circumstances indicate the carrying value of goodwill may have been impaired, the Company may perform a qualitative assessment to determine if it is more likely than not that the fair value of the reporting unit is less than its carrying amount, including goodwill. If the Company determines that the fair value of the reporting unit is less than its carrying amount or elects not to perform a qualitative assessment, it will perform a quantitative analysis; otherwise, no further evaluation is necessary. For the quantitative impairment assessment, the Company compares the fair value of the reporting unit to its carrying value, including goodwill. The Company determines the fair value of the reporting unit based on a weighting of income and market approaches. If the fair value of the reporting unit exceeds the carrying value of the net assets assigned to that unit, goodwill is not impaired and no further testing is performed. If the carrying value of the net assets assigned to the reporting unit exceeds the fair value of the reporting unit, then the Company will recognize a loss equal to the excess, limited to the total amount of goodwill allocated to that reporting unit. Impairments, if any, are charged directly to earnings.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 Other Than Goodwill</w:t>
      </w:r>
    </w:p>
    <w:p>
      <w:pPr>
        <w:spacing w:after="0" w:line="19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Tradenames acquired in certain business combinations were determined to have indefinite useful lives and are not amortized, but instead are tested for impairment on an annual basis and when facts and circumstances indicate that the carrying values of the assets may be impaired. If such review indicates an asset’s carrying value may not be recoverable, an impairment loss is recognized for the excess of the carrying value over the fair value of the asset.</w:t>
      </w:r>
    </w:p>
    <w:p>
      <w:pPr>
        <w:spacing w:after="0" w:line="160"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As part of separate business acquisitions, the Company’s customer relationships, technology and certain tradenames were identified as definite-lived intangible assets. The customer relationship intangible assets are being amortized over a ten to twenty-five year life based on the attrition rate of customers with a weighted-average amortization period of 23.6 years. The technology intangible assets are being amortized over a five to fourteen year life based on the lifecycle of previous technology with a weighted-average amortization period of 12.1 years. The tradenames are being amortized over a fifteen to twenty year life based on the estimated life of the tradename with a weighted-average amortization period of 19.2 years. The weighted-average amortization period for all amortizable intangibles on a combined basis is 22.5 years.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Property, plant and equipment acquired in various acquisitions have been recorded at fair value. All other property, plant and equipment is recorded at cost. Depreciation and amortization are provided for using the straight-line method over the estimated useful lives of the assets. Estimated useful lives for new property, plant and equipment additions are seven years to twenty-five years for buildings and improvements and three to ten years for machinery and equipment. Maintenance, repairs, and betterments which do not enhance the value of or increase the life of the assets are expensed as incurred.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6"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Operating lease right of use ("ROU") assets and liabilities are recognized at the commencement date of the lease based on the present value of lease payments over the lease term. The Company's leases may include options to extend or terminate the lease. These options to extend are included in the lease term when it is reasonably certain that the Company will exercise that option. Some leases have variable payments, however, because they are not based on an index or rate, they are not included in the ROU assets and liabilities. Variable payments for real estate leases primarily relate to common area maintenance, insurance, taxes and utilities. Since the Company's leases generally do not provide an implicit rate, the Company applies a portfolio approach using an estimated incremental borrowing rate based on the lease term and other information available at the commencement date in determining the present value of lease payments. The rate applied is based on the currency of the lease. Leases having a lease term of 12 months or less are not recorded on the balance sheet and the related lease expense is recognized on a straight-line basis over the term of the lease. In addition, the Company has applied the practical expedient to account for the lease and non-lease components as a single lease component for all of the Company's leases. See Note 14, "Lease Commitments," for further details.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Debt issuance costs include fees and costs incurred to obtain financing. Debt issuance costs related to the Company's term loans are presented in the consolidated balance sheet as a direct deduction from the carrying amount of the term loans. These fees and costs are being amortized using the effective interest method over the term of the related loans and are included in interest expense in the Company's consolidated statements of comprehensive income (loss). If the debt is retired before its scheduled maturity date, any remaining unamortized debt issuance costs are written off in the period the debt is retired as a non-operating expense in the statement of operations as loss on the early extinguishment of debt. For the years ended 2022, 2021 and 2020, the amortization of debt issuance costs included in interest expense was $1,707, $3,182, and $3,092, respectively.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Self-Insurance</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Company is self-insured for employee medical and prescription drug benefits up to certain stop loss coverage amounts. The Company accrues an estimate for unpaid claims, as well as incurred but not reported claims, based upon the Company’s claim experience and expectations of future claim activity. The resulting liability and expense are reflected as a component of accrued expenses, cost of sales and selling, general and administrative expenses in the accompanying consolidated balance sheets and consolidated statements of comprehensive income (loss),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6"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 recognizes revenue with customers when control of the promised goods transfers to the customer. This generally occurs when the product is shipped to the customer. Revenue is recorded at the amount of consideration the Company expects to be entitled to in exchange for the delivered goods, which includes an estimate of variable consideration, expected returns, or refunds when applicable. The Company estimates variable consideration, such as sales incentives, by using the most likely amount approach, which considers the single most likely amount from a range of possible consideration amounts. Estimates of variable consideration result in an adjustment to the transaction price such that it is probable that a significant reversal of cumulative revenue would not occur in the future. Sales incentives and allowances are recognized as a reduction to revenue at the time of the related sale. Revenue is recorded net of sales tax. Shipping and handling fees billed to customers are included in net sales, while costs of shipping and handling are included in selling, general and administrative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about the Company’s revenue from contracts with customers, see Note 9,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Sales Incentives</w:t>
      </w:r>
    </w:p>
    <w:p>
      <w:pPr>
        <w:spacing w:after="0" w:line="19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Sales incentives provided take the form of either sales discounts or rebates and are treated as a reduction of net sales. The Company also maintains a cooperative advertising program with its customers and provides sales incentives to the extent of the estimated value of advertising provided by the customer on behalf of the Company. The costs incurred under the cooperative advertising program are included as a reduction of net sales.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96"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 These obligations are recorded within accrued liabilities in the consolidated balance sheets (see also Note 17,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 on warranty reserves). Significant judgments and estimates must be made and used in connection with establishing warranty allowances in any accounting period. Revision to these estimates is made, when necessary, based upon changes in these factors.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Returns</w:t>
      </w:r>
    </w:p>
    <w:p>
      <w:pPr>
        <w:spacing w:after="0" w:line="196"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Estimated sales returns and allowances are recorded as a charge against gross sales in the period in which the related sales are recognized, net of returns to stock. The Company’s customers are permitted to return new, undamaged products within customer-specific limits (which are generally limited to a specified percentage of their annual purchases) in the event that they have overstocked their inventories. The Company estimates sales returns based primarily upon actual historical returns, planned product discontinuances, and promotional sales. Returned products, which are recorded as inventories, are valued at the lower of cost or net realizable value. The physical condition and marketability of the returned products are the major factors considered in estimating realizable value.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Cost of goods sold primarily consists of materials and labor expense in the manufacturing of the Company’s products sold to its customers. Cost of goods sold also includes provisions for excess and obsolete inventory, warranty costs, certain allocated costs for facilities, depreciation and other manufacturing overhead.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Selling, general and administrative expenses include personnel costs for employees in selling, general and administrative functions (including equity-based compensation); costs to operate branch locations, corporate offices and back-office support centers; costs to transport products from facilities to our customers; and other selling, general and administrative expenses, such as professional fees, supplies, and advertising expenses.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22"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The Company recognizes income tax positions only if those positions are “more likely than not” of being sustained upon examination by taxing authorities. Recognized income tax positions are measured at the largest amount that is greater than 50% likely of being realized. Changes in recognition or measurement are reflected in the period in which the change in judgment occurs. The Company recognizes interest on liabilities for uncertain tax positions in interest expense and would recognize penalties, if any, in operating expenses in its consolidated income statements. The Company has no amounts accrued for such interest or penalties on December 31, 2022 and 2021. The Company files income tax returns in the U.S. federal jurisdiction and various foreign and state jurisdictions.</w:t>
      </w:r>
    </w:p>
    <w:p>
      <w:pPr>
        <w:spacing w:after="0" w:line="125"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On December 31, 2022 and 2021, the Company did not have any unrecognized tax benefits. The statute of limitations remains open for U.S. federal income tax examinations for the years ended December 31, 2019, through December 31, 2021. U.S. state jurisdictions have statues of limitations generally ranging from three to eight years. The Company does not expect the total amount of unrecognized tax benefits to significantly change in the next 12 months.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or Disposal of Long-Lived Assets</w:t>
      </w:r>
    </w:p>
    <w:p>
      <w:pPr>
        <w:spacing w:after="0" w:line="15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 accounts for long-lived assets, including intangible assets subject to amortization, in accordance with the provisions that require long-lived assets, such as property and equipment, be reviewed for impairment whenever events or changes in circumstances indicate that the carrying amount of an asset may not be recoverable. Recoverability of assets to be held and used is measured by a comparison of the carrying amount of an asset to the sum of undiscounted net cash flows expected to be generated by the asset. If the carrying amount of an asset exceeds its estimated future cash flows, an impairment charge is recognized by the amount by which the carrying amount of the asset exceeds the fair value of the asset. Assets to be disposed of are reported at the lower of the carrying amount or fair value less costs to sell.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w:t>
      </w:r>
    </w:p>
    <w:p>
      <w:pPr>
        <w:spacing w:after="0" w:line="15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Advertising production costs are expensed the first time the advertising takes place. Total advertising expenses were $7,159, $6,299, and $4,379 for the years ended December 31, 2022, 2021, and 2020, respectively. Advertising costs are classified as a component of selling, general and administrative costs in the accompanying consolidated statements of comprehensive income (loss).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56"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Research, development, pre-production and start-up costs related to both present and future products are expensed as incurred. Such costs amount to $29,083, $28,280, and $23,483 for the years ended December 31, 2022, 2021, and 2020, respectively.</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5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Comprehensive loss encompasses all changes in stockholder’s equity and includes net income, change in the foreign currency translation adjustment and minimum pension liability. The Company’s accumulated other comprehensive loss shown on the consolidated balance sheets on December 31, 2022 and 2021 consists of minimum pension loss of $0 and $302, respectively, and foreign currency translation adjustments of $ 944 and $(46), respectively.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5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functional currency of the Company’s Italian subsidiary is the Euro. Assets and liabilities of foreign operations are translated using period end exchange rates. Revenue and expenses are translated using average exchange rates during each period reported. Translation gains are reported in accumulated other comprehensive loss as a component of shareholders equity and were $990, $30, and $ 16 for the years ended December 31, 2022, 2021 and 2020, respectively. The Company recognizes foreign currency transaction gains (losses) on certain assets and liabilities. These transaction (gains) losses are reported in other expense in the consolidated statements of comprehensive income (loss) and were $(97), $44, and $(284) for the years ended December 31, 2022, 2021 and 2020,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9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Earnings per share is computed by dividing net income or loss available to common stockholders by the weighted average number of common shares outstanding for the period. Diluted earnings per share is computed by giving effect to all potential dilutive common stock equivalents outstanding for the period. The dilutive effect of these potential common shares is reflected in diluted earnings per share by application of the treasury stock method.</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w:t>
      </w:r>
    </w:p>
    <w:p>
      <w:pPr>
        <w:spacing w:after="0" w:line="196"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 xml:space="preserve">The Company accounts for warrants to purchase its common stock as either equity-classified or liability-classified instruments based on an assessment of the warrant’s specific terms and applicable authoritative guidance in Accounting Standards Codification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assessment considers whether the warrants are freestanding financial instruments pursuant to ASC Topic 480, meet the definition of a liability pursuant to ASC Topic 480, and whether the warrants meet all of the requirements for equity classification under ASC Topic 815, including whether the warrants are indexed to the Company’s own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9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 xml:space="preserve">The Company accounts for equity-based awards granted to employees and nonemployees under the fair value method prescribed by ASC Subtopic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Equity-based compensation cost is measured based on the estimated grant date fair value of the award and is recognized as expense over the requisite service period (generally the vesting period). The Company accounts for forfeitures as they occur.</w:t>
      </w:r>
    </w:p>
    <w:p>
      <w:pPr>
        <w:spacing w:after="0" w:line="160"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fair value of stock options is estimated using the Black Scholes option-pricing model. Restricted stock units are valued at the stock price on the grant date. The fair value of profit interest units ("PIUs") granted by the Holley Stockholder is estimated based on the Company’s estimated equity value for each unit class at the time of granting using the Black-Scholes option-pricing model, discounted to reflect market considerations for illiquidity.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In determining fair value, the Company utilizes valuation techniques that maximize the use of observable inputs and minimizes the use of unobservable inputs to the extent possible. The inputs used to measure fair value are prioritized based on a three-level hierarchy, which are defined as follows:</w:t>
      </w:r>
    </w:p>
    <w:p>
      <w:pPr>
        <w:spacing w:after="0" w:line="160" w:lineRule="exact"/>
        <w:rPr>
          <w:sz w:val="20"/>
          <w:szCs w:val="20"/>
          <w:color w:val="auto"/>
        </w:rPr>
      </w:pPr>
    </w:p>
    <w:p>
      <w:pPr>
        <w:ind w:left="340" w:right="240"/>
        <w:spacing w:after="0" w:line="271" w:lineRule="auto"/>
        <w:rPr>
          <w:sz w:val="20"/>
          <w:szCs w:val="20"/>
          <w:color w:val="auto"/>
        </w:rPr>
      </w:pPr>
      <w:r>
        <w:rPr>
          <w:rFonts w:ascii="Arial" w:cs="Arial" w:eastAsia="Arial" w:hAnsi="Arial"/>
          <w:sz w:val="18"/>
          <w:szCs w:val="18"/>
          <w:color w:val="auto"/>
        </w:rPr>
        <w:t>Level 1 – Quoted prices (unadjusted) for identical assets or liabilities in active markets that the entity has the ability to access as of the measurement date.</w:t>
      </w:r>
    </w:p>
    <w:p>
      <w:pPr>
        <w:spacing w:after="0" w:line="140"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Level 2 –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40" w:lineRule="exact"/>
        <w:rPr>
          <w:sz w:val="20"/>
          <w:szCs w:val="20"/>
          <w:color w:val="auto"/>
        </w:rPr>
      </w:pPr>
    </w:p>
    <w:p>
      <w:pPr>
        <w:jc w:val="both"/>
        <w:ind w:left="340" w:right="20"/>
        <w:spacing w:after="0" w:line="271" w:lineRule="auto"/>
        <w:rPr>
          <w:sz w:val="20"/>
          <w:szCs w:val="20"/>
          <w:color w:val="auto"/>
        </w:rPr>
      </w:pPr>
      <w:r>
        <w:rPr>
          <w:rFonts w:ascii="Arial" w:cs="Arial" w:eastAsia="Arial" w:hAnsi="Arial"/>
          <w:sz w:val="18"/>
          <w:szCs w:val="18"/>
          <w:color w:val="auto"/>
        </w:rPr>
        <w:t>Level 3 – Significant unobservable inputs that reflect a company’s own assumptions about the assumptions that market participants would use in pricing an asset or liability.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96"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 xml:space="preserve">The Company evaluates its financial instruments to determine if such instruments are derivatives or contain features that qualify as embedded derivatives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For derivative financial instruments that are accounted for as liabilities, the derivative instrument is initially recorded at its fair value on the grant date and is then re-valued at each reporting date, with changes in the fair value reported in the statements of operations. Derivative liabilities are classified on the balance sheet as current or non-current based on whether or not net-cash settlement or conversion of the instrument could be required within 12 months of the balance sheet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accounts receivable. The Company controls its exposure to credit risk associated with these instruments by (i) placing cash and cash equivalents with several major financial institutions and (ii) maintaining strict policies over credit extension that include credit evaluations, credit limits and monitoring procedures. For more information on the Company’s net sales to its three largest customers, see Note 15, “</w:t>
      </w:r>
      <w:r>
        <w:rPr>
          <w:rFonts w:ascii="Arial" w:cs="Arial" w:eastAsia="Arial" w:hAnsi="Arial"/>
          <w:sz w:val="18"/>
          <w:szCs w:val="18"/>
          <w:i w:val="1"/>
          <w:iCs w:val="1"/>
          <w:color w:val="auto"/>
        </w:rPr>
        <w:t>Major Reseller Customers</w:t>
      </w:r>
      <w:r>
        <w:rPr>
          <w:rFonts w:ascii="Arial" w:cs="Arial" w:eastAsia="Arial" w:hAnsi="Arial"/>
          <w:sz w:val="18"/>
          <w:szCs w:val="18"/>
          <w:color w:val="auto"/>
        </w:rPr>
        <w:t>”.</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196"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842), </w:t>
      </w:r>
      <w:r>
        <w:rPr>
          <w:rFonts w:ascii="Arial" w:cs="Arial" w:eastAsia="Arial" w:hAnsi="Arial"/>
          <w:sz w:val="18"/>
          <w:szCs w:val="18"/>
          <w:color w:val="auto"/>
        </w:rPr>
        <w:t>which requires lessees to recognize right-of-use assets, representing their right to use the underlying asset for the lease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 and lease liabilities on the balance sheet for all leases with terms greater than 12 months. The Company adopted the provisions of this guidance effective January 1, 2022, using the modified retrospective optional transition method. Therefore, the standard was applied beginning January 1, 2022, and prior periods were not restated. The adoption of the standard did not result in a cumulative-effect adjustment to the opening balance of retained earnings. The Company elected the package of practical expedients and implemented internal controls and executed changes to business processes to enable the preparation of financial information upon adoption. The adoption of the new standard resulted in the recognition of a right of use asset and short-term and long-term liabilities recorded on the Company's consolidated balance sheet related to operating leases. In addition, the adoption of the standard did not have a material impact on the Company's results of operations or cash flows.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for further details.</w:t>
      </w:r>
    </w:p>
    <w:p>
      <w:pPr>
        <w:spacing w:after="0" w:line="16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 – Retirements Benefits – Defined Benefit Plans – General (Subtopic 715-20)</w:t>
      </w:r>
      <w:r>
        <w:rPr>
          <w:rFonts w:ascii="Arial" w:cs="Arial" w:eastAsia="Arial" w:hAnsi="Arial"/>
          <w:sz w:val="18"/>
          <w:szCs w:val="18"/>
          <w:color w:val="auto"/>
        </w:rPr>
        <w:t>. The ASU will update disclosure requirements for employers that sponsor defined benefit pension or other post retirement plans.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adopted ASU 2018-14 on a retrospective basis as of January 1, 2022. Adoption did not result in a significant change to the Company's consolidated financial statement disclosures.</w:t>
      </w:r>
    </w:p>
    <w:p>
      <w:pPr>
        <w:spacing w:after="0" w:line="160"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xml:space="preserve"> which is intended to simplify various aspects related to accounting for income taxes. The ASU removes certain exceptions to the general principles in Topic 740 and also clarifies and amends existing guidance to improve consistent application. The Company adopted ASU 2019-12 on a prospective basis as of January 1, 2022. Adoption of the ASU did not have a material effect on the Company's consolidated financial statements.</w:t>
      </w:r>
    </w:p>
    <w:p>
      <w:pPr>
        <w:spacing w:after="0" w:line="163"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470-20)</w:t>
      </w:r>
      <w:r>
        <w:rPr>
          <w:rFonts w:ascii="Arial" w:cs="Arial" w:eastAsia="Arial" w:hAnsi="Arial"/>
          <w:sz w:val="18"/>
          <w:szCs w:val="18"/>
          <w:color w:val="auto"/>
        </w:rPr>
        <w:t>. ASU 2020-06 eliminates the beneficial conversion and cash conversion accounting models for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The new guidance modifies how particular convertible instruments and certain contracts that may be settled in cash or shares impact the diluted EPS computation. It also amends the accounting for certain contracts in an entity’s own equity that are currently accounted for as derivatives because of specific settlement provisions. The Company adopted ASU 2020-06 on January 1, 2022. Adoption of the ASU did not impact the Company's consolidated financial statements.</w:t>
      </w:r>
    </w:p>
    <w:p>
      <w:pPr>
        <w:spacing w:after="0" w:line="165"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as further modified by ASU 2021-01 and ASU 2022-06 (collectively, the "ASUs"). The ASUs provide temporary optional expedients and exceptions, if certain conditions are met, for applying GAAP to contracts, hedging relationships, and other transactions affected by the transition from the London Interbank Offered Rate ("LIBOR") and other interbank offered rates to alternative reference rates, such as the Secured Overnight Financing Rate ("SOFR"). The standard is currently applicable to contracts entered into before January 1, 2025. The ASUs were effective upon issuance and allowed companies to adopt the amendments on a prospective basis through December 31, 2022. The Company has not adopted any expedients or exceptions under ASU 2020-04.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96"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This ASU requires entities to apply the definition of a performance obligation under ASC Topic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to recognize and measure contract assets and contract liabilities (i.e., deferred revenue) relating to contracts with customers that are acquired in a business combination. Under current U.S. GAAP, an acquirer generally recognizes assets acquired and liabilities assumed in a business combination, including contract assets and contract liabilities arising from revenue contracts with customers, at fair value on the acquisition date. ASU No. 2021-08 will result in the acquirer recording acquired contract assets and liabilities on the same basis that would have been recorded by the acquiree before the acquisition under ASC Topic 606. Adoption of the provisions of ASU 2021-08 are effective for the Company's fiscal year beginning after December 15, 2022, with early adoption permitted. The Company does not expect the adoption of this ASU to have a material impact on its financial statements.</w:t>
      </w:r>
    </w:p>
    <w:p>
      <w:pPr>
        <w:spacing w:after="0" w:line="200" w:lineRule="exact"/>
        <w:rPr>
          <w:sz w:val="20"/>
          <w:szCs w:val="20"/>
          <w:color w:val="auto"/>
        </w:rPr>
      </w:pPr>
    </w:p>
    <w:p>
      <w:pPr>
        <w:spacing w:after="0" w:line="209" w:lineRule="exact"/>
        <w:rPr>
          <w:sz w:val="20"/>
          <w:szCs w:val="20"/>
          <w:color w:val="auto"/>
        </w:rPr>
      </w:pPr>
    </w:p>
    <w:p>
      <w:pPr>
        <w:ind w:left="340" w:right="5540" w:hanging="332"/>
        <w:spacing w:after="0" w:line="469" w:lineRule="auto"/>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 ACQUISITIONS, AND DIVESTITURE BUSINESS COMBINATION</w:t>
      </w:r>
    </w:p>
    <w:p>
      <w:pPr>
        <w:spacing w:after="0" w:line="1"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On July 16, 2021, Holley consummated the Business Combination pursuant to the terms of the Merger Agreement, whereby (i) Merger Sub I, a direct wholly owned subsidiary of Empower, merged with and into Holley Intermediate, with Holley Intermediate surviving such merger as a wholly owned subsidiary of Holley (“Merger I”) and (ii) Merger Sub II, a direct wholly owned subsidiary of Empower, merged with and into Holley Intermediate, with Merger Sub II surviving such merger as a wholly owned subsidiary of Holley (“Merger II”).</w:t>
      </w:r>
    </w:p>
    <w:p>
      <w:pPr>
        <w:spacing w:after="0" w:line="160"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Pursuant to the Merger Agreement, at the Closing, all outstanding shares of Holley Intermediate common stock as of immediately prior to the effective time of Merger I were cancelled and the Holley Stockholder, the sole stockholder of Holley Intermediate, received $264,718 in cash and 67,673,884 shares of common stock (at a deemed value of $10.00 per share). The Company’s common stock is listed on the NYSE under the symbol “HLLY.”</w:t>
      </w:r>
    </w:p>
    <w:p>
      <w:pPr>
        <w:spacing w:after="0" w:line="160"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Business Combination, a number of subscribers purchased from the Company an aggregate of 24,000,000 shares of common stock (the “PIPE”), for a purchase price of $10.00 per share, or $240,000 in the aggregate. Per the Merger Agreement, $100,000 of the PIPE proceeds were used to partially pay off Holley’s debt.</w:t>
      </w:r>
    </w:p>
    <w:p>
      <w:pPr>
        <w:spacing w:after="0" w:line="155"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Pursuant to the Amended and Restated Forward Purchase Agreement (“A&amp;R FPA”), at the Closing, 5,000,000 shares of the Company’s common stock and 1,666,667 warrants were issued to certain investors for an aggregate purchase price of $50,000. Pursuant to the A&amp;R FPA, each warrant entitles the holder to purchase one share of the Company’s common stock at a price of $11.50 per share (the ”Public Warrants”), subject to certain conditions.</w:t>
      </w:r>
    </w:p>
    <w:p>
      <w:pPr>
        <w:spacing w:after="0" w:line="160"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The Company also assumed 8,333,310 Public Warrants and 4,666,667 private placement warrants (the “Private Warrants”, and together with the Public Warrants, the “Warrants”) upon the Business Combination, all of which were issued in connection with Empower’s initial public offering. Each Warrant represents the right to purchase one share of the Company’s common stock at a price of $11.50 per share, subject to certain conditions. The Warrants are exercisable commencing on October 9, 2021 (the one-year anniversary of Empower’s initial public offering) and expire on July 16, 2026 (five years after the Closing Date). The Public Warrants are listed on the NYSE under the symbol “HLLY WS.”</w:t>
      </w:r>
    </w:p>
    <w:p>
      <w:pPr>
        <w:spacing w:after="0" w:line="165"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Additionally, Empower Sponsor Holdings LLC (the "Sponsor") received 2,187,500 shares of the Company’s common stock, which vest in two equal tranches upon achieving certain market share price milestones as outlined in the Merger Agreement during the earn-out period (“the “Earn-Out Shares”). The first tranche of Earn-Out Shares vested during the first quarter of 2022. Upon vesting, the first tranche of the Earn-Out Shares, or 1,093,750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remaining Earn-Out Shares are classified as a liability on the condensed consolidated balance sheet and are remeasured at fair value with changes in the post-Business Combination fair value recognized in the Company’s condensed consolidated statement of comprehensive income as non-operating expense.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Business Combination was accounted for as a reverse recapitalization in accordance with U.S. GAAP. This determination was primarily based on the Holley Stockholder having a relative majority of the voting power of the Company, the operations of Holley prior to the acquisition comprising the only ongoing operations of the Company, and senior management of Holley comprising the majority of the senior management of the Company. Under this method of accounting, Empower was treated as the acquired company for financial reporting. Accordingly, the Business Combination was accounted for as the equivalent of Holley issuing stock for the net assets of Empower, accompanied by a recapitalization. The net assets of Empower are stated at historical cost, with no goodwill or other intangible assets recorded. Reported amounts from operations included herein prior to the Business Combination are those of Holley Intermediate. The shares and corresponding capital amounts and earnings per share, prior to the Business Combination, have been retroactively restated based on shares received by the Holley Stockholder.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the elements of the Business Combination to the consolidated statements of cash flows for the year ended</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2021:</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8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Recapitalization</w:t>
            </w: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 Empower's trust and cash (net of redemptions of $99,353 and transaction costs of $44,314)</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107,017</w:t>
            </w:r>
          </w:p>
        </w:tc>
        <w:tc>
          <w:tcPr>
            <w:tcW w:w="100" w:type="dxa"/>
            <w:vAlign w:val="bottom"/>
            <w:shd w:val="clear" w:color="auto" w:fill="CCEEFF"/>
          </w:tcPr>
          <w:p>
            <w:pPr>
              <w:spacing w:after="0"/>
              <w:rPr>
                <w:sz w:val="17"/>
                <w:szCs w:val="17"/>
                <w:color w:val="auto"/>
              </w:rPr>
            </w:pP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Cash - Forward Purchase Agreement</w:t>
            </w:r>
          </w:p>
        </w:tc>
        <w:tc>
          <w:tcPr>
            <w:tcW w:w="1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100" w:type="dxa"/>
            <w:vAlign w:val="bottom"/>
          </w:tcPr>
          <w:p>
            <w:pPr>
              <w:spacing w:after="0"/>
              <w:rPr>
                <w:sz w:val="17"/>
                <w:szCs w:val="17"/>
                <w:color w:val="auto"/>
              </w:rPr>
            </w:pPr>
          </w:p>
        </w:tc>
      </w:tr>
      <w:tr>
        <w:trPr>
          <w:trHeight w:val="203"/>
        </w:trPr>
        <w:tc>
          <w:tcPr>
            <w:tcW w:w="89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 PIPE Financing</w:t>
            </w: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240,000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960" w:type="dxa"/>
            <w:vAlign w:val="bottom"/>
          </w:tcPr>
          <w:p>
            <w:pPr>
              <w:spacing w:after="0" w:line="196" w:lineRule="exact"/>
              <w:rPr>
                <w:sz w:val="20"/>
                <w:szCs w:val="20"/>
                <w:color w:val="auto"/>
              </w:rPr>
            </w:pPr>
            <w:r>
              <w:rPr>
                <w:rFonts w:ascii="Arial" w:cs="Arial" w:eastAsia="Arial" w:hAnsi="Arial"/>
                <w:sz w:val="18"/>
                <w:szCs w:val="18"/>
                <w:color w:val="auto"/>
              </w:rPr>
              <w:t>Net cash provided by Business Combination and PIPE Financing</w:t>
            </w:r>
          </w:p>
        </w:tc>
        <w:tc>
          <w:tcPr>
            <w:tcW w:w="14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397,017</w:t>
            </w:r>
          </w:p>
        </w:tc>
        <w:tc>
          <w:tcPr>
            <w:tcW w:w="100" w:type="dxa"/>
            <w:vAlign w:val="bottom"/>
          </w:tcPr>
          <w:p>
            <w:pPr>
              <w:spacing w:after="0"/>
              <w:rPr>
                <w:sz w:val="17"/>
                <w:szCs w:val="17"/>
                <w:color w:val="auto"/>
              </w:rPr>
            </w:pP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cash consideration paid to Holley Stockholder</w:t>
            </w: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(264,718)</w:t>
            </w:r>
          </w:p>
        </w:tc>
      </w:tr>
      <w:tr>
        <w:trPr>
          <w:trHeight w:val="196"/>
        </w:trPr>
        <w:tc>
          <w:tcPr>
            <w:tcW w:w="896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Net contributions from Business Combination and PIPE Financing</w:t>
            </w: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132,299</w:t>
            </w:r>
          </w:p>
        </w:tc>
        <w:tc>
          <w:tcPr>
            <w:tcW w:w="100" w:type="dxa"/>
            <w:vAlign w:val="bottom"/>
            <w:tcBorders>
              <w:top w:val="single" w:sz="8" w:color="CCEEFF"/>
            </w:tcBorders>
          </w:tcPr>
          <w:p>
            <w:pPr>
              <w:spacing w:after="0"/>
              <w:rPr>
                <w:sz w:val="17"/>
                <w:szCs w:val="17"/>
                <w:color w:val="auto"/>
              </w:rPr>
            </w:pPr>
          </w:p>
        </w:tc>
      </w:tr>
      <w:tr>
        <w:trPr>
          <w:trHeight w:val="20"/>
        </w:trPr>
        <w:tc>
          <w:tcPr>
            <w:tcW w:w="8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198"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During the three years ended December 31, 2022, the Company completed 14 acquisitions. These acquisitions are expected to enhance the Company's portfolio of products and services in the automotive aftermarket and automotive safety solutions market.</w:t>
      </w:r>
    </w:p>
    <w:p>
      <w:pPr>
        <w:spacing w:after="0" w:line="140"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Company accounts for acquisitions using the acquisition method, and accordingly, the purchase price has been allocated based upon the fair value of the assets acquired and liabilities assumed. The valuation of the assets acquired and liabilities assumed is subject to revision. If additional information becomes available, the Company may further revise the purchase price allocation as soon as practical, but no later than one year from the acquisition date; however, material changes are not expected. Goodwill generated by the acquisitions is primarily attributable to the strong market position of the entities acquired.</w:t>
      </w:r>
    </w:p>
    <w:p>
      <w:pPr>
        <w:spacing w:after="0" w:line="163"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Purchase price consideration for all acquisitions was paid primarily in cash. All acquisitions were for 100 percent of the acquired business and are reported in the Consolidated Statements of Cash Flows, net of acquired cash and cash equivalents. Acquisition-related costs, including advisory, legal, accounting, valuation and other costs, are typically expensed in the periods in which the costs are incurred and are recorded in acquisition and restructuring costs. The results of operations of acquired businesses are included in the consolidated financial statements from the acquisition date.</w:t>
      </w:r>
    </w:p>
    <w:p>
      <w:pPr>
        <w:spacing w:after="0" w:line="163"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In 2022, the Company acquired substantially all the assets of John's Ind., Inc. ("John's"), Southern Kentucky Classics ("SKC"), and Vesta Motorsports USA, Inc., doing business as RaceQuip ("RaceQuip"). These acquisitions were immaterial business combinations. Cash paid for the three acquisitions, net of cash acquired, was $14,863, and was funded with borrowings from the Company's credit facility and cash on hand. The acquisitions resulted in both amortizable and nonamortizable intangibles and goodwill totaling $9,618. The goodwill and intangibles generated as a result of these acquisitions are deductible for income tax purposes. Pro forma results of operations and the results of operations since the acquisition dates for these immaterial acquisitions have not been separately disclosed because the effects were not significant compared to the consolidated financial statements, individually or in the aggregate.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final allocation of the purchase price to specific assets acquired and liabilities assumed may change in future periods as the fair value estimates of inventory and intangibles are completed. The allocation of the purchase price to the assets acquired and liabilities assumed was based on estimates of the fair value of the net assets as follows:</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Measurement</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Period</w:t>
            </w:r>
          </w:p>
        </w:tc>
        <w:tc>
          <w:tcPr>
            <w:tcW w:w="200" w:type="dxa"/>
            <w:vAlign w:val="bottom"/>
          </w:tcPr>
          <w:p>
            <w:pPr>
              <w:spacing w:after="0"/>
              <w:rPr>
                <w:sz w:val="17"/>
                <w:szCs w:val="17"/>
                <w:color w:val="auto"/>
              </w:rPr>
            </w:pPr>
          </w:p>
        </w:tc>
        <w:tc>
          <w:tcPr>
            <w:tcW w:w="14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r>
      <w:tr>
        <w:trPr>
          <w:trHeight w:val="221"/>
        </w:trPr>
        <w:tc>
          <w:tcPr>
            <w:tcW w:w="53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(as initially reported)</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(as adjusted)</w:t>
            </w:r>
          </w:p>
        </w:tc>
        <w:tc>
          <w:tcPr>
            <w:tcW w:w="100" w:type="dxa"/>
            <w:vAlign w:val="bottom"/>
          </w:tcPr>
          <w:p>
            <w:pPr>
              <w:spacing w:after="0"/>
              <w:rPr>
                <w:sz w:val="19"/>
                <w:szCs w:val="19"/>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562</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3,481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1,081</w:t>
            </w: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4,562</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275</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1,132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(1,108)</w:t>
            </w: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Tradenames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1,689</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1,512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1,512</w:t>
            </w:r>
          </w:p>
        </w:tc>
      </w:tr>
      <w:tr>
        <w:trPr>
          <w:trHeight w:val="202"/>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559</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6,417</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7"/>
                <w:szCs w:val="17"/>
                <w:color w:val="auto"/>
              </w:rPr>
            </w:pPr>
          </w:p>
        </w:tc>
        <w:tc>
          <w:tcPr>
            <w:tcW w:w="1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(133)</w:t>
            </w:r>
          </w:p>
        </w:tc>
        <w:tc>
          <w:tcPr>
            <w:tcW w:w="200" w:type="dxa"/>
            <w:vAlign w:val="bottom"/>
          </w:tcPr>
          <w:p>
            <w:pPr>
              <w:spacing w:after="0"/>
              <w:rPr>
                <w:sz w:val="17"/>
                <w:szCs w:val="17"/>
                <w:color w:val="auto"/>
              </w:rPr>
            </w:pPr>
          </w:p>
        </w:tc>
        <w:tc>
          <w:tcPr>
            <w:tcW w:w="1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(158)</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w:t>
            </w:r>
          </w:p>
        </w:tc>
      </w:tr>
      <w:tr>
        <w:trPr>
          <w:trHeight w:val="20"/>
        </w:trPr>
        <w:tc>
          <w:tcPr>
            <w:tcW w:w="5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34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14,863</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14,863</w:t>
            </w:r>
          </w:p>
        </w:tc>
      </w:tr>
      <w:tr>
        <w:trPr>
          <w:trHeight w:val="20"/>
        </w:trPr>
        <w:tc>
          <w:tcPr>
            <w:tcW w:w="5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spacing w:after="0" w:line="160"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In 2021, the Company acquired substantially all the assets of Finspeed, LLC (“Finspeed”), Classic Instruments LLC (“Classic Instruments”), ADS Precision Machining, Inc., doing business as Arizona Desert Shocks (“ADS”), Rocket Performance Machine, Inc., doing business as Rocket Racing Wheels (“Rocket”), and Speartech Fuel Injections Systems, Inc. (“Speartech”). These five acquisitions were individually immaterial business combinations that are material in the aggregate. Cash paid for the five immaterial acquisitions, net of cash acquired, was $19,909, and was funded with borrowings from the Company's credit facility and cash on hand. The acquisitions resulted in both amortizable and non-amortizable intangibles and goodwill totaling $13,247. The goodwill and intangibles generated as a result of these acquisitions are deductible for income tax purposes. Pro forma results of operations and the results of operations since the acquisition dates for these immaterial acquisitions have not been separately disclosed because the effects were not significant compared to the consolidated financial statements, individually or in the aggregate.</w:t>
      </w:r>
    </w:p>
    <w:p>
      <w:pPr>
        <w:spacing w:after="0" w:line="170"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8"/>
          <w:szCs w:val="18"/>
          <w:color w:val="auto"/>
        </w:rPr>
        <w:t>The determination of the final purchase price allocation to specific assets acquired and liabilities assumed was adjusted to reflect the final fair value estimate of acquired assets and liabilities, as noted below. The allocation of the purchase price to the assets acquired and liabilities assumed was based on estimates of the fair value of the net assets as follows:</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Measurement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Period</w:t>
            </w:r>
          </w:p>
        </w:tc>
        <w:tc>
          <w:tcPr>
            <w:tcW w:w="200" w:type="dxa"/>
            <w:vAlign w:val="bottom"/>
          </w:tcPr>
          <w:p>
            <w:pPr>
              <w:spacing w:after="0"/>
              <w:rPr>
                <w:sz w:val="17"/>
                <w:szCs w:val="17"/>
                <w:color w:val="auto"/>
              </w:rPr>
            </w:pPr>
          </w:p>
        </w:tc>
        <w:tc>
          <w:tcPr>
            <w:tcW w:w="14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r>
      <w:tr>
        <w:trPr>
          <w:trHeight w:val="221"/>
        </w:trPr>
        <w:tc>
          <w:tcPr>
            <w:tcW w:w="53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(as initially reported)</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(as adjusted)</w:t>
            </w:r>
          </w:p>
        </w:tc>
        <w:tc>
          <w:tcPr>
            <w:tcW w:w="100" w:type="dxa"/>
            <w:vAlign w:val="bottom"/>
          </w:tcPr>
          <w:p>
            <w:pPr>
              <w:spacing w:after="0"/>
              <w:rPr>
                <w:sz w:val="19"/>
                <w:szCs w:val="19"/>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122</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618</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618</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3,975</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3,975</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2,274</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2,274</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Tradenames</w:t>
            </w:r>
          </w:p>
        </w:tc>
        <w:tc>
          <w:tcPr>
            <w:tcW w:w="36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2,608</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2,608</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3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2,450</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2,450</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11,017</w:t>
            </w:r>
          </w:p>
        </w:tc>
        <w:tc>
          <w:tcPr>
            <w:tcW w:w="180" w:type="dxa"/>
            <w:vAlign w:val="bottom"/>
          </w:tcPr>
          <w:p>
            <w:pPr>
              <w:spacing w:after="0"/>
              <w:rPr>
                <w:sz w:val="17"/>
                <w:szCs w:val="17"/>
                <w:color w:val="auto"/>
              </w:rPr>
            </w:pPr>
          </w:p>
        </w:tc>
        <w:tc>
          <w:tcPr>
            <w:tcW w:w="1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(2,828)</w:t>
            </w: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8,189</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(343)</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(343)</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(129)</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122</w:t>
            </w:r>
          </w:p>
        </w:tc>
        <w:tc>
          <w:tcPr>
            <w:tcW w:w="200" w:type="dxa"/>
            <w:vAlign w:val="bottom"/>
          </w:tcPr>
          <w:p>
            <w:pPr>
              <w:spacing w:after="0"/>
              <w:rPr>
                <w:sz w:val="17"/>
                <w:szCs w:val="17"/>
                <w:color w:val="auto"/>
              </w:rPr>
            </w:pPr>
          </w:p>
        </w:tc>
        <w:tc>
          <w:tcPr>
            <w:tcW w:w="1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w:t>
            </w:r>
          </w:p>
        </w:tc>
      </w:tr>
      <w:tr>
        <w:trPr>
          <w:trHeight w:val="20"/>
        </w:trPr>
        <w:tc>
          <w:tcPr>
            <w:tcW w:w="5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22,615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(2,706)</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19,909</w:t>
            </w: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fair value of the acquired customer relationship intangible assets was estimated using the excess earnings approach. The customer relationship intangible assets are being amortized based on the attrition rate of customers which have an estimated weighted average life of 18 years. The fair value of the acquired tradenames intangible asset was estimated using the relief from royalty method, a form of the income approach. The tradenames were determined to have an indefinite life.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six acquisitions completed during the years ended December 31, 2021 and 2020 are described below.</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Baer, Inc.</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On December 23, 2021, the Company acquired substantially all the assets and liabilities of Baer, Inc., doing business as Baer Brakes ("Baer"). Consideration for the assets acquired was cash payments of $22,170. The acquisition resulted in both amortizable and non-amortizable intangibles and goodwill totaling $18,989. The goodwill and intangibles generated as a result of this acquisition are deductible for income tax purposes. The purchase price was funded with borrowings from the Company's credit facility and cash on hand.</w:t>
      </w:r>
    </w:p>
    <w:p>
      <w:pPr>
        <w:spacing w:after="0" w:line="163"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8"/>
          <w:szCs w:val="18"/>
          <w:color w:val="auto"/>
        </w:rPr>
        <w:t>The determination of the final purchase price allocation to specific assets acquired and liabilities assumed was adjusted to reflect the final fair value estimate of acquired assets and liabilities, as noted below. The allocation of the purchase price to the assets acquired and liabilities assumed was based on estimates of the fair value of the net assets as follows:</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Measurement</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40" w:type="dxa"/>
            <w:vAlign w:val="bottom"/>
          </w:tcPr>
          <w:p>
            <w:pPr>
              <w:spacing w:after="0"/>
              <w:rPr>
                <w:sz w:val="17"/>
                <w:szCs w:val="17"/>
                <w:color w:val="auto"/>
              </w:rPr>
            </w:pPr>
          </w:p>
        </w:tc>
        <w:tc>
          <w:tcPr>
            <w:tcW w:w="18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December 23, 2021</w:t>
            </w:r>
          </w:p>
        </w:tc>
        <w:tc>
          <w:tcPr>
            <w:tcW w:w="18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Period</w:t>
            </w:r>
          </w:p>
        </w:tc>
        <w:tc>
          <w:tcPr>
            <w:tcW w:w="17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December 23, 2021</w:t>
            </w:r>
          </w:p>
        </w:tc>
      </w:tr>
      <w:tr>
        <w:trPr>
          <w:trHeight w:val="221"/>
        </w:trPr>
        <w:tc>
          <w:tcPr>
            <w:tcW w:w="53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(as initially reported)</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(as adjusted)</w:t>
            </w:r>
          </w:p>
        </w:tc>
        <w:tc>
          <w:tcPr>
            <w:tcW w:w="100" w:type="dxa"/>
            <w:vAlign w:val="bottom"/>
          </w:tcPr>
          <w:p>
            <w:pPr>
              <w:spacing w:after="0"/>
              <w:rPr>
                <w:sz w:val="19"/>
                <w:szCs w:val="19"/>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627</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5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1,813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1,813</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695</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Tradenames</w:t>
            </w:r>
          </w:p>
        </w:tc>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4,630</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5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6,075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6,075</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8,363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8,284</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58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(81)</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79</w:t>
            </w:r>
          </w:p>
        </w:tc>
        <w:tc>
          <w:tcPr>
            <w:tcW w:w="200" w:type="dxa"/>
            <w:vAlign w:val="bottom"/>
          </w:tcPr>
          <w:p>
            <w:pPr>
              <w:spacing w:after="0"/>
              <w:rPr>
                <w:sz w:val="17"/>
                <w:szCs w:val="17"/>
                <w:color w:val="auto"/>
              </w:rPr>
            </w:pPr>
          </w:p>
        </w:tc>
        <w:tc>
          <w:tcPr>
            <w:tcW w:w="1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w:t>
            </w:r>
          </w:p>
        </w:tc>
      </w:tr>
      <w:tr>
        <w:trPr>
          <w:trHeight w:val="20"/>
        </w:trPr>
        <w:tc>
          <w:tcPr>
            <w:tcW w:w="53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340" w:type="dxa"/>
            <w:vAlign w:val="bottom"/>
          </w:tcPr>
          <w:p>
            <w:pPr>
              <w:spacing w:after="0"/>
              <w:rPr>
                <w:sz w:val="17"/>
                <w:szCs w:val="17"/>
                <w:color w:val="auto"/>
              </w:rPr>
            </w:pPr>
          </w:p>
        </w:tc>
        <w:tc>
          <w:tcPr>
            <w:tcW w:w="5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22,170</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22,170</w:t>
            </w:r>
          </w:p>
        </w:tc>
      </w:tr>
      <w:tr>
        <w:trPr>
          <w:trHeight w:val="20"/>
        </w:trPr>
        <w:tc>
          <w:tcPr>
            <w:tcW w:w="5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value of the accounts receivable acquired was $800.</w:t>
      </w:r>
    </w:p>
    <w:p>
      <w:pPr>
        <w:spacing w:after="0" w:line="198"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Company incurred transaction costs in the amount of $222, which are reflected in operating expenses for the year ended December 31, 2021.</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Brothers Mail Order Industries, Inc.</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On December 16, 2021, the Company acquired substantially all the assets and liabilities of Brothers Mail Order Industries, Inc., doing business as Brothers Trucks ("Brothers"). Consideration for the assets acquired was cash payments of $26,135. The acquisition resulted in non-amortizable intangibles and goodwill totaling $24,835. The goodwill and intangibles generated as a result of this acquisition are deductible for income tax purposes. The purchase price was funded with borrowings from the Company's credit facility and cash on hand.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8"/>
          <w:szCs w:val="18"/>
          <w:color w:val="auto"/>
        </w:rPr>
        <w:t>The determination of the final purchase price allocation to specific assets acquired and liabilities assumed was adjusted to reflect the final fair value estimate of acquired assets and liabilities, as noted below. The allocation of the purchase price to the assets acquired and liabilities assumed was based on estimates of the fair value of the net assets as follows:</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Measurement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40" w:type="dxa"/>
            <w:vAlign w:val="bottom"/>
          </w:tcPr>
          <w:p>
            <w:pPr>
              <w:spacing w:after="0"/>
              <w:rPr>
                <w:sz w:val="17"/>
                <w:szCs w:val="17"/>
                <w:color w:val="auto"/>
              </w:rPr>
            </w:pPr>
          </w:p>
        </w:tc>
        <w:tc>
          <w:tcPr>
            <w:tcW w:w="18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December 16, 2021</w:t>
            </w:r>
          </w:p>
        </w:tc>
        <w:tc>
          <w:tcPr>
            <w:tcW w:w="180" w:type="dxa"/>
            <w:vAlign w:val="bottom"/>
          </w:tcPr>
          <w:p>
            <w:pPr>
              <w:spacing w:after="0"/>
              <w:rPr>
                <w:sz w:val="17"/>
                <w:szCs w:val="17"/>
                <w:color w:val="auto"/>
              </w:rPr>
            </w:pPr>
          </w:p>
        </w:tc>
        <w:tc>
          <w:tcPr>
            <w:tcW w:w="152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9"/>
              </w:rPr>
              <w:t>Period</w:t>
            </w:r>
          </w:p>
        </w:tc>
        <w:tc>
          <w:tcPr>
            <w:tcW w:w="80" w:type="dxa"/>
            <w:vAlign w:val="bottom"/>
          </w:tcPr>
          <w:p>
            <w:pPr>
              <w:spacing w:after="0"/>
              <w:rPr>
                <w:sz w:val="17"/>
                <w:szCs w:val="17"/>
                <w:color w:val="auto"/>
              </w:rPr>
            </w:pPr>
          </w:p>
        </w:tc>
        <w:tc>
          <w:tcPr>
            <w:tcW w:w="17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December 16, 2021</w:t>
            </w:r>
          </w:p>
        </w:tc>
      </w:tr>
      <w:tr>
        <w:trPr>
          <w:trHeight w:val="221"/>
        </w:trPr>
        <w:tc>
          <w:tcPr>
            <w:tcW w:w="53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(as initially reported)</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(as adjusted)</w:t>
            </w:r>
          </w:p>
        </w:tc>
        <w:tc>
          <w:tcPr>
            <w:tcW w:w="100" w:type="dxa"/>
            <w:vAlign w:val="bottom"/>
          </w:tcPr>
          <w:p>
            <w:pPr>
              <w:spacing w:after="0"/>
              <w:rPr>
                <w:sz w:val="19"/>
                <w:szCs w:val="19"/>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58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1,682</w:t>
            </w:r>
          </w:p>
        </w:tc>
        <w:tc>
          <w:tcPr>
            <w:tcW w:w="18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1,682</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Tradenames</w:t>
            </w: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4,975</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4,975</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19,561</w:t>
            </w:r>
          </w:p>
        </w:tc>
        <w:tc>
          <w:tcPr>
            <w:tcW w:w="18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19,860</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58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(403)</w:t>
            </w:r>
          </w:p>
        </w:tc>
        <w:tc>
          <w:tcPr>
            <w:tcW w:w="18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(403)</w:t>
            </w:r>
          </w:p>
        </w:tc>
      </w:tr>
      <w:tr>
        <w:trPr>
          <w:trHeight w:val="20"/>
        </w:trPr>
        <w:tc>
          <w:tcPr>
            <w:tcW w:w="5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25,836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299</w:t>
            </w:r>
          </w:p>
        </w:tc>
        <w:tc>
          <w:tcPr>
            <w:tcW w:w="2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26,135</w:t>
            </w: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fair value of the acquired tradenames intangible asset was estimated using the relief from royalty method, a form of the income approach. The tradenames were determined to have an indefinite life.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value of the accounts receivable acquired was $22.</w:t>
      </w:r>
    </w:p>
    <w:p>
      <w:pPr>
        <w:spacing w:after="0" w:line="198"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Company incurred transaction costs in the amount of $191, which are reflected in operating expenses for the year ended December 31, 2021.</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Advance Engine Management Inc.</w:t>
      </w:r>
    </w:p>
    <w:p>
      <w:pPr>
        <w:spacing w:after="0" w:line="19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On April 14, 2021, the Company acquired substantially all the assets and liabilities of Advance Engine Management Inc. doing business as AEM Performance Electronics (“AEM”). Consideration for the assets acquired was cash payments of $51,243. The acquisition resulted in both amortizable and non-amortizable intangibles and goodwill, totaling $44,486. The goodwill and intangibles generated as a result of this acquisition are deductible for income tax purposes. The purchase price was funded from cash on hand.</w:t>
      </w:r>
    </w:p>
    <w:p>
      <w:pPr>
        <w:spacing w:after="0" w:line="160"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8"/>
          <w:szCs w:val="18"/>
          <w:color w:val="auto"/>
        </w:rPr>
        <w:t>The determination of the final purchase price allocation to specific assets acquired and liabilities assumed was adjusted to reflect the final fair value estimate of acquired assets and liabilities, as noted below. The allocation of the purchase price to the assets acquired and liabilities assumed was based on estimates of the fair value of the net assets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Measurement</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April 14, 2021</w:t>
            </w:r>
          </w:p>
        </w:tc>
        <w:tc>
          <w:tcPr>
            <w:tcW w:w="18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Period</w:t>
            </w:r>
          </w:p>
        </w:tc>
        <w:tc>
          <w:tcPr>
            <w:tcW w:w="180" w:type="dxa"/>
            <w:vAlign w:val="bottom"/>
          </w:tcPr>
          <w:p>
            <w:pPr>
              <w:spacing w:after="0"/>
              <w:rPr>
                <w:sz w:val="17"/>
                <w:szCs w:val="17"/>
                <w:color w:val="auto"/>
              </w:rPr>
            </w:pPr>
          </w:p>
        </w:tc>
        <w:tc>
          <w:tcPr>
            <w:tcW w:w="15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April 14, 2021</w:t>
            </w:r>
          </w:p>
        </w:tc>
        <w:tc>
          <w:tcPr>
            <w:tcW w:w="240" w:type="dxa"/>
            <w:vAlign w:val="bottom"/>
          </w:tcPr>
          <w:p>
            <w:pPr>
              <w:spacing w:after="0"/>
              <w:rPr>
                <w:sz w:val="17"/>
                <w:szCs w:val="17"/>
                <w:color w:val="auto"/>
              </w:rPr>
            </w:pPr>
          </w:p>
        </w:tc>
      </w:tr>
      <w:tr>
        <w:trPr>
          <w:trHeight w:val="221"/>
        </w:trPr>
        <w:tc>
          <w:tcPr>
            <w:tcW w:w="3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(as initially reported)</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(as adjusted)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1740" w:type="dxa"/>
            <w:vAlign w:val="bottom"/>
            <w:gridSpan w:val="2"/>
            <w:shd w:val="clear" w:color="auto" w:fill="CCEEFF"/>
          </w:tcPr>
          <w:p>
            <w:pPr>
              <w:ind w:left="1560"/>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3,454</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3,393</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3,892</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3,892</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1,342</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1,342</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493</w:t>
            </w:r>
          </w:p>
        </w:tc>
        <w:tc>
          <w:tcPr>
            <w:tcW w:w="180" w:type="dxa"/>
            <w:vAlign w:val="bottom"/>
          </w:tcPr>
          <w:p>
            <w:pPr>
              <w:spacing w:after="0"/>
              <w:rPr>
                <w:sz w:val="17"/>
                <w:szCs w:val="17"/>
                <w:color w:val="auto"/>
              </w:rPr>
            </w:pPr>
          </w:p>
        </w:tc>
        <w:tc>
          <w:tcPr>
            <w:tcW w:w="1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(91)</w:t>
            </w:r>
          </w:p>
        </w:tc>
        <w:tc>
          <w:tcPr>
            <w:tcW w:w="18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402</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Tradenames</w:t>
            </w: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10,760</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10,760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14,640</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14,640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Patents</w:t>
            </w: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1,970</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1,970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Technology intangibles</w:t>
            </w: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110</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17,426</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17,006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(2,032)</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110</w:t>
            </w:r>
          </w:p>
        </w:tc>
        <w:tc>
          <w:tcPr>
            <w:tcW w:w="18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(1,922)</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(489)</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(350)</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740" w:type="dxa"/>
            <w:vAlign w:val="bottom"/>
            <w:gridSpan w:val="2"/>
          </w:tcPr>
          <w:p>
            <w:pPr>
              <w:ind w:left="1560"/>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51,566</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(323)</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51,243</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3"/>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66</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and patents intangible assets were estimated using the relief from royalty method, a form of the income approach. The tradenames were determined to have an indefinite life. The patents are being amortized over 13 years based on the weighted average remaining life of the patent portfolio.</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value of the accounts receivable acquired was $3,454.</w:t>
      </w:r>
    </w:p>
    <w:p>
      <w:pPr>
        <w:spacing w:after="0" w:line="19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Company’s results for the year ended December 31, 2021, include $16,593 of net sales and $2,664 of net income from AEM since the date of acquisition. The Company incurred transaction costs in the amount of $2,264, which are reflected in operating expenses for the year ended December 31, 2021.</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Drake Automotive Group LLC</w:t>
      </w:r>
    </w:p>
    <w:p>
      <w:pPr>
        <w:spacing w:after="0" w:line="196"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On November 11, 2020, the Company acquired Drake Automotive Group LLC (“Drake”). The purchase price was $49,104. The Company acquired 100% of the outstanding member units of Drake. Consideration for the assets acquired consisted of cash payments of $47,104 plus an estimated earn-out payment of $2,000 based on expected 2020 performance. The earn-out payment of $2,000 was paid in March 2021. The acquisition resulted in both amortizable and non-amortizable intangibles and goodwill, totaling $32,441. The goodwill and intangibles generated as a result of this acquisition are deductible for income tax purposes. The purchase price was funded from the proceeds of debt and cash on hand.</w:t>
      </w:r>
    </w:p>
    <w:p>
      <w:pPr>
        <w:spacing w:after="0" w:line="165"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3,947</w:t>
            </w: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14,198</w:t>
            </w: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5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1,296</w:t>
            </w: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189</w:t>
            </w: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Tradenames</w:t>
            </w:r>
          </w:p>
        </w:tc>
        <w:tc>
          <w:tcPr>
            <w:tcW w:w="5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7,715</w:t>
            </w: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17,175</w:t>
            </w: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7,551</w:t>
            </w: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(2,524)</w:t>
            </w: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58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(648)</w:t>
            </w:r>
          </w:p>
        </w:tc>
      </w:tr>
      <w:tr>
        <w:trPr>
          <w:trHeight w:val="20"/>
        </w:trPr>
        <w:tc>
          <w:tcPr>
            <w:tcW w:w="8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49,104</w:t>
            </w:r>
          </w:p>
        </w:tc>
      </w:tr>
      <w:tr>
        <w:trPr>
          <w:trHeight w:val="20"/>
        </w:trPr>
        <w:tc>
          <w:tcPr>
            <w:tcW w:w="8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intangible asset was estimated using the relief from royalty method, a form of the income approach. The tradenames were determined to have an indefinite life.</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value of the accounts receivable acquired was $4,155.</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Simpson Performance Products, Inc.</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On November 16, 2020, the Company acquired Simpson Performance Products, Inc. (“Simpson”). The purchase price was $117,409. The Company acquired 100% of the outstanding common stock of Simpson. Consideration for the assets acquired consisted of cash payments of $110,209 and an earnout initially valued at $7,200. The acquisition resulted in both amortizable and non-amortizable intangibles and goodwill, totaling $105,882. The goodwill and intangibles generated as a result of this acquisition are not deductible for income tax purposes. The purchase price was funded from the proceeds of debt and cash on hand.</w:t>
      </w:r>
    </w:p>
    <w:p>
      <w:pPr>
        <w:spacing w:after="0" w:line="163"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The purchase agreement included a potential contingent payment based on the performance for the twelve months ended October 3, 2021. The seller could earn up to an additional $25,000. The fair value of this contingent payment was initially determined to be $7,200 using the “Bull Call” option strategy utilizing the option values from the Black-Scholes Option Pricing Model. Based on actual performance and updated projections of Simpson’s performance for the earn-out period, the fair value of the contingent payment was determined to be $24,373, resulting in an adjustment of $17,173, which is recognized in acquisition and restructuring costs in the consolidated statement of comprehensive income for the year ended December 31, 2021.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determination of the final purchase price allocation to specific assets acquired and liabilities assumed was adjusted to reflect the final fair value estimate of finished goods inventory, as noted below. The allocation of the purchase price to the assets acquired and liabilities assumed was based on estimates of the fair value of the net assets as follows:</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Measurement</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40" w:type="dxa"/>
            <w:vAlign w:val="bottom"/>
          </w:tcPr>
          <w:p>
            <w:pPr>
              <w:spacing w:after="0"/>
              <w:rPr>
                <w:sz w:val="17"/>
                <w:szCs w:val="17"/>
                <w:color w:val="auto"/>
              </w:rPr>
            </w:pPr>
          </w:p>
        </w:tc>
        <w:tc>
          <w:tcPr>
            <w:tcW w:w="18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November 16, 2020</w:t>
            </w:r>
          </w:p>
        </w:tc>
        <w:tc>
          <w:tcPr>
            <w:tcW w:w="18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Period</w:t>
            </w:r>
          </w:p>
        </w:tc>
        <w:tc>
          <w:tcPr>
            <w:tcW w:w="17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November 16, 2020</w:t>
            </w:r>
          </w:p>
        </w:tc>
      </w:tr>
      <w:tr>
        <w:trPr>
          <w:trHeight w:val="221"/>
        </w:trPr>
        <w:tc>
          <w:tcPr>
            <w:tcW w:w="53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(as initially reported)</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(as adjusted)</w:t>
            </w:r>
          </w:p>
        </w:tc>
        <w:tc>
          <w:tcPr>
            <w:tcW w:w="100" w:type="dxa"/>
            <w:vAlign w:val="bottom"/>
          </w:tcPr>
          <w:p>
            <w:pPr>
              <w:spacing w:after="0"/>
              <w:rPr>
                <w:sz w:val="19"/>
                <w:szCs w:val="19"/>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w:t>
            </w:r>
          </w:p>
        </w:tc>
        <w:tc>
          <w:tcPr>
            <w:tcW w:w="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7,715</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7,715</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3,894</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3,894</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w:t>
            </w:r>
          </w:p>
        </w:tc>
        <w:tc>
          <w:tcPr>
            <w:tcW w:w="5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19,265</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(770)</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18,495</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5,952</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5,952</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5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1,613</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1,613</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Tradenames</w:t>
            </w:r>
          </w:p>
        </w:tc>
        <w:tc>
          <w:tcPr>
            <w:tcW w:w="54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23,980</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23,980</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5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28,770</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28,770</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Patents</w:t>
            </w:r>
          </w:p>
        </w:tc>
        <w:tc>
          <w:tcPr>
            <w:tcW w:w="54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2,720</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2,720</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51,305</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(893)</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50,412</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(2,483)</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(2,483)</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5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(7,787)</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(7,426)</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Deferred tax liability</w:t>
            </w:r>
          </w:p>
        </w:tc>
        <w:tc>
          <w:tcPr>
            <w:tcW w:w="54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(12,993)</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1,375</w:t>
            </w:r>
          </w:p>
        </w:tc>
        <w:tc>
          <w:tcPr>
            <w:tcW w:w="200" w:type="dxa"/>
            <w:vAlign w:val="bottom"/>
          </w:tcPr>
          <w:p>
            <w:pPr>
              <w:spacing w:after="0"/>
              <w:rPr>
                <w:sz w:val="17"/>
                <w:szCs w:val="17"/>
                <w:color w:val="auto"/>
              </w:rPr>
            </w:pPr>
          </w:p>
        </w:tc>
        <w:tc>
          <w:tcPr>
            <w:tcW w:w="1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(11,618)</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w:t>
            </w:r>
          </w:p>
        </w:tc>
        <w:tc>
          <w:tcPr>
            <w:tcW w:w="5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(4,615)</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(4,615)</w:t>
            </w:r>
          </w:p>
        </w:tc>
      </w:tr>
      <w:tr>
        <w:trPr>
          <w:trHeight w:val="20"/>
        </w:trPr>
        <w:tc>
          <w:tcPr>
            <w:tcW w:w="53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340" w:type="dxa"/>
            <w:vAlign w:val="bottom"/>
          </w:tcPr>
          <w:p>
            <w:pPr>
              <w:spacing w:after="0"/>
              <w:rPr>
                <w:sz w:val="17"/>
                <w:szCs w:val="17"/>
                <w:color w:val="auto"/>
              </w:rPr>
            </w:pPr>
          </w:p>
        </w:tc>
        <w:tc>
          <w:tcPr>
            <w:tcW w:w="5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117,336</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73</w:t>
            </w: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117,409</w:t>
            </w:r>
          </w:p>
        </w:tc>
        <w:tc>
          <w:tcPr>
            <w:tcW w:w="10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20 years. The fair value of the acquired tradenames and patents intangible assets were estimated using the relief from royalty method, a form of the income approach. The tradenames were determined to have an indefinite life. The patents are being amortized over 10 years based on the weighted average remaining life of the patent portfolio.</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value of the accounts receivable acquired was $3,894.</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Detroit Speed, Inc.</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On December 18, 2020, the Company acquired Detroit Speed, Inc. (“Detroit Speed”). The purchase price was $11,632. The Company acquired substantially all of the assets and liabilities of Detroit Speed. Consideration for the assets acquired includes cash payments of $9,297 and Class A Units of the Holley Stockholder of $2,000. The acquisition resulted in both amortizable and non-amortizable intangibles and goodwill, totaling $4,482. The goodwill and intangibles generated as a result of this acquisition are partially deductible for income tax purposes. The purchase price was funded from cash on hand and distribution of Class A Units of the Holley Stockholder.</w:t>
      </w:r>
    </w:p>
    <w:p>
      <w:pPr>
        <w:spacing w:after="0" w:line="163"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allocation of the purchase price to the assets acquired and liabilities assumed was based on estimates of the fair value of the net assets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Measurement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December 18, 2020</w:t>
            </w:r>
          </w:p>
        </w:tc>
        <w:tc>
          <w:tcPr>
            <w:tcW w:w="18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Period</w:t>
            </w:r>
          </w:p>
        </w:tc>
        <w:tc>
          <w:tcPr>
            <w:tcW w:w="17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December 18, 2020</w:t>
            </w:r>
          </w:p>
        </w:tc>
        <w:tc>
          <w:tcPr>
            <w:tcW w:w="240" w:type="dxa"/>
            <w:vAlign w:val="bottom"/>
          </w:tcPr>
          <w:p>
            <w:pPr>
              <w:spacing w:after="0"/>
              <w:rPr>
                <w:sz w:val="17"/>
                <w:szCs w:val="17"/>
                <w:color w:val="auto"/>
              </w:rPr>
            </w:pPr>
          </w:p>
        </w:tc>
      </w:tr>
      <w:tr>
        <w:trPr>
          <w:trHeight w:val="221"/>
        </w:trPr>
        <w:tc>
          <w:tcPr>
            <w:tcW w:w="3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(as initially reported)</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as adjusted)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w:t>
            </w:r>
          </w:p>
        </w:tc>
        <w:tc>
          <w:tcPr>
            <w:tcW w:w="2140" w:type="dxa"/>
            <w:vAlign w:val="bottom"/>
            <w:gridSpan w:val="2"/>
            <w:shd w:val="clear" w:color="auto" w:fill="CCEEFF"/>
          </w:tcPr>
          <w:p>
            <w:pPr>
              <w:ind w:left="156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1,784</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1,784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1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418</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418</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w:t>
            </w:r>
          </w:p>
        </w:tc>
        <w:tc>
          <w:tcPr>
            <w:tcW w:w="1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3,478</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3,154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3,040</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3,040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215</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Tradenames</w:t>
            </w:r>
          </w:p>
        </w:tc>
        <w:tc>
          <w:tcPr>
            <w:tcW w:w="1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1,127</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1,127</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1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2,636</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159</w:t>
            </w:r>
          </w:p>
        </w:tc>
        <w:tc>
          <w:tcPr>
            <w:tcW w:w="22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2,795</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1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(668)</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(668)</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1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(1,019)</w:t>
            </w:r>
          </w:p>
        </w:tc>
        <w:tc>
          <w:tcPr>
            <w:tcW w:w="180" w:type="dxa"/>
            <w:vAlign w:val="bottom"/>
          </w:tcPr>
          <w:p>
            <w:pPr>
              <w:spacing w:after="0"/>
              <w:rPr>
                <w:sz w:val="17"/>
                <w:szCs w:val="17"/>
                <w:color w:val="auto"/>
              </w:rPr>
            </w:pPr>
          </w:p>
        </w:tc>
        <w:tc>
          <w:tcPr>
            <w:tcW w:w="1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500</w:t>
            </w:r>
          </w:p>
        </w:tc>
        <w:tc>
          <w:tcPr>
            <w:tcW w:w="220" w:type="dxa"/>
            <w:vAlign w:val="bottom"/>
          </w:tcPr>
          <w:p>
            <w:pPr>
              <w:spacing w:after="0"/>
              <w:rPr>
                <w:sz w:val="17"/>
                <w:szCs w:val="17"/>
                <w:color w:val="auto"/>
              </w:rPr>
            </w:pPr>
          </w:p>
        </w:tc>
        <w:tc>
          <w:tcPr>
            <w:tcW w:w="1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(519)</w:t>
            </w:r>
          </w:p>
        </w:tc>
        <w:tc>
          <w:tcPr>
            <w:tcW w:w="24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liability</w:t>
            </w:r>
          </w:p>
        </w:tc>
        <w:tc>
          <w:tcPr>
            <w:tcW w:w="1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(274)</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140" w:type="dxa"/>
            <w:vAlign w:val="bottom"/>
            <w:gridSpan w:val="2"/>
          </w:tcPr>
          <w:p>
            <w:pPr>
              <w:ind w:left="156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11,297</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335</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11,632</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605"/>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40" w:type="dxa"/>
            <w:vAlign w:val="bottom"/>
            <w:gridSpan w:val="2"/>
          </w:tcPr>
          <w:p>
            <w:pPr>
              <w:jc w:val="right"/>
              <w:ind w:right="450"/>
              <w:spacing w:after="0"/>
              <w:rPr>
                <w:sz w:val="20"/>
                <w:szCs w:val="20"/>
                <w:color w:val="auto"/>
              </w:rPr>
            </w:pPr>
            <w:r>
              <w:rPr>
                <w:rFonts w:ascii="Arial" w:cs="Arial" w:eastAsia="Arial" w:hAnsi="Arial"/>
                <w:sz w:val="18"/>
                <w:szCs w:val="18"/>
                <w:color w:val="auto"/>
              </w:rPr>
              <w:t>68</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340" w:right="180"/>
        <w:spacing w:after="0" w:line="247" w:lineRule="auto"/>
        <w:rPr>
          <w:sz w:val="20"/>
          <w:szCs w:val="20"/>
          <w:color w:val="auto"/>
        </w:rPr>
      </w:pPr>
      <w:r>
        <w:rPr>
          <w:rFonts w:ascii="Arial" w:cs="Arial" w:eastAsia="Arial" w:hAnsi="Arial"/>
          <w:sz w:val="18"/>
          <w:szCs w:val="18"/>
          <w:color w:val="auto"/>
        </w:rPr>
        <w:t>The fair value of the acquired customer relationship intangible asset was estimated using the excess earnings approach. The customer relationship intangible asset is being amortized based on the attrition rate of customers which was determined to be 10 years. The fair value of the acquired tradenames intangible asset was estimated using the relief from royalty method, a form of the income approach. The tradenames were determined to have an indefinite life.</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value of the accounts receivable acquired was $418.</w:t>
      </w:r>
    </w:p>
    <w:p>
      <w:pPr>
        <w:spacing w:after="0" w:line="198" w:lineRule="exact"/>
        <w:rPr>
          <w:sz w:val="20"/>
          <w:szCs w:val="20"/>
          <w:color w:val="auto"/>
        </w:rPr>
      </w:pPr>
    </w:p>
    <w:p>
      <w:pPr>
        <w:ind w:left="340" w:right="260"/>
        <w:spacing w:after="0" w:line="271" w:lineRule="auto"/>
        <w:rPr>
          <w:sz w:val="20"/>
          <w:szCs w:val="20"/>
          <w:color w:val="auto"/>
        </w:rPr>
      </w:pPr>
      <w:r>
        <w:rPr>
          <w:rFonts w:ascii="Arial" w:cs="Arial" w:eastAsia="Arial" w:hAnsi="Arial"/>
          <w:sz w:val="18"/>
          <w:szCs w:val="18"/>
          <w:color w:val="auto"/>
        </w:rPr>
        <w:t>The following table provides the unaudited consolidated pro forma results for the periods presented as if Baer, Brothers, and AEM had been acquired as of January 1, 2020.</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gridSpan w:val="6"/>
          </w:tcPr>
          <w:p>
            <w:pPr>
              <w:jc w:val="right"/>
              <w:ind w:right="400"/>
              <w:spacing w:after="0"/>
              <w:rPr>
                <w:sz w:val="20"/>
                <w:szCs w:val="20"/>
                <w:color w:val="auto"/>
              </w:rPr>
            </w:pPr>
            <w:r>
              <w:rPr>
                <w:rFonts w:ascii="Arial" w:cs="Arial" w:eastAsia="Arial" w:hAnsi="Arial"/>
                <w:sz w:val="18"/>
                <w:szCs w:val="18"/>
                <w:color w:val="auto"/>
              </w:rPr>
              <w:t>For the years ended December 31,</w:t>
            </w:r>
          </w:p>
        </w:tc>
      </w:tr>
      <w:tr>
        <w:trPr>
          <w:trHeight w:val="196"/>
        </w:trPr>
        <w:tc>
          <w:tcPr>
            <w:tcW w:w="71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2021</w:t>
            </w: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sales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727,369</w:t>
            </w:r>
          </w:p>
        </w:tc>
        <w:tc>
          <w:tcPr>
            <w:tcW w:w="4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551,469</w:t>
            </w:r>
          </w:p>
        </w:tc>
      </w:tr>
      <w:tr>
        <w:trPr>
          <w:trHeight w:val="239"/>
        </w:trPr>
        <w:tc>
          <w:tcPr>
            <w:tcW w:w="7140" w:type="dxa"/>
            <w:vAlign w:val="bottom"/>
          </w:tcPr>
          <w:p>
            <w:pPr>
              <w:spacing w:after="0"/>
              <w:rPr>
                <w:sz w:val="20"/>
                <w:szCs w:val="20"/>
                <w:color w:val="auto"/>
              </w:rPr>
            </w:pPr>
            <w:r>
              <w:rPr>
                <w:rFonts w:ascii="Arial" w:cs="Arial" w:eastAsia="Arial" w:hAnsi="Arial"/>
                <w:sz w:val="18"/>
                <w:szCs w:val="18"/>
                <w:color w:val="auto"/>
              </w:rPr>
              <w:t>Pro forma net income</w:t>
            </w:r>
          </w:p>
        </w:tc>
        <w:tc>
          <w:tcPr>
            <w:tcW w:w="220" w:type="dxa"/>
            <w:vAlign w:val="bottom"/>
          </w:tcPr>
          <w:p>
            <w:pPr>
              <w:spacing w:after="0"/>
              <w:rPr>
                <w:sz w:val="20"/>
                <w:szCs w:val="20"/>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(16,248)</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35,969</w:t>
            </w:r>
          </w:p>
        </w:tc>
      </w:tr>
    </w:tbl>
    <w:p>
      <w:pPr>
        <w:spacing w:after="0" w:line="147"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pro forma results include the effects of the amortization of purchased intangible assets and acquired inventory step- up. The pro forma results are based upon unaudited financial information of the acquired entity and are presented for informational purposes only and are not necessarily indicative of the results of future operations or the results that would have occurred had the acquisitions taken place in the periods noted.</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DIVESTITURE</w:t>
      </w:r>
    </w:p>
    <w:p>
      <w:pPr>
        <w:spacing w:after="0" w:line="158" w:lineRule="exact"/>
        <w:rPr>
          <w:sz w:val="20"/>
          <w:szCs w:val="20"/>
          <w:color w:val="auto"/>
        </w:rPr>
      </w:pPr>
    </w:p>
    <w:p>
      <w:pPr>
        <w:jc w:val="both"/>
        <w:ind w:left="340" w:right="20"/>
        <w:spacing w:after="0" w:line="247" w:lineRule="auto"/>
        <w:rPr>
          <w:sz w:val="20"/>
          <w:szCs w:val="20"/>
          <w:color w:val="auto"/>
        </w:rPr>
      </w:pPr>
      <w:r>
        <w:rPr>
          <w:rFonts w:ascii="Arial" w:cs="Arial" w:eastAsia="Arial" w:hAnsi="Arial"/>
          <w:sz w:val="18"/>
          <w:szCs w:val="18"/>
          <w:color w:val="auto"/>
        </w:rPr>
        <w:t>In the fourth quarter of 2022, in connection with a strategic review of its product portfolio, the Company made the decision to sell Finspeed. Finspeed generated approximately $426 in net sales in 2022. The Company received $1,966 cash consideration and recorded a pre-tax loss of $1,037 on the sale of the business, which included a $268 write-down of intangible assets, and was reported as other operating expense in the Consolidated Statements of Comprehensive Income (Loss).</w:t>
      </w:r>
    </w:p>
    <w:p>
      <w:pPr>
        <w:spacing w:after="0" w:line="200" w:lineRule="exact"/>
        <w:rPr>
          <w:sz w:val="20"/>
          <w:szCs w:val="20"/>
          <w:color w:val="auto"/>
        </w:rPr>
      </w:pPr>
    </w:p>
    <w:p>
      <w:pPr>
        <w:spacing w:after="0" w:line="20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78,586</w:t>
            </w:r>
          </w:p>
        </w:tc>
        <w:tc>
          <w:tcPr>
            <w:tcW w:w="640" w:type="dxa"/>
            <w:vAlign w:val="bottom"/>
            <w:gridSpan w:val="2"/>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54,818</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23,906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21,728</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131,081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108,494</w:t>
            </w:r>
          </w:p>
        </w:tc>
      </w:tr>
      <w:tr>
        <w:trPr>
          <w:trHeight w:val="20"/>
        </w:trPr>
        <w:tc>
          <w:tcPr>
            <w:tcW w:w="7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14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233,573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185,040</w:t>
            </w:r>
          </w:p>
        </w:tc>
      </w:tr>
      <w:tr>
        <w:trPr>
          <w:trHeight w:val="20"/>
        </w:trPr>
        <w:tc>
          <w:tcPr>
            <w:tcW w:w="7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right="7920" w:hanging="332"/>
        <w:spacing w:after="0" w:line="472" w:lineRule="auto"/>
        <w:tabs>
          <w:tab w:leader="none" w:pos="34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DETAILS </w:t>
      </w:r>
      <w:r>
        <w:rPr>
          <w:rFonts w:ascii="Arial" w:cs="Arial" w:eastAsia="Arial" w:hAnsi="Arial"/>
          <w:sz w:val="17"/>
          <w:szCs w:val="17"/>
          <w:b w:val="1"/>
          <w:bCs w:val="1"/>
          <w:i w:val="1"/>
          <w:iCs w:val="1"/>
          <w:color w:val="auto"/>
        </w:rPr>
        <w:t>Property, Plant and Equipment, net</w:t>
      </w:r>
    </w:p>
    <w:p>
      <w:pPr>
        <w:ind w:left="340"/>
        <w:spacing w:after="0"/>
        <w:rPr>
          <w:rFonts w:ascii="Arial" w:cs="Arial" w:eastAsia="Arial" w:hAnsi="Arial"/>
          <w:sz w:val="17"/>
          <w:szCs w:val="17"/>
          <w:b w:val="1"/>
          <w:bCs w:val="1"/>
          <w:color w:val="auto"/>
        </w:rPr>
      </w:pPr>
      <w:r>
        <w:rPr>
          <w:rFonts w:ascii="Arial" w:cs="Arial" w:eastAsia="Arial" w:hAnsi="Arial"/>
          <w:sz w:val="18"/>
          <w:szCs w:val="18"/>
          <w:color w:val="auto"/>
        </w:rPr>
        <w:t>Property, plant and equipment of the Company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38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3,426</w:t>
            </w:r>
          </w:p>
        </w:tc>
        <w:tc>
          <w:tcPr>
            <w:tcW w:w="5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1,330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11,051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10,623</w:t>
            </w:r>
          </w:p>
        </w:tc>
        <w:tc>
          <w:tcPr>
            <w:tcW w:w="24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3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66,140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56,824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9,563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12,859</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property, plant and equipment</w:t>
            </w:r>
          </w:p>
        </w:tc>
        <w:tc>
          <w:tcPr>
            <w:tcW w:w="3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90,180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81,636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37,999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30,141</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4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388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52,181</w:t>
            </w:r>
          </w:p>
        </w:tc>
        <w:tc>
          <w:tcPr>
            <w:tcW w:w="58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51,495</w:t>
            </w:r>
          </w:p>
        </w:tc>
        <w:tc>
          <w:tcPr>
            <w:tcW w:w="240" w:type="dxa"/>
            <w:vAlign w:val="bottom"/>
          </w:tcPr>
          <w:p>
            <w:pPr>
              <w:spacing w:after="0"/>
              <w:rPr>
                <w:sz w:val="20"/>
                <w:szCs w:val="20"/>
                <w:color w:val="auto"/>
              </w:rPr>
            </w:pPr>
          </w:p>
        </w:tc>
      </w:tr>
      <w:tr>
        <w:trPr>
          <w:trHeight w:val="403"/>
        </w:trPr>
        <w:tc>
          <w:tcPr>
            <w:tcW w:w="340" w:type="dxa"/>
            <w:vAlign w:val="bottom"/>
          </w:tcPr>
          <w:p>
            <w:pPr>
              <w:spacing w:after="0"/>
              <w:rPr>
                <w:sz w:val="24"/>
                <w:szCs w:val="24"/>
                <w:color w:val="auto"/>
              </w:rPr>
            </w:pPr>
          </w:p>
        </w:tc>
        <w:tc>
          <w:tcPr>
            <w:tcW w:w="4000" w:type="dxa"/>
            <w:vAlign w:val="bottom"/>
            <w:tcBorders>
              <w:top w:val="single" w:sz="8" w:color="CCEEFF"/>
            </w:tcBorders>
          </w:tcPr>
          <w:p>
            <w:pPr>
              <w:spacing w:after="0"/>
              <w:rPr>
                <w:sz w:val="24"/>
                <w:szCs w:val="24"/>
                <w:color w:val="auto"/>
              </w:rPr>
            </w:pPr>
          </w:p>
        </w:tc>
        <w:tc>
          <w:tcPr>
            <w:tcW w:w="3580" w:type="dxa"/>
            <w:vAlign w:val="bottom"/>
            <w:tcBorders>
              <w:top w:val="single" w:sz="8" w:color="CCEEFF"/>
            </w:tcBorders>
          </w:tcPr>
          <w:p>
            <w:pPr>
              <w:jc w:val="right"/>
              <w:ind w:right="2110"/>
              <w:spacing w:after="0"/>
              <w:rPr>
                <w:sz w:val="20"/>
                <w:szCs w:val="20"/>
                <w:color w:val="auto"/>
              </w:rPr>
            </w:pPr>
            <w:r>
              <w:rPr>
                <w:rFonts w:ascii="Arial" w:cs="Arial" w:eastAsia="Arial" w:hAnsi="Arial"/>
                <w:sz w:val="18"/>
                <w:szCs w:val="18"/>
                <w:color w:val="auto"/>
              </w:rPr>
              <w:t>69</w:t>
            </w: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2"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0"/>
        </w:trPr>
        <w:tc>
          <w:tcPr>
            <w:tcW w:w="340" w:type="dxa"/>
            <w:vAlign w:val="bottom"/>
          </w:tcPr>
          <w:p>
            <w:pPr>
              <w:spacing w:after="0"/>
              <w:rPr>
                <w:sz w:val="24"/>
                <w:szCs w:val="24"/>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The Company’s long-lived assets by geographic locations are as follows: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7"/>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7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50,434</w:t>
            </w:r>
          </w:p>
        </w:tc>
        <w:tc>
          <w:tcPr>
            <w:tcW w:w="5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49,547</w:t>
            </w:r>
          </w:p>
        </w:tc>
      </w:tr>
      <w:tr>
        <w:trPr>
          <w:trHeight w:val="203"/>
        </w:trPr>
        <w:tc>
          <w:tcPr>
            <w:tcW w:w="34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1,747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1,948</w:t>
            </w:r>
          </w:p>
        </w:tc>
      </w:tr>
      <w:tr>
        <w:trPr>
          <w:trHeight w:val="20"/>
        </w:trPr>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75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property, plant and equipment, net</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52,181</w:t>
            </w:r>
          </w:p>
        </w:tc>
        <w:tc>
          <w:tcPr>
            <w:tcW w:w="58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51,495</w:t>
            </w:r>
          </w:p>
        </w:tc>
      </w:tr>
      <w:tr>
        <w:trPr>
          <w:trHeight w:val="411"/>
        </w:trPr>
        <w:tc>
          <w:tcPr>
            <w:tcW w:w="340" w:type="dxa"/>
            <w:vAlign w:val="bottom"/>
          </w:tcPr>
          <w:p>
            <w:pPr>
              <w:spacing w:after="0"/>
              <w:rPr>
                <w:sz w:val="24"/>
                <w:szCs w:val="24"/>
                <w:color w:val="auto"/>
              </w:rPr>
            </w:pPr>
          </w:p>
        </w:tc>
        <w:tc>
          <w:tcPr>
            <w:tcW w:w="75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57"/>
        </w:trPr>
        <w:tc>
          <w:tcPr>
            <w:tcW w:w="340" w:type="dxa"/>
            <w:vAlign w:val="bottom"/>
          </w:tcPr>
          <w:p>
            <w:pPr>
              <w:spacing w:after="0"/>
              <w:rPr>
                <w:sz w:val="24"/>
                <w:szCs w:val="24"/>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Accrued liabilities of the Company consisted of the following:</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8"/>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7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Accrued freight</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6,861</w:t>
            </w:r>
          </w:p>
        </w:tc>
        <w:tc>
          <w:tcPr>
            <w:tcW w:w="5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3,866</w:t>
            </w:r>
          </w:p>
        </w:tc>
      </w:tr>
      <w:tr>
        <w:trPr>
          <w:trHeight w:val="203"/>
        </w:trPr>
        <w:tc>
          <w:tcPr>
            <w:tcW w:w="34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Accrued employee compensation and benefits</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6,259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9,043</w:t>
            </w:r>
          </w:p>
        </w:tc>
      </w:tr>
      <w:tr>
        <w:trPr>
          <w:trHeight w:val="203"/>
        </w:trPr>
        <w:tc>
          <w:tcPr>
            <w:tcW w:w="340" w:type="dxa"/>
            <w:vAlign w:val="bottom"/>
          </w:tcPr>
          <w:p>
            <w:pPr>
              <w:spacing w:after="0"/>
              <w:rPr>
                <w:sz w:val="17"/>
                <w:szCs w:val="17"/>
                <w:color w:val="auto"/>
              </w:rPr>
            </w:pPr>
          </w:p>
        </w:tc>
        <w:tc>
          <w:tcPr>
            <w:tcW w:w="7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returns and allowances</w:t>
            </w: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5,214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6,135</w:t>
            </w:r>
          </w:p>
        </w:tc>
      </w:tr>
      <w:tr>
        <w:trPr>
          <w:trHeight w:val="203"/>
        </w:trPr>
        <w:tc>
          <w:tcPr>
            <w:tcW w:w="34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Accrued taxes</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1,412</w:t>
            </w:r>
          </w:p>
        </w:tc>
      </w:tr>
      <w:tr>
        <w:trPr>
          <w:trHeight w:val="203"/>
        </w:trPr>
        <w:tc>
          <w:tcPr>
            <w:tcW w:w="340" w:type="dxa"/>
            <w:vAlign w:val="bottom"/>
          </w:tcPr>
          <w:p>
            <w:pPr>
              <w:spacing w:after="0"/>
              <w:rPr>
                <w:sz w:val="17"/>
                <w:szCs w:val="17"/>
                <w:color w:val="auto"/>
              </w:rPr>
            </w:pPr>
          </w:p>
        </w:tc>
        <w:tc>
          <w:tcPr>
            <w:tcW w:w="7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5,112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340" w:type="dxa"/>
            <w:vAlign w:val="bottom"/>
          </w:tcPr>
          <w:p>
            <w:pPr>
              <w:spacing w:after="0"/>
              <w:rPr>
                <w:sz w:val="17"/>
                <w:szCs w:val="17"/>
                <w:color w:val="auto"/>
              </w:rPr>
            </w:pPr>
          </w:p>
        </w:tc>
        <w:tc>
          <w:tcPr>
            <w:tcW w:w="7580" w:type="dxa"/>
            <w:vAlign w:val="bottom"/>
            <w:gridSpan w:val="2"/>
          </w:tcPr>
          <w:p>
            <w:pPr>
              <w:spacing w:after="0" w:line="202" w:lineRule="exact"/>
              <w:rPr>
                <w:sz w:val="20"/>
                <w:szCs w:val="20"/>
                <w:color w:val="auto"/>
              </w:rPr>
            </w:pPr>
            <w:r>
              <w:rPr>
                <w:rFonts w:ascii="Arial" w:cs="Arial" w:eastAsia="Arial" w:hAnsi="Arial"/>
                <w:sz w:val="18"/>
                <w:szCs w:val="18"/>
                <w:color w:val="auto"/>
              </w:rPr>
              <w:t>Accrued other</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14,649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14,397</w:t>
            </w:r>
          </w:p>
        </w:tc>
      </w:tr>
      <w:tr>
        <w:trPr>
          <w:trHeight w:val="20"/>
        </w:trPr>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5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43,317</w:t>
            </w:r>
          </w:p>
        </w:tc>
        <w:tc>
          <w:tcPr>
            <w:tcW w:w="58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34,853</w:t>
            </w:r>
          </w:p>
        </w:tc>
      </w:tr>
      <w:tr>
        <w:trPr>
          <w:trHeight w:val="20"/>
        </w:trPr>
        <w:tc>
          <w:tcPr>
            <w:tcW w:w="340" w:type="dxa"/>
            <w:vAlign w:val="bottom"/>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presents changes to goodwill for the periods indicated:</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on December 31, 2020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359,099</w:t>
            </w: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AEM acquisition</w:t>
            </w:r>
          </w:p>
        </w:tc>
        <w:tc>
          <w:tcPr>
            <w:tcW w:w="5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17,426</w:t>
            </w: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Classic Instruments acquisition</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4,912</w:t>
            </w: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Speartech acquisition</w:t>
            </w:r>
          </w:p>
        </w:tc>
        <w:tc>
          <w:tcPr>
            <w:tcW w:w="5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2,705</w:t>
            </w: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ADS acquisition</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1,260</w:t>
            </w: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Baer acquisition</w:t>
            </w:r>
          </w:p>
        </w:tc>
        <w:tc>
          <w:tcPr>
            <w:tcW w:w="5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8,363</w:t>
            </w: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Brothers acquisition</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19,561</w:t>
            </w: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Rocket acquisition</w:t>
            </w:r>
          </w:p>
        </w:tc>
        <w:tc>
          <w:tcPr>
            <w:tcW w:w="5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2,141</w:t>
            </w: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Measurement period adjustments*</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(4,084)</w:t>
            </w:r>
          </w:p>
        </w:tc>
      </w:tr>
      <w:tr>
        <w:trPr>
          <w:trHeight w:val="196"/>
        </w:trPr>
        <w:tc>
          <w:tcPr>
            <w:tcW w:w="89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Balance on December 31, 2021</w:t>
            </w:r>
          </w:p>
        </w:tc>
        <w:tc>
          <w:tcPr>
            <w:tcW w:w="520" w:type="dxa"/>
            <w:vAlign w:val="bottom"/>
            <w:tcBorders>
              <w:top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411,383</w:t>
            </w:r>
          </w:p>
        </w:tc>
        <w:tc>
          <w:tcPr>
            <w:tcW w:w="100" w:type="dxa"/>
            <w:vAlign w:val="bottom"/>
            <w:tcBorders>
              <w:top w:val="single" w:sz="8" w:color="CCEEFF"/>
            </w:tcBorders>
          </w:tcPr>
          <w:p>
            <w:pPr>
              <w:spacing w:after="0"/>
              <w:rPr>
                <w:sz w:val="17"/>
                <w:szCs w:val="17"/>
                <w:color w:val="auto"/>
              </w:rPr>
            </w:pP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John's acquisition</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SKC acquisition</w:t>
            </w:r>
          </w:p>
        </w:tc>
        <w:tc>
          <w:tcPr>
            <w:tcW w:w="5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1,270</w:t>
            </w: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RaceQuip acquisition</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4,348</w:t>
            </w: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Measurement period adjustments*</w:t>
            </w:r>
          </w:p>
        </w:tc>
        <w:tc>
          <w:tcPr>
            <w:tcW w:w="5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880</w:t>
            </w:r>
          </w:p>
        </w:tc>
      </w:tr>
      <w:tr>
        <w:trPr>
          <w:trHeight w:val="20"/>
        </w:trPr>
        <w:tc>
          <w:tcPr>
            <w:tcW w:w="8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on December 31, 2022</w:t>
            </w:r>
          </w:p>
        </w:tc>
        <w:tc>
          <w:tcPr>
            <w:tcW w:w="520" w:type="dxa"/>
            <w:vAlign w:val="bottom"/>
            <w:shd w:val="clear" w:color="auto" w:fill="CCEEFF"/>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418,121</w:t>
            </w:r>
          </w:p>
        </w:tc>
      </w:tr>
      <w:tr>
        <w:trPr>
          <w:trHeight w:val="20"/>
        </w:trPr>
        <w:tc>
          <w:tcPr>
            <w:tcW w:w="89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ind w:left="420" w:hanging="88"/>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See Note 2, "</w:t>
      </w:r>
      <w:r>
        <w:rPr>
          <w:rFonts w:ascii="Arial" w:cs="Arial" w:eastAsia="Arial" w:hAnsi="Arial"/>
          <w:sz w:val="14"/>
          <w:szCs w:val="14"/>
          <w:i w:val="1"/>
          <w:iCs w:val="1"/>
          <w:color w:val="auto"/>
        </w:rPr>
        <w:t>Business Combination, Acquisitions, and Divestiture</w:t>
      </w:r>
      <w:r>
        <w:rPr>
          <w:rFonts w:ascii="Arial" w:cs="Arial" w:eastAsia="Arial" w:hAnsi="Arial"/>
          <w:sz w:val="14"/>
          <w:szCs w:val="14"/>
          <w:color w:val="auto"/>
        </w:rPr>
        <w:t>"</w:t>
      </w:r>
    </w:p>
    <w:p>
      <w:pPr>
        <w:spacing w:after="0" w:line="185"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 measurement period for the valuation of assets acquired and liabilities assumed ends as soon as information on the facts and circumstances that existed as of the acquisition date becomes available, not to exceed 12 months. Adjustments in purchase price allocations may require a change in the amounts allocated to goodwill during the periods in which the adjustments are determined. In the third quarter and fourth quarters of 2022, the Company performed quantitative and qualitative assessments and did not identify any indicators of impairment. No impairment changes were incurred during 2022 and 2021.</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49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0"/>
        </w:trPr>
        <w:tc>
          <w:tcPr>
            <w:tcW w:w="34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Intangible assets consisted of the following:</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1"/>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December 31, 2022</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line="177" w:lineRule="exact"/>
              <w:rPr>
                <w:sz w:val="20"/>
                <w:szCs w:val="20"/>
                <w:color w:val="auto"/>
              </w:rPr>
            </w:pPr>
            <w:r>
              <w:rPr>
                <w:rFonts w:ascii="Arial" w:cs="Arial" w:eastAsia="Arial" w:hAnsi="Arial"/>
                <w:sz w:val="18"/>
                <w:szCs w:val="18"/>
                <w:color w:val="auto"/>
                <w:w w:val="99"/>
              </w:rPr>
              <w:t>Gross Carrying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80"/>
              <w:spacing w:after="0" w:line="177" w:lineRule="exact"/>
              <w:rPr>
                <w:sz w:val="20"/>
                <w:szCs w:val="20"/>
                <w:color w:val="auto"/>
              </w:rPr>
            </w:pPr>
            <w:r>
              <w:rPr>
                <w:rFonts w:ascii="Arial" w:cs="Arial" w:eastAsia="Arial" w:hAnsi="Arial"/>
                <w:sz w:val="18"/>
                <w:szCs w:val="18"/>
                <w:color w:val="auto"/>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7"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34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269,950</w:t>
            </w: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(44,178)</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225,772</w:t>
            </w:r>
          </w:p>
        </w:tc>
      </w:tr>
      <w:tr>
        <w:trPr>
          <w:trHeight w:val="203"/>
        </w:trPr>
        <w:tc>
          <w:tcPr>
            <w:tcW w:w="340" w:type="dxa"/>
            <w:vAlign w:val="bottom"/>
          </w:tcPr>
          <w:p>
            <w:pPr>
              <w:spacing w:after="0"/>
              <w:rPr>
                <w:sz w:val="17"/>
                <w:szCs w:val="17"/>
                <w:color w:val="auto"/>
              </w:rPr>
            </w:pPr>
          </w:p>
        </w:tc>
        <w:tc>
          <w:tcPr>
            <w:tcW w:w="45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(4,843)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8,932</w:t>
            </w:r>
          </w:p>
        </w:tc>
      </w:tr>
      <w:tr>
        <w:trPr>
          <w:trHeight w:val="203"/>
        </w:trPr>
        <w:tc>
          <w:tcPr>
            <w:tcW w:w="340" w:type="dxa"/>
            <w:vAlign w:val="bottom"/>
          </w:tcPr>
          <w:p>
            <w:pPr>
              <w:spacing w:after="0"/>
              <w:rPr>
                <w:sz w:val="17"/>
                <w:szCs w:val="17"/>
                <w:color w:val="auto"/>
              </w:rPr>
            </w:pP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26,676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(11,523)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15,153</w:t>
            </w:r>
          </w:p>
        </w:tc>
      </w:tr>
      <w:tr>
        <w:trPr>
          <w:trHeight w:val="20"/>
        </w:trPr>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310,401</w:t>
            </w:r>
          </w:p>
        </w:tc>
        <w:tc>
          <w:tcPr>
            <w:tcW w:w="3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(60,544)</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249,857</w:t>
            </w:r>
          </w:p>
        </w:tc>
      </w:tr>
      <w:tr>
        <w:trPr>
          <w:trHeight w:val="203"/>
        </w:trPr>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34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174,998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174,998</w:t>
            </w:r>
          </w:p>
        </w:tc>
      </w:tr>
      <w:tr>
        <w:trPr>
          <w:trHeight w:val="369"/>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December 31, 2021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line="177" w:lineRule="exact"/>
              <w:rPr>
                <w:sz w:val="20"/>
                <w:szCs w:val="20"/>
                <w:color w:val="auto"/>
              </w:rPr>
            </w:pPr>
            <w:r>
              <w:rPr>
                <w:rFonts w:ascii="Arial" w:cs="Arial" w:eastAsia="Arial" w:hAnsi="Arial"/>
                <w:sz w:val="18"/>
                <w:szCs w:val="18"/>
                <w:color w:val="auto"/>
                <w:w w:val="99"/>
              </w:rPr>
              <w:t>Gross Carrying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80"/>
              <w:spacing w:after="0" w:line="177" w:lineRule="exact"/>
              <w:rPr>
                <w:sz w:val="20"/>
                <w:szCs w:val="20"/>
                <w:color w:val="auto"/>
              </w:rPr>
            </w:pPr>
            <w:r>
              <w:rPr>
                <w:rFonts w:ascii="Arial" w:cs="Arial" w:eastAsia="Arial" w:hAnsi="Arial"/>
                <w:sz w:val="18"/>
                <w:szCs w:val="18"/>
                <w:color w:val="auto"/>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7"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21"/>
        </w:trPr>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34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268,438</w:t>
            </w: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(32,662)</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235,776</w:t>
            </w:r>
          </w:p>
        </w:tc>
      </w:tr>
      <w:tr>
        <w:trPr>
          <w:trHeight w:val="203"/>
        </w:trPr>
        <w:tc>
          <w:tcPr>
            <w:tcW w:w="340" w:type="dxa"/>
            <w:vAlign w:val="bottom"/>
          </w:tcPr>
          <w:p>
            <w:pPr>
              <w:spacing w:after="0"/>
              <w:rPr>
                <w:sz w:val="17"/>
                <w:szCs w:val="17"/>
                <w:color w:val="auto"/>
              </w:rPr>
            </w:pPr>
          </w:p>
        </w:tc>
        <w:tc>
          <w:tcPr>
            <w:tcW w:w="45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(4,119)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9,656</w:t>
            </w:r>
          </w:p>
        </w:tc>
      </w:tr>
      <w:tr>
        <w:trPr>
          <w:trHeight w:val="203"/>
        </w:trPr>
        <w:tc>
          <w:tcPr>
            <w:tcW w:w="340" w:type="dxa"/>
            <w:vAlign w:val="bottom"/>
          </w:tcPr>
          <w:p>
            <w:pPr>
              <w:spacing w:after="0"/>
              <w:rPr>
                <w:sz w:val="17"/>
                <w:szCs w:val="17"/>
                <w:color w:val="auto"/>
              </w:rPr>
            </w:pPr>
          </w:p>
        </w:tc>
        <w:tc>
          <w:tcPr>
            <w:tcW w:w="45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26,675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(9,080)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17,595</w:t>
            </w:r>
          </w:p>
        </w:tc>
      </w:tr>
      <w:tr>
        <w:trPr>
          <w:trHeight w:val="20"/>
        </w:trPr>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308,888</w:t>
            </w:r>
          </w:p>
        </w:tc>
        <w:tc>
          <w:tcPr>
            <w:tcW w:w="3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(45,861)</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263,027</w:t>
            </w:r>
          </w:p>
        </w:tc>
      </w:tr>
      <w:tr>
        <w:trPr>
          <w:trHeight w:val="203"/>
        </w:trPr>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34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175,434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175,434</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outlines the estimated future amortization expense related to intangible assets held on December 31, 2022:</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14,557</w:t>
            </w:r>
          </w:p>
        </w:tc>
      </w:tr>
      <w:tr>
        <w:trPr>
          <w:trHeight w:val="202"/>
        </w:trPr>
        <w:tc>
          <w:tcPr>
            <w:tcW w:w="88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60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13,744</w:t>
            </w: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6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13,714</w:t>
            </w: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60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13,608</w:t>
            </w: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6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13,493</w:t>
            </w: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180,741</w:t>
            </w:r>
          </w:p>
        </w:tc>
      </w:tr>
      <w:tr>
        <w:trPr>
          <w:trHeight w:val="20"/>
        </w:trPr>
        <w:tc>
          <w:tcPr>
            <w:tcW w:w="8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ind w:right="41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249,857</w:t>
            </w: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In the third quarter of 2022, management concluded it was necessary to reevaluate indefinite-lived intangible assets for impairment after supply chain challenges led to the Company revising its earnings estimate for 2022, which resulted in a decline in the Company's market capitalization. As a result of this evaluation, a pre-tax impairment of $2,395 was recognized on certain indefinite-lived tradenames. In the fourth quarter of 2022, the Company performed a qualitative assessment of indefinite-lived intangible assets and did not identify any indicators of impairment.</w:t>
      </w:r>
    </w:p>
    <w:p>
      <w:pPr>
        <w:spacing w:after="0" w:line="163"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fair value of the indefinite-lived tradenames was estimated using the relief from royalty method, a form of the income approach. Significant judgement is required in estimating the fair value of intangible assets and in performing impairment tests. The most significant assumptions utilized in the determination of the estimated fair values of the indefinite-lived tradenames were the sales projections and long-term earnings growth rates, the royalty rate and the discount rate. The long-term earnings growth rate represents the expected rate at which the brands are expected to grow beyond the shorter-term business planning period. The royalty rate is based on observed market royalty rates for various industrial, consumer and commercial trademarks. The discount rate is based on the Company's weighted average cost of capital adjusted for risk. Due to the inherent uncertainty in forecasting future sales, actual results in the future may vary significantly from the forecasts.</w:t>
      </w:r>
    </w:p>
    <w:p>
      <w:pPr>
        <w:spacing w:after="0" w:line="12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Potential changes in our costs and operating structure, the implementation of synergies, and overall performance in the automotive aftermarket industry, could negatively impact our near-term cash-flow projections and could trigger a potential impairment of the Company's goodwill and / or indefinite-lived intangible assets. In addition, failure to execute the Company's strategic plans as well as increases in weighted average costs of capital could negatively impact the fair value of the reporting unit and increase the risk of future impairment charges.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Debt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2022</w:t>
            </w:r>
          </w:p>
        </w:tc>
        <w:tc>
          <w:tcPr>
            <w:tcW w:w="2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lien term loan due November 17, 2028</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649,350</w:t>
            </w:r>
          </w:p>
        </w:tc>
        <w:tc>
          <w:tcPr>
            <w:tcW w:w="540" w:type="dxa"/>
            <w:vAlign w:val="bottom"/>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630,000</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Revolver</w:t>
            </w:r>
          </w:p>
        </w:tc>
        <w:tc>
          <w:tcPr>
            <w:tcW w:w="360" w:type="dxa"/>
            <w:vAlign w:val="bottom"/>
          </w:tcPr>
          <w:p>
            <w:pPr>
              <w:spacing w:after="0"/>
              <w:rPr>
                <w:sz w:val="17"/>
                <w:szCs w:val="17"/>
                <w:color w:val="auto"/>
              </w:rPr>
            </w:pP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10,000</w:t>
            </w: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7"/>
                <w:szCs w:val="17"/>
                <w:color w:val="auto"/>
              </w:rPr>
            </w:pPr>
          </w:p>
        </w:tc>
        <w:tc>
          <w:tcPr>
            <w:tcW w:w="14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2,770</w:t>
            </w: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3,812</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360" w:type="dxa"/>
            <w:vAlign w:val="bottom"/>
          </w:tcPr>
          <w:p>
            <w:pPr>
              <w:spacing w:after="0"/>
              <w:rPr>
                <w:sz w:val="17"/>
                <w:szCs w:val="17"/>
                <w:color w:val="auto"/>
              </w:rPr>
            </w:pPr>
          </w:p>
        </w:tc>
        <w:tc>
          <w:tcPr>
            <w:tcW w:w="1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(11,557)</w:t>
            </w:r>
          </w:p>
        </w:tc>
        <w:tc>
          <w:tcPr>
            <w:tcW w:w="54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(13,264)</w:t>
            </w:r>
          </w:p>
        </w:tc>
      </w:tr>
      <w:tr>
        <w:trPr>
          <w:trHeight w:val="20"/>
        </w:trPr>
        <w:tc>
          <w:tcPr>
            <w:tcW w:w="7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650,563</w:t>
            </w: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645,548</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360" w:type="dxa"/>
            <w:vAlign w:val="bottom"/>
          </w:tcPr>
          <w:p>
            <w:pPr>
              <w:spacing w:after="0"/>
              <w:rPr>
                <w:sz w:val="17"/>
                <w:szCs w:val="17"/>
                <w:color w:val="auto"/>
              </w:rPr>
            </w:pPr>
          </w:p>
        </w:tc>
        <w:tc>
          <w:tcPr>
            <w:tcW w:w="1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(7,000)</w:t>
            </w:r>
          </w:p>
        </w:tc>
        <w:tc>
          <w:tcPr>
            <w:tcW w:w="54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(7,875)</w:t>
            </w:r>
          </w:p>
        </w:tc>
      </w:tr>
      <w:tr>
        <w:trPr>
          <w:trHeight w:val="20"/>
        </w:trPr>
        <w:tc>
          <w:tcPr>
            <w:tcW w:w="7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643,563</w:t>
            </w:r>
          </w:p>
        </w:tc>
        <w:tc>
          <w:tcPr>
            <w:tcW w:w="540" w:type="dxa"/>
            <w:vAlign w:val="bottom"/>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637,673</w:t>
            </w:r>
          </w:p>
        </w:tc>
      </w:tr>
      <w:tr>
        <w:trPr>
          <w:trHeight w:val="20"/>
        </w:trPr>
        <w:tc>
          <w:tcPr>
            <w:tcW w:w="7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On November 18, 2021, the Company entered into a credit facility with a syndicate of lenders and Wells Fargo Bank, N.A., as administrative agent for the lenders, letter of credit issuer and swing line lender (the "Credit Agreement"). The financing consists of a seven-year $600,000 first lien term loan, a five-year $125,000 revolving credit facility, and a $ 100,000 delayed draw term loan. The proceeds of any delayed draw loans made after closing were available to the Company to finance acquisitions. Upon the expiration of the delayed draw term loan in May 2022, the Company had drawn $57,000, which is included in the amount outstanding under the first lien term loan due November 17, 2028.</w:t>
      </w:r>
    </w:p>
    <w:p>
      <w:pPr>
        <w:spacing w:after="0" w:line="16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revolving credit facility includes a letter of credit facility in the amount of $10,000, pursuant to which letters of credit may be issued as long as revolving loans may be advanced and subject to availability under the revolving credit facility. The Company had $1,200 in outstanding letters of credit on December 31, 2022.</w:t>
      </w:r>
    </w:p>
    <w:p>
      <w:pPr>
        <w:spacing w:after="0" w:line="155"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Proceeds from the credit facility were used to repay in full the Company’s obligations under its existing first lien and second lien notes and to pay $13,413 in original issue discount and issuance costs related to the refinancing.</w:t>
      </w:r>
    </w:p>
    <w:p>
      <w:pPr>
        <w:spacing w:after="0" w:line="140"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first lien term loan is to be repaid in quarterly payments of $1,643 through September 30, 2028, with the balance due upon maturity on November 17, 2028. Beginning with the year ended December 31, 2022, the Company is required to pay down the term loan by an amount equal to 50% of annual excess cash flow, as defined in the Credit Agreement. This percentage requirement may decrease or be eliminated if certain leverage ratios are achieved. Based on our results for 2022, no excess cash flow payment is expected to be required in 2023. Any such payments offset future mandatory quarterly payments.</w:t>
      </w:r>
    </w:p>
    <w:p>
      <w:pPr>
        <w:spacing w:after="0" w:line="163"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Amounts outstanding under the credit facility will accrue interest at a rate equal to either the London Interbank Offering Rate ("LIBOR") or base rate, at the Company's election, plus a specified margin. LIBOR is expected to be phased out by June 2023. The Company's LIBOR-based borrowings under the credit facility contemplate a transition from LIBOR to an alternative index. In the case of revolving credit loans and letter of credit fees, the specified margin is based on the Company's Total Leverage Ratio, as defined in the Credit Agreement. Commitment fees payable under the revolving credit facility are based on the Company's Total Leverage Ratio. On December 31, 2022, the weighted average interest rate on the Company's borrowings under the credit facility was 8.4%.</w:t>
      </w:r>
    </w:p>
    <w:p>
      <w:pPr>
        <w:spacing w:after="0" w:line="165"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Obligations under the Credit Agreement are secured by substantially all of the Company’s assets. The Credit Agreement includes representations and warranties, and affirmative and negative covenants customary for financings of this type, including, but not limited to, limitations on restricted payments, additional borrowings, additional investments, and asset sales. The Credit Agreement also requires that Holley maintain on the last day of each quarter, a Total Leverage Ratio not to exceed a maximum amount. On December 31, 2022, the Company was in compliance with all financial covenants.</w:t>
      </w:r>
    </w:p>
    <w:p>
      <w:pPr>
        <w:spacing w:after="0" w:line="163"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In February 2023, the Company entered into an amendment to its Credit Agreement which, among other things, increases the consolidated net leverage ratio financial covenant level applicable under the Credit Agreement as of the fiscal quarter ending March 31, 2023 through the fiscal quarter ending March 31, 2024 (the “Covenant Relief Period”), to initially 7.25:1.00, and provides for modified step-down levels for such covenant thereafter. As an ongoing condition to the covenant relief period, the Company also agreed to (i) a minimum liquidity test, (ii) an interest coverage test, (iii) an anti-cash hoarding test at any time revolving loans are outstanding, and (iv) additional reporting obligations. Under the amended Credit Agreement, the revolving credit facility contains a minimum liquidity financial covenant of $45 million, which includes unrestricted cash and any available borrowing capacity under the revolving credit facility.</w:t>
      </w:r>
    </w:p>
    <w:p>
      <w:pPr>
        <w:spacing w:after="0" w:line="171"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8"/>
          <w:szCs w:val="18"/>
          <w:color w:val="auto"/>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340" w:right="20"/>
        <w:spacing w:after="0" w:line="271" w:lineRule="auto"/>
        <w:rPr>
          <w:sz w:val="20"/>
          <w:szCs w:val="20"/>
          <w:color w:val="auto"/>
        </w:rPr>
      </w:pPr>
      <w:r>
        <w:rPr>
          <w:rFonts w:ascii="Arial" w:cs="Arial" w:eastAsia="Arial" w:hAnsi="Arial"/>
          <w:sz w:val="18"/>
          <w:szCs w:val="18"/>
          <w:color w:val="auto"/>
        </w:rPr>
        <w:t>In 2021, as a result of prepayments of the Company’s existing first lien and second lien notes, losses of $13,650 were recognized on the early extinguishment of debt due to the write-off of unamortized debt issuance costs.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maturities of long-term debt and amortization of debt issuance costs on December 31, 2022, are as follows: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rPr>
              <w:t>Debt Issuance</w:t>
            </w:r>
          </w:p>
        </w:tc>
      </w:tr>
      <w:tr>
        <w:trPr>
          <w:trHeight w:val="221"/>
        </w:trPr>
        <w:tc>
          <w:tcPr>
            <w:tcW w:w="7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Costs</w:t>
            </w:r>
          </w:p>
        </w:tc>
        <w:tc>
          <w:tcPr>
            <w:tcW w:w="100" w:type="dxa"/>
            <w:vAlign w:val="bottom"/>
          </w:tcPr>
          <w:p>
            <w:pPr>
              <w:spacing w:after="0"/>
              <w:rPr>
                <w:sz w:val="19"/>
                <w:szCs w:val="19"/>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7,851</w:t>
            </w:r>
          </w:p>
        </w:tc>
        <w:tc>
          <w:tcPr>
            <w:tcW w:w="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1,782</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40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1,847</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7,632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1,915</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40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1,987</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2,061</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626,065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1,965</w:t>
            </w:r>
          </w:p>
        </w:tc>
      </w:tr>
      <w:tr>
        <w:trPr>
          <w:trHeight w:val="20"/>
        </w:trPr>
        <w:tc>
          <w:tcPr>
            <w:tcW w:w="7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662,120</w:t>
            </w:r>
          </w:p>
        </w:tc>
        <w:tc>
          <w:tcPr>
            <w:tcW w:w="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11,557</w:t>
            </w:r>
          </w:p>
        </w:tc>
      </w:tr>
      <w:tr>
        <w:trPr>
          <w:trHeight w:val="20"/>
        </w:trPr>
        <w:tc>
          <w:tcPr>
            <w:tcW w:w="7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w:t>
      </w:r>
    </w:p>
    <w:p>
      <w:pPr>
        <w:spacing w:after="0" w:line="198"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Upon the Closing, there were 14,666,644 Warrants, consisting of 9,999,977 Public Warrants and 4,666,667 Private Warrants, outstanding to purchase shares of the Company's common stock that were issued by Empower prior to the Business Combination. Each warrant entitles the registered holder to purchase one share of the Company's common stock at a price of $11.50 per share, subject to adjustments, commencing on October 9, 2021 (the one-year anniversary of Empower’s initial public offering),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the Company’s common stock. The Warrants expire on July 16, 2026, the date that is five years after the Closing date, or earlier upon redemption or liquidation. Additionally, the Private Warrants will be non-redeemable and are exercisable on a cashless basis so long as they are held by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69"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The Company may redeem the Public Warrants at a price of $0.01 per warrant upon 30 days' notice if the closing price of the Company’s common stock equals or exceeds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w:t>
      </w:r>
    </w:p>
    <w:p>
      <w:pPr>
        <w:spacing w:after="0" w:line="165"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Further, the Company may redeem the Public Warrants at a price of $0.10 per warrant upon 30 days' notice if the closing price of the Company’s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the Company’s common stock as determined by reference to a table in the warrant agreement.</w:t>
      </w:r>
    </w:p>
    <w:p>
      <w:pPr>
        <w:spacing w:after="0" w:line="162"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During any period when the Company has failed to maintain an effective registration statement, warrant holders may exercise warrants on a cashless basis in accordance with Section 3(a)(9) of the Securities Act or another exemption, but the Company will use its commercially reasonable best efforts to register or qualify the shares under applicable blue sky laws to the extent an exemption is not available.</w:t>
      </w:r>
    </w:p>
    <w:p>
      <w:pPr>
        <w:spacing w:after="0" w:line="160"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Company’s Warrants were accounted for as liabilities in accordance with ASC Subtopic 815-40, </w:t>
      </w:r>
      <w:r>
        <w:rPr>
          <w:rFonts w:ascii="Arial" w:cs="Arial" w:eastAsia="Arial" w:hAnsi="Arial"/>
          <w:sz w:val="18"/>
          <w:szCs w:val="18"/>
          <w:i w:val="1"/>
          <w:iCs w:val="1"/>
          <w:color w:val="auto"/>
        </w:rPr>
        <w:t>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and are presented as warrant liability on the balance sheet. The warrant liability was measured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at inception and on a recurring basis, with changes in fair value recognized as non-operating expense. On December 31, 2022 and 2021, a warrant liability with a fair value of $4,272 and $61,293, respectively, was reflected as a long-term liability in the consolidated balance sheet. As of December 31, 2022 and 2021, there were 14,633,311 and 14,666,644 Warrants outstanding, respectively. For the year ended December 31, 2022, a decrease of $57,021 in the fair value of the warrant liability as compared to an increase of $32,580 in the fair value of the warrant liability for the year ended December 31, 2021, was reflected as change in fair value of warrant liability in the consolidated statements of comprehensive income.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98"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gridSpan w:val="10"/>
          </w:tcPr>
          <w:p>
            <w:pPr>
              <w:jc w:val="right"/>
              <w:ind w:right="160"/>
              <w:spacing w:after="0"/>
              <w:rPr>
                <w:sz w:val="20"/>
                <w:szCs w:val="20"/>
                <w:color w:val="auto"/>
              </w:rPr>
            </w:pPr>
            <w:r>
              <w:rPr>
                <w:rFonts w:ascii="Arial" w:cs="Arial" w:eastAsia="Arial" w:hAnsi="Arial"/>
                <w:sz w:val="18"/>
                <w:szCs w:val="18"/>
                <w:color w:val="auto"/>
              </w:rPr>
              <w:t>Fair Value Measured on December 31, 2022</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17"/>
                <w:szCs w:val="17"/>
                <w:color w:val="auto"/>
              </w:rPr>
            </w:pPr>
          </w:p>
        </w:tc>
        <w:tc>
          <w:tcPr>
            <w:tcW w:w="12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7"/>
                <w:szCs w:val="17"/>
                <w:color w:val="auto"/>
              </w:rPr>
            </w:pPr>
          </w:p>
        </w:tc>
        <w:tc>
          <w:tcPr>
            <w:tcW w:w="11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ind w:left="14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included in:</w:t>
            </w: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2,691</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2,691</w:t>
            </w:r>
          </w:p>
        </w:tc>
      </w:tr>
      <w:tr>
        <w:trPr>
          <w:trHeight w:val="203"/>
        </w:trPr>
        <w:tc>
          <w:tcPr>
            <w:tcW w:w="4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1,581</w:t>
            </w: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1,176</w:t>
            </w:r>
          </w:p>
        </w:tc>
      </w:tr>
      <w:tr>
        <w:trPr>
          <w:trHeight w:val="20"/>
        </w:trPr>
        <w:tc>
          <w:tcPr>
            <w:tcW w:w="4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fair value</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2,691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880"/>
              <w:spacing w:after="0" w:line="18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2,757</w:t>
            </w:r>
          </w:p>
        </w:tc>
        <w:tc>
          <w:tcPr>
            <w:tcW w:w="40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5,448</w:t>
            </w: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85"/>
        </w:trPr>
        <w:tc>
          <w:tcPr>
            <w:tcW w:w="4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10"/>
          </w:tcPr>
          <w:p>
            <w:pPr>
              <w:jc w:val="right"/>
              <w:ind w:right="160"/>
              <w:spacing w:after="0"/>
              <w:rPr>
                <w:sz w:val="20"/>
                <w:szCs w:val="20"/>
                <w:color w:val="auto"/>
              </w:rPr>
            </w:pPr>
            <w:r>
              <w:rPr>
                <w:rFonts w:ascii="Arial" w:cs="Arial" w:eastAsia="Arial" w:hAnsi="Arial"/>
                <w:sz w:val="18"/>
                <w:szCs w:val="18"/>
                <w:color w:val="auto"/>
              </w:rPr>
              <w:t>Fair Value Measured on December 31, 2021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17"/>
                <w:szCs w:val="17"/>
                <w:color w:val="auto"/>
              </w:rPr>
            </w:pPr>
          </w:p>
        </w:tc>
        <w:tc>
          <w:tcPr>
            <w:tcW w:w="12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7"/>
                <w:szCs w:val="17"/>
                <w:color w:val="auto"/>
              </w:rPr>
            </w:pPr>
          </w:p>
        </w:tc>
        <w:tc>
          <w:tcPr>
            <w:tcW w:w="11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ind w:left="14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included in:</w:t>
            </w: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39,500</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39,500</w:t>
            </w:r>
          </w:p>
        </w:tc>
      </w:tr>
      <w:tr>
        <w:trPr>
          <w:trHeight w:val="203"/>
        </w:trPr>
        <w:tc>
          <w:tcPr>
            <w:tcW w:w="4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21,793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21,793</w:t>
            </w: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26,596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26,596</w:t>
            </w:r>
          </w:p>
        </w:tc>
      </w:tr>
      <w:tr>
        <w:trPr>
          <w:trHeight w:val="20"/>
        </w:trPr>
        <w:tc>
          <w:tcPr>
            <w:tcW w:w="4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fair value</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39,500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880"/>
              <w:spacing w:after="0" w:line="18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48,389</w:t>
            </w:r>
          </w:p>
        </w:tc>
        <w:tc>
          <w:tcPr>
            <w:tcW w:w="40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87,889</w:t>
            </w: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On December 31, 2022 and 2021, the Company's derivative liabilities for its private and public warrants and the earn-out liability (see Note 2, “</w:t>
      </w:r>
      <w:r>
        <w:rPr>
          <w:rFonts w:ascii="Arial" w:cs="Arial" w:eastAsia="Arial" w:hAnsi="Arial"/>
          <w:sz w:val="18"/>
          <w:szCs w:val="18"/>
          <w:i w:val="1"/>
          <w:iCs w:val="1"/>
          <w:color w:val="auto"/>
        </w:rPr>
        <w:t>Business Combination, Acquisitions, and Divestiture</w:t>
      </w:r>
      <w:r>
        <w:rPr>
          <w:rFonts w:ascii="Arial" w:cs="Arial" w:eastAsia="Arial" w:hAnsi="Arial"/>
          <w:sz w:val="18"/>
          <w:szCs w:val="18"/>
          <w:color w:val="auto"/>
        </w:rPr>
        <w:t>,” for more details) are measured at fair value on a recurring basis. The fair value for the private warrants, earn-out liability, and acquisition contingent consideration payable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public warrants is determined using publicly traded prices (Level 1). Changes in the fair value of the derivative liabilities related to warrants and the earn-out liability are recognized as non-operating expense in the consolidated statements of comprehensive income (loss). Changes in the fair value of acquisition contingent consideration payable are recognized as acquisition and restructuring costs in the consolidated statements of comprehensive income (loss).</w:t>
      </w:r>
    </w:p>
    <w:p>
      <w:pPr>
        <w:spacing w:after="0" w:line="172"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fair value of private warrants was estimated at December 31, 2022 and 2021 using the Monte Carlo simulation model with the following assumptions: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3600" w:type="dxa"/>
            <w:vAlign w:val="bottom"/>
            <w:gridSpan w:val="2"/>
            <w:shd w:val="clear" w:color="auto" w:fill="CCEEFF"/>
          </w:tcPr>
          <w:p>
            <w:pPr>
              <w:jc w:val="right"/>
              <w:ind w:right="95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2.12</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12.99</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Strike price</w:t>
            </w:r>
          </w:p>
        </w:tc>
        <w:tc>
          <w:tcPr>
            <w:tcW w:w="3600" w:type="dxa"/>
            <w:vAlign w:val="bottom"/>
            <w:gridSpan w:val="2"/>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11.50</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11.50</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life (in years)</w:t>
            </w:r>
          </w:p>
        </w:tc>
        <w:tc>
          <w:tcPr>
            <w:tcW w:w="2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3.54</w:t>
            </w:r>
          </w:p>
        </w:tc>
        <w:tc>
          <w:tcPr>
            <w:tcW w:w="3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4.54</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Expected dividend</w:t>
            </w:r>
          </w:p>
        </w:tc>
        <w:tc>
          <w:tcPr>
            <w:tcW w:w="3600" w:type="dxa"/>
            <w:vAlign w:val="bottom"/>
            <w:gridSpan w:val="2"/>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4.06%</w:t>
            </w:r>
          </w:p>
        </w:tc>
        <w:tc>
          <w:tcPr>
            <w:tcW w:w="3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r>
      <w:tr>
        <w:trPr>
          <w:trHeight w:val="239"/>
        </w:trPr>
        <w:tc>
          <w:tcPr>
            <w:tcW w:w="4380" w:type="dxa"/>
            <w:vAlign w:val="bottom"/>
          </w:tcPr>
          <w:p>
            <w:pPr>
              <w:spacing w:after="0"/>
              <w:rPr>
                <w:sz w:val="20"/>
                <w:szCs w:val="20"/>
                <w:color w:val="auto"/>
              </w:rPr>
            </w:pPr>
            <w:r>
              <w:rPr>
                <w:rFonts w:ascii="Arial" w:cs="Arial" w:eastAsia="Arial" w:hAnsi="Arial"/>
                <w:sz w:val="18"/>
                <w:szCs w:val="18"/>
                <w:color w:val="auto"/>
              </w:rPr>
              <w:t>Price threshold</w:t>
            </w:r>
          </w:p>
        </w:tc>
        <w:tc>
          <w:tcPr>
            <w:tcW w:w="36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18.00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r>
    </w:tbl>
    <w:p>
      <w:pPr>
        <w:spacing w:after="0" w:line="147" w:lineRule="exact"/>
        <w:rPr>
          <w:sz w:val="20"/>
          <w:szCs w:val="20"/>
          <w:color w:val="auto"/>
        </w:rPr>
      </w:pPr>
    </w:p>
    <w:p>
      <w:pPr>
        <w:ind w:left="340" w:right="20"/>
        <w:spacing w:after="0" w:line="271" w:lineRule="auto"/>
        <w:rPr>
          <w:sz w:val="20"/>
          <w:szCs w:val="20"/>
          <w:color w:val="auto"/>
        </w:rPr>
      </w:pPr>
      <w:r>
        <w:rPr>
          <w:rFonts w:ascii="Arial" w:cs="Arial" w:eastAsia="Arial" w:hAnsi="Arial"/>
          <w:sz w:val="18"/>
          <w:szCs w:val="18"/>
          <w:color w:val="auto"/>
        </w:rPr>
        <w:t>The fair value of the earn-out liability was estimated at December 31, 2022 and 2021 using the Monte Carlo simulation model with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36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2.12</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12.99</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3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5.54</w:t>
            </w:r>
          </w:p>
        </w:tc>
        <w:tc>
          <w:tcPr>
            <w:tcW w:w="360" w:type="dxa"/>
            <w:vAlign w:val="bottom"/>
          </w:tcPr>
          <w:p>
            <w:pPr>
              <w:spacing w:after="0"/>
              <w:rPr>
                <w:sz w:val="17"/>
                <w:szCs w:val="17"/>
                <w:color w:val="auto"/>
              </w:rPr>
            </w:pPr>
          </w:p>
        </w:tc>
        <w:tc>
          <w:tcPr>
            <w:tcW w:w="1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3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70.33%</w:t>
            </w:r>
          </w:p>
        </w:tc>
        <w:tc>
          <w:tcPr>
            <w:tcW w:w="3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40.59%</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3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3.88%</w:t>
            </w:r>
          </w:p>
        </w:tc>
        <w:tc>
          <w:tcPr>
            <w:tcW w:w="36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w:t>
            </w:r>
          </w:p>
        </w:tc>
        <w:tc>
          <w:tcPr>
            <w:tcW w:w="24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Price hurdle 1</w:t>
            </w:r>
          </w:p>
        </w:tc>
        <w:tc>
          <w:tcPr>
            <w:tcW w:w="3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not applicable</w:t>
            </w: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13.00</w:t>
            </w:r>
          </w:p>
        </w:tc>
        <w:tc>
          <w:tcPr>
            <w:tcW w:w="240" w:type="dxa"/>
            <w:vAlign w:val="bottom"/>
          </w:tcPr>
          <w:p>
            <w:pPr>
              <w:spacing w:after="0"/>
              <w:rPr>
                <w:sz w:val="17"/>
                <w:szCs w:val="17"/>
                <w:color w:val="auto"/>
              </w:rPr>
            </w:pPr>
          </w:p>
        </w:tc>
      </w:tr>
      <w:tr>
        <w:trPr>
          <w:trHeight w:val="239"/>
        </w:trPr>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Price hurdle 2</w:t>
            </w:r>
          </w:p>
        </w:tc>
        <w:tc>
          <w:tcPr>
            <w:tcW w:w="3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15.00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20"/>
                <w:szCs w:val="20"/>
                <w:color w:val="auto"/>
              </w:rPr>
            </w:pPr>
          </w:p>
        </w:tc>
      </w:tr>
      <w:tr>
        <w:trPr>
          <w:trHeight w:val="386"/>
        </w:trPr>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80" w:type="dxa"/>
            <w:vAlign w:val="bottom"/>
          </w:tcPr>
          <w:p>
            <w:pPr>
              <w:jc w:val="right"/>
              <w:ind w:right="1370"/>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On December 31, 2022 and 2021, the Company had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Fair value measurements used in the impairment reviews of goodwill and intangible assets are Level 3 measurements.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changes in Level 3 during the years ended December 31, 2022 and 2021 is as follows: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Acquisition</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Private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Contingent</w:t>
            </w:r>
          </w:p>
        </w:tc>
        <w:tc>
          <w:tcPr>
            <w:tcW w:w="16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Earn-Out</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Consideration</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Liability</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on December 31, 2020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9,200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9,200</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Cash paid for contingent consideration</w:t>
            </w:r>
          </w:p>
        </w:tc>
        <w:tc>
          <w:tcPr>
            <w:tcW w:w="18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(26,573)</w:t>
            </w:r>
          </w:p>
        </w:tc>
        <w:tc>
          <w:tcPr>
            <w:tcW w:w="16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(26,573)</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assumed in recapitalization</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17,722</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27,335</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Losses included in earnings</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12,180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17,373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8,874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38,427</w:t>
            </w:r>
          </w:p>
        </w:tc>
      </w:tr>
      <w:tr>
        <w:trPr>
          <w:trHeight w:val="20"/>
        </w:trPr>
        <w:tc>
          <w:tcPr>
            <w:tcW w:w="5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on December 31, 2021</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21,793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26,596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48,389</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Liabilities reclassed to equity</w:t>
            </w:r>
          </w:p>
        </w:tc>
        <w:tc>
          <w:tcPr>
            <w:tcW w:w="18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(14,689)</w:t>
            </w:r>
          </w:p>
        </w:tc>
        <w:tc>
          <w:tcPr>
            <w:tcW w:w="26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(14,689)</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Gains included in earnings</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(10,731)</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(30,943)</w:t>
            </w:r>
          </w:p>
        </w:tc>
      </w:tr>
      <w:tr>
        <w:trPr>
          <w:trHeight w:val="20"/>
        </w:trPr>
        <w:tc>
          <w:tcPr>
            <w:tcW w:w="5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b w:val="1"/>
                <w:bCs w:val="1"/>
                <w:color w:val="auto"/>
              </w:rPr>
              <w:t>Balance on December 31, 2022</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1,581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1,176</w:t>
            </w:r>
          </w:p>
        </w:tc>
        <w:tc>
          <w:tcPr>
            <w:tcW w:w="180" w:type="dxa"/>
            <w:vAlign w:val="bottom"/>
          </w:tcPr>
          <w:p>
            <w:pPr>
              <w:spacing w:after="0"/>
              <w:rPr>
                <w:sz w:val="17"/>
                <w:szCs w:val="17"/>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2,757</w:t>
            </w:r>
          </w:p>
        </w:tc>
      </w:tr>
      <w:tr>
        <w:trPr>
          <w:trHeight w:val="20"/>
        </w:trPr>
        <w:tc>
          <w:tcPr>
            <w:tcW w:w="5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8"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162"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55"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63"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more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following table summarizes total revenue by product category. The Company's product category definitions have been revised by management in 2022. The prior-year periods have been revised to conform with the current presentation. There is no change to total sales.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6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color w:val="auto"/>
              </w:rPr>
              <w:t>For the years ended December 31,</w:t>
            </w: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68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2022</w:t>
            </w: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r>
      <w:tr>
        <w:trPr>
          <w:trHeight w:val="196"/>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Electronic systems</w:t>
            </w:r>
          </w:p>
        </w:tc>
        <w:tc>
          <w:tcPr>
            <w:tcW w:w="1160" w:type="dxa"/>
            <w:vAlign w:val="bottom"/>
            <w:shd w:val="clear" w:color="auto" w:fill="CCEEFF"/>
          </w:tcPr>
          <w:p>
            <w:pPr>
              <w:jc w:val="right"/>
              <w:ind w:right="95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282,865</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309,233</w:t>
            </w:r>
          </w:p>
        </w:tc>
        <w:tc>
          <w:tcPr>
            <w:tcW w:w="5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262,164</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Mechanical systems</w:t>
            </w:r>
          </w:p>
        </w:tc>
        <w:tc>
          <w:tcPr>
            <w:tcW w:w="1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165,007</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154,878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120,893</w:t>
            </w: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Exhaust</w:t>
            </w:r>
          </w:p>
        </w:tc>
        <w:tc>
          <w:tcPr>
            <w:tcW w:w="1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66,767</w:t>
            </w:r>
          </w:p>
        </w:tc>
        <w:tc>
          <w:tcPr>
            <w:tcW w:w="4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78,179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72,294</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Accessories</w:t>
            </w:r>
          </w:p>
        </w:tc>
        <w:tc>
          <w:tcPr>
            <w:tcW w:w="1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108,150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85,280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41,805</w:t>
            </w: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Safety</w:t>
            </w:r>
          </w:p>
        </w:tc>
        <w:tc>
          <w:tcPr>
            <w:tcW w:w="1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65,626</w:t>
            </w:r>
          </w:p>
        </w:tc>
        <w:tc>
          <w:tcPr>
            <w:tcW w:w="4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65,277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7,023</w:t>
            </w:r>
          </w:p>
        </w:tc>
      </w:tr>
      <w:tr>
        <w:trPr>
          <w:trHeight w:val="20"/>
        </w:trPr>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680" w:type="dxa"/>
            <w:vAlign w:val="bottom"/>
          </w:tcPr>
          <w:p>
            <w:pPr>
              <w:spacing w:after="0" w:line="182" w:lineRule="exact"/>
              <w:rPr>
                <w:sz w:val="20"/>
                <w:szCs w:val="20"/>
                <w:color w:val="auto"/>
              </w:rPr>
            </w:pPr>
            <w:r>
              <w:rPr>
                <w:rFonts w:ascii="Arial" w:cs="Arial" w:eastAsia="Arial" w:hAnsi="Arial"/>
                <w:sz w:val="18"/>
                <w:szCs w:val="18"/>
                <w:color w:val="auto"/>
              </w:rPr>
              <w:t>Total sales</w:t>
            </w:r>
          </w:p>
        </w:tc>
        <w:tc>
          <w:tcPr>
            <w:tcW w:w="1160" w:type="dxa"/>
            <w:vAlign w:val="bottom"/>
          </w:tcPr>
          <w:p>
            <w:pPr>
              <w:jc w:val="right"/>
              <w:ind w:right="950"/>
              <w:spacing w:after="0" w:line="182"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688,415</w:t>
            </w:r>
          </w:p>
        </w:tc>
        <w:tc>
          <w:tcPr>
            <w:tcW w:w="220" w:type="dxa"/>
            <w:vAlign w:val="bottom"/>
          </w:tcPr>
          <w:p>
            <w:pPr>
              <w:spacing w:after="0"/>
              <w:rPr>
                <w:sz w:val="17"/>
                <w:szCs w:val="17"/>
                <w:color w:val="auto"/>
              </w:rPr>
            </w:pPr>
          </w:p>
        </w:tc>
        <w:tc>
          <w:tcPr>
            <w:tcW w:w="400" w:type="dxa"/>
            <w:vAlign w:val="bottom"/>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692,847</w:t>
            </w:r>
          </w:p>
        </w:tc>
        <w:tc>
          <w:tcPr>
            <w:tcW w:w="58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504,179</w:t>
            </w:r>
          </w:p>
        </w:tc>
      </w:tr>
      <w:tr>
        <w:trPr>
          <w:trHeight w:val="20"/>
        </w:trPr>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6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color w:val="auto"/>
              </w:rPr>
              <w:t>For the years ended December 31,</w:t>
            </w: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68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2022</w:t>
            </w: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r>
      <w:tr>
        <w:trPr>
          <w:trHeight w:val="196"/>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160" w:type="dxa"/>
            <w:vAlign w:val="bottom"/>
            <w:shd w:val="clear" w:color="auto" w:fill="CCEEFF"/>
          </w:tcPr>
          <w:p>
            <w:pPr>
              <w:jc w:val="right"/>
              <w:ind w:right="95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669,187</w:t>
            </w: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674,491</w:t>
            </w:r>
          </w:p>
        </w:tc>
        <w:tc>
          <w:tcPr>
            <w:tcW w:w="5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502,661</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Italy</w:t>
            </w:r>
          </w:p>
        </w:tc>
        <w:tc>
          <w:tcPr>
            <w:tcW w:w="116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19,228</w:t>
            </w:r>
          </w:p>
        </w:tc>
        <w:tc>
          <w:tcPr>
            <w:tcW w:w="40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18,356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1,518</w:t>
            </w:r>
          </w:p>
        </w:tc>
      </w:tr>
      <w:tr>
        <w:trPr>
          <w:trHeight w:val="20"/>
        </w:trPr>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sales</w:t>
            </w:r>
          </w:p>
        </w:tc>
        <w:tc>
          <w:tcPr>
            <w:tcW w:w="1160" w:type="dxa"/>
            <w:vAlign w:val="bottom"/>
            <w:shd w:val="clear" w:color="auto" w:fill="CCEEFF"/>
          </w:tcPr>
          <w:p>
            <w:pPr>
              <w:jc w:val="right"/>
              <w:ind w:right="950"/>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688,415</w:t>
            </w:r>
          </w:p>
        </w:tc>
        <w:tc>
          <w:tcPr>
            <w:tcW w:w="400" w:type="dxa"/>
            <w:vAlign w:val="bottom"/>
            <w:shd w:val="clear" w:color="auto" w:fill="CCEEFF"/>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692,847</w:t>
            </w:r>
          </w:p>
        </w:tc>
        <w:tc>
          <w:tcPr>
            <w:tcW w:w="58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504,179</w:t>
            </w:r>
          </w:p>
        </w:tc>
      </w:tr>
      <w:tr>
        <w:trPr>
          <w:trHeight w:val="20"/>
        </w:trPr>
        <w:tc>
          <w:tcPr>
            <w:tcW w:w="46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Income tax expense (benefit)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3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For the years ended December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34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2022</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2021</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income tax expense (benefit):</w:t>
            </w: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Federal</w:t>
            </w:r>
          </w:p>
        </w:tc>
        <w:tc>
          <w:tcPr>
            <w:tcW w:w="1020" w:type="dxa"/>
            <w:vAlign w:val="bottom"/>
          </w:tcPr>
          <w:p>
            <w:pPr>
              <w:jc w:val="right"/>
              <w:ind w:right="8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12,356</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7,422</w:t>
            </w: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(530)</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w:t>
            </w:r>
          </w:p>
        </w:tc>
        <w:tc>
          <w:tcPr>
            <w:tcW w:w="10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1,253</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323</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1,174</w:t>
            </w:r>
          </w:p>
        </w:tc>
      </w:tr>
      <w:tr>
        <w:trPr>
          <w:trHeight w:val="202"/>
        </w:trPr>
        <w:tc>
          <w:tcPr>
            <w:tcW w:w="53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2,450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2,602</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1,668</w:t>
            </w:r>
          </w:p>
        </w:tc>
      </w:tr>
      <w:tr>
        <w:trPr>
          <w:trHeight w:val="20"/>
        </w:trPr>
        <w:tc>
          <w:tcPr>
            <w:tcW w:w="5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current income tax expense (benefit)</w:t>
            </w: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16,059</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10,347</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2,312</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b w:val="1"/>
                <w:bCs w:val="1"/>
                <w:color w:val="auto"/>
              </w:rPr>
              <w:t>Deferred income tax expense (benefit):</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10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(8,679)</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823</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7,136</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10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(2,591)</w:t>
            </w:r>
          </w:p>
        </w:tc>
        <w:tc>
          <w:tcPr>
            <w:tcW w:w="34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(552)</w:t>
            </w:r>
          </w:p>
        </w:tc>
        <w:tc>
          <w:tcPr>
            <w:tcW w:w="5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(622)</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10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(296)</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(189)</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3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340" w:type="dxa"/>
            <w:vAlign w:val="bottom"/>
          </w:tcPr>
          <w:p>
            <w:pPr>
              <w:spacing w:after="0" w:line="196" w:lineRule="exact"/>
              <w:rPr>
                <w:sz w:val="20"/>
                <w:szCs w:val="20"/>
                <w:color w:val="auto"/>
              </w:rPr>
            </w:pPr>
            <w:r>
              <w:rPr>
                <w:rFonts w:ascii="Arial" w:cs="Arial" w:eastAsia="Arial" w:hAnsi="Arial"/>
                <w:sz w:val="18"/>
                <w:szCs w:val="18"/>
                <w:color w:val="auto"/>
              </w:rPr>
              <w:t>Total deferred income tax expense (benefit)</w:t>
            </w:r>
          </w:p>
        </w:tc>
        <w:tc>
          <w:tcPr>
            <w:tcW w:w="1020" w:type="dxa"/>
            <w:vAlign w:val="bottom"/>
          </w:tcPr>
          <w:p>
            <w:pPr>
              <w:spacing w:after="0"/>
              <w:rPr>
                <w:sz w:val="17"/>
                <w:szCs w:val="17"/>
                <w:color w:val="auto"/>
              </w:rPr>
            </w:pPr>
          </w:p>
        </w:tc>
        <w:tc>
          <w:tcPr>
            <w:tcW w:w="8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95"/>
              </w:rPr>
              <w:t>(11,566)</w:t>
            </w: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82</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6,514</w:t>
            </w:r>
          </w:p>
        </w:tc>
      </w:tr>
      <w:tr>
        <w:trPr>
          <w:trHeight w:val="20"/>
        </w:trPr>
        <w:tc>
          <w:tcPr>
            <w:tcW w:w="5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income tax expense (benefit)</w:t>
            </w:r>
          </w:p>
        </w:tc>
        <w:tc>
          <w:tcPr>
            <w:tcW w:w="1020" w:type="dxa"/>
            <w:vAlign w:val="bottom"/>
            <w:shd w:val="clear" w:color="auto" w:fill="CCEEFF"/>
          </w:tcPr>
          <w:p>
            <w:pPr>
              <w:jc w:val="right"/>
              <w:ind w:right="830"/>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4,493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CCEEFF"/>
            </w:tcBorders>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10,429</w:t>
            </w:r>
          </w:p>
        </w:tc>
        <w:tc>
          <w:tcPr>
            <w:tcW w:w="500" w:type="dxa"/>
            <w:vAlign w:val="bottom"/>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8,826</w:t>
            </w: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income before income taxes was subject to taxes in the following jurisdictions: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For the years ended December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2022</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2021</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420" w:type="dxa"/>
            <w:vAlign w:val="bottom"/>
            <w:gridSpan w:val="2"/>
            <w:shd w:val="clear" w:color="auto" w:fill="CCEEFF"/>
          </w:tcPr>
          <w:p>
            <w:pPr>
              <w:jc w:val="right"/>
              <w:ind w:right="85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72,276</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(24,772)</w:t>
            </w: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37,548</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5,991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8,062</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4,135</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before income taxes</w:t>
            </w:r>
          </w:p>
        </w:tc>
        <w:tc>
          <w:tcPr>
            <w:tcW w:w="2420" w:type="dxa"/>
            <w:vAlign w:val="bottom"/>
            <w:gridSpan w:val="2"/>
            <w:shd w:val="clear" w:color="auto" w:fill="CCEEFF"/>
          </w:tcPr>
          <w:p>
            <w:pPr>
              <w:jc w:val="right"/>
              <w:ind w:right="850"/>
              <w:spacing w:after="0" w:line="18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78,267</w:t>
            </w: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CCEEFF"/>
            </w:tcBorders>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(16,710)</w:t>
            </w:r>
          </w:p>
        </w:tc>
        <w:tc>
          <w:tcPr>
            <w:tcW w:w="500" w:type="dxa"/>
            <w:vAlign w:val="bottom"/>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41,683</w:t>
            </w:r>
          </w:p>
        </w:tc>
        <w:tc>
          <w:tcPr>
            <w:tcW w:w="2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3"/>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20" w:type="dxa"/>
            <w:vAlign w:val="bottom"/>
            <w:gridSpan w:val="2"/>
          </w:tcPr>
          <w:p>
            <w:pPr>
              <w:jc w:val="right"/>
              <w:ind w:right="910"/>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jc w:val="both"/>
        <w:ind w:left="340" w:right="20"/>
        <w:spacing w:after="0" w:line="271" w:lineRule="auto"/>
        <w:rPr>
          <w:sz w:val="20"/>
          <w:szCs w:val="20"/>
          <w:color w:val="auto"/>
        </w:rPr>
      </w:pPr>
      <w:r>
        <w:rPr>
          <w:rFonts w:ascii="Arial" w:cs="Arial" w:eastAsia="Arial" w:hAnsi="Arial"/>
          <w:sz w:val="18"/>
          <w:szCs w:val="18"/>
          <w:color w:val="auto"/>
        </w:rPr>
        <w:t>Reported income tax expense (benefit) for the year ended December 31, 2022, 2021 and 2020 differs from the “expected” tax expense (benefit), computed by applying the U.S. Federal statutory income tax rate of 21% to income before income taxes as follows: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3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For the years ended December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34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2022</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2021</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tax expense (benefit) at U.S. Federal statutory rates</w:t>
            </w:r>
          </w:p>
        </w:tc>
        <w:tc>
          <w:tcPr>
            <w:tcW w:w="1020" w:type="dxa"/>
            <w:vAlign w:val="bottom"/>
            <w:shd w:val="clear" w:color="auto" w:fill="CCEEFF"/>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16,479</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(3,510)</w:t>
            </w: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8,753</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State income tax expense (benefit)</w:t>
            </w:r>
          </w:p>
        </w:tc>
        <w:tc>
          <w:tcPr>
            <w:tcW w:w="10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(1,057)</w:t>
            </w:r>
          </w:p>
        </w:tc>
        <w:tc>
          <w:tcPr>
            <w:tcW w:w="34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(180)</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335</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Permanent tax differences</w:t>
            </w: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4,275</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825</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(53)</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Foreign-derived intangible income deduction</w:t>
            </w:r>
          </w:p>
        </w:tc>
        <w:tc>
          <w:tcPr>
            <w:tcW w:w="10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(298)</w:t>
            </w: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Global intangible low-taxed income</w:t>
            </w:r>
          </w:p>
        </w:tc>
        <w:tc>
          <w:tcPr>
            <w:tcW w:w="10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375</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220</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Foreign rate differential</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560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719</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389</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credit</w:t>
            </w:r>
          </w:p>
        </w:tc>
        <w:tc>
          <w:tcPr>
            <w:tcW w:w="10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(1,393)</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(1,620)</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(646)</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Earn-outs</w:t>
            </w:r>
          </w:p>
        </w:tc>
        <w:tc>
          <w:tcPr>
            <w:tcW w:w="10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(2,254)</w:t>
            </w: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5,470</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warrants</w:t>
            </w:r>
          </w:p>
        </w:tc>
        <w:tc>
          <w:tcPr>
            <w:tcW w:w="10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5"/>
              </w:rPr>
              <w:t>(11,974)</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6,842</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Transaction costs</w:t>
            </w:r>
          </w:p>
        </w:tc>
        <w:tc>
          <w:tcPr>
            <w:tcW w:w="102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1,465</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280</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differences, net</w:t>
            </w: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(452)</w:t>
            </w:r>
          </w:p>
        </w:tc>
      </w:tr>
      <w:tr>
        <w:trPr>
          <w:trHeight w:val="20"/>
        </w:trPr>
        <w:tc>
          <w:tcPr>
            <w:tcW w:w="53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340" w:type="dxa"/>
            <w:vAlign w:val="bottom"/>
          </w:tcPr>
          <w:p>
            <w:pPr>
              <w:spacing w:after="0" w:line="182" w:lineRule="exact"/>
              <w:rPr>
                <w:sz w:val="20"/>
                <w:szCs w:val="20"/>
                <w:color w:val="auto"/>
              </w:rPr>
            </w:pPr>
            <w:r>
              <w:rPr>
                <w:rFonts w:ascii="Arial" w:cs="Arial" w:eastAsia="Arial" w:hAnsi="Arial"/>
                <w:sz w:val="18"/>
                <w:szCs w:val="18"/>
                <w:color w:val="auto"/>
              </w:rPr>
              <w:t>Total income tax expense (benefit)</w:t>
            </w:r>
          </w:p>
        </w:tc>
        <w:tc>
          <w:tcPr>
            <w:tcW w:w="1020" w:type="dxa"/>
            <w:vAlign w:val="bottom"/>
          </w:tcPr>
          <w:p>
            <w:pPr>
              <w:jc w:val="right"/>
              <w:ind w:right="830"/>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4,493</w:t>
            </w:r>
          </w:p>
        </w:tc>
        <w:tc>
          <w:tcPr>
            <w:tcW w:w="22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10,429</w:t>
            </w:r>
          </w:p>
        </w:tc>
        <w:tc>
          <w:tcPr>
            <w:tcW w:w="500" w:type="dxa"/>
            <w:vAlign w:val="bottom"/>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8,826</w:t>
            </w:r>
          </w:p>
        </w:tc>
      </w:tr>
      <w:tr>
        <w:trPr>
          <w:trHeight w:val="20"/>
        </w:trPr>
        <w:tc>
          <w:tcPr>
            <w:tcW w:w="5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tax effects of temporary differences that give rise to significant portions of the Company’s deferred tax assets and deferred tax liabilities consisted of the following:</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1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14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Reserves on assets</w:t>
            </w:r>
          </w:p>
        </w:tc>
        <w:tc>
          <w:tcPr>
            <w:tcW w:w="1040" w:type="dxa"/>
            <w:vAlign w:val="bottom"/>
          </w:tcPr>
          <w:p>
            <w:pPr>
              <w:jc w:val="right"/>
              <w:ind w:right="85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12,305</w:t>
            </w:r>
          </w:p>
        </w:tc>
        <w:tc>
          <w:tcPr>
            <w:tcW w:w="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8,220</w:t>
            </w:r>
          </w:p>
        </w:tc>
      </w:tr>
      <w:tr>
        <w:trPr>
          <w:trHeight w:val="203"/>
        </w:trPr>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Liabilities not yet deductible</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3,371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3,040</w:t>
            </w: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Interest expense limitation</w:t>
            </w:r>
          </w:p>
        </w:tc>
        <w:tc>
          <w:tcPr>
            <w:tcW w:w="10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9,624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7,863</w:t>
            </w:r>
          </w:p>
        </w:tc>
      </w:tr>
      <w:tr>
        <w:trPr>
          <w:trHeight w:val="203"/>
        </w:trPr>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Right-of-use liability</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6,899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Section 174 expenses</w:t>
            </w:r>
          </w:p>
        </w:tc>
        <w:tc>
          <w:tcPr>
            <w:tcW w:w="10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6,197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operating losses</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1,431</w:t>
            </w: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253</w:t>
            </w:r>
          </w:p>
        </w:tc>
      </w:tr>
      <w:tr>
        <w:trPr>
          <w:trHeight w:val="20"/>
        </w:trPr>
        <w:tc>
          <w:tcPr>
            <w:tcW w:w="7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gross deferred tax assets</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40,415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20,807</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33,770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32,713</w:t>
            </w: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Intangible assets</w:t>
            </w:r>
          </w:p>
        </w:tc>
        <w:tc>
          <w:tcPr>
            <w:tcW w:w="10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41,126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43,965</w:t>
            </w:r>
          </w:p>
        </w:tc>
      </w:tr>
      <w:tr>
        <w:trPr>
          <w:trHeight w:val="203"/>
        </w:trPr>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Goodwill</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10,037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7,969</w:t>
            </w: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Property, plant and equipment</w:t>
            </w:r>
          </w:p>
        </w:tc>
        <w:tc>
          <w:tcPr>
            <w:tcW w:w="10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7,110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6,205</w:t>
            </w:r>
          </w:p>
        </w:tc>
      </w:tr>
      <w:tr>
        <w:trPr>
          <w:trHeight w:val="203"/>
        </w:trPr>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Right-of-use asset</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6,762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71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140" w:type="dxa"/>
            <w:vAlign w:val="bottom"/>
          </w:tcPr>
          <w:p>
            <w:pPr>
              <w:spacing w:after="0" w:line="196" w:lineRule="exact"/>
              <w:rPr>
                <w:sz w:val="20"/>
                <w:szCs w:val="20"/>
                <w:color w:val="auto"/>
              </w:rPr>
            </w:pPr>
            <w:r>
              <w:rPr>
                <w:rFonts w:ascii="Arial" w:cs="Arial" w:eastAsia="Arial" w:hAnsi="Arial"/>
                <w:sz w:val="18"/>
                <w:szCs w:val="18"/>
                <w:color w:val="auto"/>
              </w:rPr>
              <w:t>Total gross deferred tax liabilities</w:t>
            </w:r>
          </w:p>
        </w:tc>
        <w:tc>
          <w:tcPr>
            <w:tcW w:w="1040" w:type="dxa"/>
            <w:vAlign w:val="bottom"/>
          </w:tcPr>
          <w:p>
            <w:pPr>
              <w:spacing w:after="0"/>
              <w:rPr>
                <w:sz w:val="17"/>
                <w:szCs w:val="17"/>
                <w:color w:val="auto"/>
              </w:rPr>
            </w:pPr>
          </w:p>
        </w:tc>
        <w:tc>
          <w:tcPr>
            <w:tcW w:w="6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98,805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90,852</w:t>
            </w:r>
          </w:p>
        </w:tc>
      </w:tr>
      <w:tr>
        <w:trPr>
          <w:trHeight w:val="20"/>
        </w:trPr>
        <w:tc>
          <w:tcPr>
            <w:tcW w:w="7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deferred tax liabilities</w:t>
            </w:r>
          </w:p>
        </w:tc>
        <w:tc>
          <w:tcPr>
            <w:tcW w:w="1040" w:type="dxa"/>
            <w:vAlign w:val="bottom"/>
            <w:shd w:val="clear" w:color="auto" w:fill="CCEEFF"/>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58,390</w:t>
            </w:r>
          </w:p>
        </w:tc>
        <w:tc>
          <w:tcPr>
            <w:tcW w:w="640" w:type="dxa"/>
            <w:vAlign w:val="bottom"/>
            <w:gridSpan w:val="2"/>
            <w:shd w:val="clear" w:color="auto" w:fill="CCEEFF"/>
          </w:tcPr>
          <w:p>
            <w:pPr>
              <w:jc w:val="right"/>
              <w:ind w:right="440"/>
              <w:spacing w:after="0" w:line="18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70,045</w:t>
            </w:r>
          </w:p>
        </w:tc>
      </w:tr>
      <w:tr>
        <w:trPr>
          <w:trHeight w:val="20"/>
        </w:trPr>
        <w:tc>
          <w:tcPr>
            <w:tcW w:w="7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Based on the Company’s projected pretax earnings, reversal of deferred tax liabilities and other relevant factors, management believes that it is more likely than not that the Company’s deferred tax assets on December 31, 2022 and 2021 will be realized.</w:t>
      </w:r>
    </w:p>
    <w:p>
      <w:pPr>
        <w:spacing w:after="0" w:line="140"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On December 31, 2022, the Company's federal and state net operating loss carryforwards for income tax purposes were immaterial. A majority of the U.S. net operating loss carryforwards have no expiration date. The remaining state net operating loss carryforwards expire at various dates through 2035. The entire amount of federal net operating loss carryforward of $625 and a significant portion of state net operating loss carryforward of $868 relate to acquisitions, and, as a result, are limited in the amount that can be recognized in any one year.</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9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Under the accounting rules for income taxes, the Company is not permitted to recognize the tax benefit attributable to a tax position unless such position is more likely than not to be sustained upon examination by taxing authorities, including resolution of any related appeals and litigation processes, based solely on the technical merits of the position. The Company did not have any uncertain tax positions for the year ended December 31, 2022.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Company recognizes interest on liabilities for uncertain tax positions in interest expense and would recognize penalties, if any, in operating expenses in its consolidated statements of comprehensive income (loss). In 2022 and 2021, the Company has not recognized any amount of interest and penalties for uncertain tax positions in its consolidated statements of comprehensive income (loss).</w:t>
      </w:r>
    </w:p>
    <w:p>
      <w:pPr>
        <w:spacing w:after="0" w:line="155"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Company files federal, state, and non-U.S. tax returns in various foreign jurisdictions. For state and non-U.S. tax returns, the Company is generally no longer subject to tax examinations for years prior to 2013. For federal tax returns, the Company is no longer subject to tax examination for years prior to 2018. The federal tax returns for 2019 through 2021 remain open for examinations. State income tax returns remain open for examination in various states for tax years 2013 through 2021.</w:t>
      </w:r>
    </w:p>
    <w:p>
      <w:pPr>
        <w:spacing w:after="0" w:line="160"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Company's tax policy is to comply with the laws, regulations, and filing requirements of all jurisdictions in which it conducts business. Management regularly engages in discussions and negotiations with tax authorities regarding tax matters in various jurisdictions. Although the timing of the resolutions and/or closures of audits is highly uncertain, it is reasonably possible, that certain U.S. federal and non-U.S. tax audits may be concluded within the next 12 months, which could significantly increase or decrease the balance of our gross unrecognized tax benefits. However, the estimated impact of income tax expense and net income is not expected to be significant.</w:t>
      </w:r>
    </w:p>
    <w:p>
      <w:pPr>
        <w:spacing w:after="0" w:line="200" w:lineRule="exact"/>
        <w:rPr>
          <w:sz w:val="20"/>
          <w:szCs w:val="20"/>
          <w:color w:val="auto"/>
        </w:rPr>
      </w:pPr>
    </w:p>
    <w:p>
      <w:pPr>
        <w:spacing w:after="0" w:line="20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calculation of basic and diluted earnings per share:</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For the years ended December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2021</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Net income (loss) - basic</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73,774</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(27,139)</w:t>
            </w: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32,857</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fair value adjustment for warrants</w:t>
            </w:r>
          </w:p>
        </w:tc>
        <w:tc>
          <w:tcPr>
            <w:tcW w:w="3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(57,021)</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340" w:type="dxa"/>
            <w:vAlign w:val="bottom"/>
          </w:tcPr>
          <w:p>
            <w:pPr>
              <w:spacing w:after="0" w:line="196" w:lineRule="exact"/>
              <w:rPr>
                <w:sz w:val="20"/>
                <w:szCs w:val="20"/>
                <w:color w:val="auto"/>
              </w:rPr>
            </w:pPr>
            <w:r>
              <w:rPr>
                <w:rFonts w:ascii="Arial" w:cs="Arial" w:eastAsia="Arial" w:hAnsi="Arial"/>
                <w:sz w:val="18"/>
                <w:szCs w:val="18"/>
                <w:color w:val="auto"/>
              </w:rPr>
              <w:t>Net income (loss) - diluted</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16,753</w:t>
            </w:r>
          </w:p>
        </w:tc>
        <w:tc>
          <w:tcPr>
            <w:tcW w:w="22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(27,139)</w:t>
            </w:r>
          </w:p>
        </w:tc>
        <w:tc>
          <w:tcPr>
            <w:tcW w:w="50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32,857</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36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116,762,928</w:t>
            </w: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89,959,993</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67,673,884</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Dilutive effect of potential common shares from RSUs</w:t>
            </w:r>
          </w:p>
        </w:tc>
        <w:tc>
          <w:tcPr>
            <w:tcW w:w="3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101,290</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5340" w:type="dxa"/>
            <w:vAlign w:val="bottom"/>
          </w:tcPr>
          <w:p>
            <w:pPr>
              <w:spacing w:after="0" w:line="202" w:lineRule="exact"/>
              <w:rPr>
                <w:sz w:val="20"/>
                <w:szCs w:val="20"/>
                <w:color w:val="auto"/>
              </w:rPr>
            </w:pPr>
            <w:r>
              <w:rPr>
                <w:rFonts w:ascii="Arial" w:cs="Arial" w:eastAsia="Arial" w:hAnsi="Arial"/>
                <w:sz w:val="18"/>
                <w:szCs w:val="18"/>
                <w:color w:val="auto"/>
              </w:rPr>
              <w:t>Dilutive effect of potential common shares from warrants</w:t>
            </w: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384,078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 - diluted</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117,248,296</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89,959,993</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67,673,884</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b w:val="1"/>
                <w:bCs w:val="1"/>
                <w:color w:val="auto"/>
              </w:rPr>
              <w:t>Earnings (loss) per share:</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0.63</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(0.30)</w:t>
            </w:r>
          </w:p>
        </w:tc>
        <w:tc>
          <w:tcPr>
            <w:tcW w:w="5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0.49</w:t>
            </w:r>
          </w:p>
        </w:tc>
      </w:tr>
      <w:tr>
        <w:trPr>
          <w:trHeight w:val="239"/>
        </w:trPr>
        <w:tc>
          <w:tcPr>
            <w:tcW w:w="534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r>
    </w:tbl>
    <w:p>
      <w:pPr>
        <w:spacing w:after="0" w:line="147" w:lineRule="exact"/>
        <w:rPr>
          <w:sz w:val="20"/>
          <w:szCs w:val="20"/>
          <w:color w:val="auto"/>
        </w:rPr>
      </w:pPr>
    </w:p>
    <w:p>
      <w:pPr>
        <w:ind w:left="340" w:right="200"/>
        <w:spacing w:after="0" w:line="271"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due to the anti-dilutive effect such shares would have on net loss per common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20" w:type="dxa"/>
            <w:vAlign w:val="bottom"/>
            <w:tcBorders>
              <w:bottom w:val="single" w:sz="8" w:color="auto"/>
            </w:tcBorders>
            <w:gridSpan w:val="5"/>
          </w:tcPr>
          <w:p>
            <w:pPr>
              <w:jc w:val="center"/>
              <w:ind w:left="1010"/>
              <w:spacing w:after="0"/>
              <w:rPr>
                <w:sz w:val="20"/>
                <w:szCs w:val="20"/>
                <w:color w:val="auto"/>
              </w:rPr>
            </w:pPr>
            <w:r>
              <w:rPr>
                <w:rFonts w:ascii="Arial" w:cs="Arial" w:eastAsia="Arial" w:hAnsi="Arial"/>
                <w:sz w:val="18"/>
                <w:szCs w:val="18"/>
                <w:color w:val="auto"/>
                <w:w w:val="99"/>
              </w:rPr>
              <w:t>For the years ended December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Anti-dilutive shares excluded from calculation of diluted EPS:</w:t>
            </w:r>
          </w:p>
        </w:tc>
        <w:tc>
          <w:tcPr>
            <w:tcW w:w="3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00" w:type="dxa"/>
            <w:vAlign w:val="bottom"/>
          </w:tcPr>
          <w:p>
            <w:pPr>
              <w:ind w:left="320"/>
              <w:spacing w:after="0" w:line="202" w:lineRule="exact"/>
              <w:rPr>
                <w:sz w:val="20"/>
                <w:szCs w:val="20"/>
                <w:color w:val="auto"/>
              </w:rPr>
            </w:pPr>
            <w:r>
              <w:rPr>
                <w:rFonts w:ascii="Arial" w:cs="Arial" w:eastAsia="Arial" w:hAnsi="Arial"/>
                <w:sz w:val="18"/>
                <w:szCs w:val="18"/>
                <w:color w:val="auto"/>
              </w:rPr>
              <w:t>Warrants</w:t>
            </w:r>
          </w:p>
        </w:tc>
        <w:tc>
          <w:tcPr>
            <w:tcW w:w="340" w:type="dxa"/>
            <w:vAlign w:val="bottom"/>
          </w:tcPr>
          <w:p>
            <w:pPr>
              <w:spacing w:after="0"/>
              <w:rPr>
                <w:sz w:val="17"/>
                <w:szCs w:val="17"/>
                <w:color w:val="auto"/>
              </w:rPr>
            </w:pPr>
          </w:p>
        </w:tc>
        <w:tc>
          <w:tcPr>
            <w:tcW w:w="1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14,666,644</w:t>
            </w:r>
          </w:p>
        </w:tc>
        <w:tc>
          <w:tcPr>
            <w:tcW w:w="480" w:type="dxa"/>
            <w:vAlign w:val="bottom"/>
          </w:tcPr>
          <w:p>
            <w:pPr>
              <w:spacing w:after="0"/>
              <w:rPr>
                <w:sz w:val="17"/>
                <w:szCs w:val="17"/>
                <w:color w:val="auto"/>
              </w:rPr>
            </w:pPr>
          </w:p>
        </w:tc>
        <w:tc>
          <w:tcPr>
            <w:tcW w:w="120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 options</w:t>
            </w:r>
          </w:p>
        </w:tc>
        <w:tc>
          <w:tcPr>
            <w:tcW w:w="21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1,709,690</w:t>
            </w:r>
          </w:p>
        </w:tc>
        <w:tc>
          <w:tcPr>
            <w:tcW w:w="1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1,386,974</w:t>
            </w:r>
          </w:p>
        </w:tc>
        <w:tc>
          <w:tcPr>
            <w:tcW w:w="4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00" w:type="dxa"/>
            <w:vAlign w:val="bottom"/>
          </w:tcPr>
          <w:p>
            <w:pPr>
              <w:ind w:left="320"/>
              <w:spacing w:after="0" w:line="202" w:lineRule="exact"/>
              <w:rPr>
                <w:sz w:val="20"/>
                <w:szCs w:val="20"/>
                <w:color w:val="auto"/>
              </w:rPr>
            </w:pPr>
            <w:r>
              <w:rPr>
                <w:rFonts w:ascii="Arial" w:cs="Arial" w:eastAsia="Arial" w:hAnsi="Arial"/>
                <w:sz w:val="18"/>
                <w:szCs w:val="18"/>
                <w:color w:val="auto"/>
              </w:rPr>
              <w:t>Restricted stock units</w:t>
            </w:r>
          </w:p>
        </w:tc>
        <w:tc>
          <w:tcPr>
            <w:tcW w:w="21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540,344</w:t>
            </w:r>
          </w:p>
        </w:tc>
        <w:tc>
          <w:tcPr>
            <w:tcW w:w="1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656,485</w:t>
            </w:r>
          </w:p>
        </w:tc>
        <w:tc>
          <w:tcPr>
            <w:tcW w:w="480" w:type="dxa"/>
            <w:vAlign w:val="bottom"/>
          </w:tcPr>
          <w:p>
            <w:pPr>
              <w:spacing w:after="0"/>
              <w:rPr>
                <w:sz w:val="17"/>
                <w:szCs w:val="17"/>
                <w:color w:val="auto"/>
              </w:rPr>
            </w:pPr>
          </w:p>
        </w:tc>
        <w:tc>
          <w:tcPr>
            <w:tcW w:w="120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Earn-out shares</w:t>
            </w:r>
          </w:p>
        </w:tc>
        <w:tc>
          <w:tcPr>
            <w:tcW w:w="3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1,093,750</w:t>
            </w:r>
          </w:p>
        </w:tc>
        <w:tc>
          <w:tcPr>
            <w:tcW w:w="1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2,187,500</w:t>
            </w:r>
          </w:p>
        </w:tc>
        <w:tc>
          <w:tcPr>
            <w:tcW w:w="4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000" w:type="dxa"/>
            <w:vAlign w:val="bottom"/>
          </w:tcPr>
          <w:p>
            <w:pPr>
              <w:spacing w:after="0" w:line="182" w:lineRule="exact"/>
              <w:rPr>
                <w:sz w:val="20"/>
                <w:szCs w:val="20"/>
                <w:color w:val="auto"/>
              </w:rPr>
            </w:pPr>
            <w:r>
              <w:rPr>
                <w:rFonts w:ascii="Arial" w:cs="Arial" w:eastAsia="Arial" w:hAnsi="Arial"/>
                <w:sz w:val="18"/>
                <w:szCs w:val="18"/>
                <w:color w:val="auto"/>
              </w:rPr>
              <w:t>Total anti-dilutive shares</w:t>
            </w:r>
          </w:p>
        </w:tc>
        <w:tc>
          <w:tcPr>
            <w:tcW w:w="340" w:type="dxa"/>
            <w:vAlign w:val="bottom"/>
          </w:tcPr>
          <w:p>
            <w:pPr>
              <w:spacing w:after="0"/>
              <w:rPr>
                <w:sz w:val="17"/>
                <w:szCs w:val="17"/>
                <w:color w:val="auto"/>
              </w:rPr>
            </w:pPr>
          </w:p>
        </w:tc>
        <w:tc>
          <w:tcPr>
            <w:tcW w:w="18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3,343,784</w:t>
            </w:r>
          </w:p>
        </w:tc>
        <w:tc>
          <w:tcPr>
            <w:tcW w:w="18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18,897,603</w:t>
            </w:r>
          </w:p>
        </w:tc>
        <w:tc>
          <w:tcPr>
            <w:tcW w:w="480" w:type="dxa"/>
            <w:vAlign w:val="bottom"/>
          </w:tcPr>
          <w:p>
            <w:pPr>
              <w:spacing w:after="0"/>
              <w:rPr>
                <w:sz w:val="17"/>
                <w:szCs w:val="17"/>
                <w:color w:val="auto"/>
              </w:rPr>
            </w:pPr>
          </w:p>
        </w:tc>
        <w:tc>
          <w:tcPr>
            <w:tcW w:w="1200" w:type="dxa"/>
            <w:vAlign w:val="bottom"/>
            <w:gridSpan w:val="2"/>
          </w:tcPr>
          <w:p>
            <w:pPr>
              <w:ind w:left="920"/>
              <w:spacing w:after="0" w:line="18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3"/>
        </w:trPr>
        <w:tc>
          <w:tcPr>
            <w:tcW w:w="3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940" w:type="dxa"/>
            <w:vAlign w:val="bottom"/>
            <w:gridSpan w:val="2"/>
          </w:tcPr>
          <w:p>
            <w:pPr>
              <w:jc w:val="right"/>
              <w:ind w:right="147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198"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has a defined benefit pension plan (the “Plan”) for its employees. The Projected Unit Credit Actuarial Cost Method is used to determine the normal cost of the Plan and estimated pension benefit obligation. During 2002, the Plan was amended to curtail accrual of future benefits under the Plan. The pension plan assets are managed to maximize total return over the long term while providing sufficient liquidity and current return to satisfy the cash flow requirements of the plan. The plan’s day-to-day investment decisions are managed by our outside investment manager; however, overall investment strategies are discussed with our employee benefits committee. Our investment strategy is to weight our portfolio towards large-cap, high-quality, dividend-growing equities that we have historically favored. As our plan matures and interest rates normalize, we expect a greater allocation to fixed-income securities to better align asset and liability market risks. Our fixed-maturity bond portfolio is investment grade. The plan does not engage in derivative transactions.</w:t>
      </w:r>
    </w:p>
    <w:p>
      <w:pPr>
        <w:spacing w:after="0" w:line="169"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On January 28, 2022, the Company approved the termination of its defined benefit pension plan, effective March 31, 2022. The final distribution of Plan assets pursuant to the termination was not made until the plan termination satisfied all regulatory requirements in the fourth quarter of 2022. Plan participants received their accrued benefits from plan assets by electing either lump sum distributions or annuity contracts with a qualifying third-party annuity provider. The resulting settlement effect of the Plan termination was determined based on prevailing market conditions, the lump sum offer participation rate of eligible participants, the actual lump sum distributions, and annuity purchase rates at the date of distribution. As a result, the Plan recognized a final settlement loss of $154.</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changes in the benefit obligation and plan assets and the plan’s funded status.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36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2022</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Change in Projected Benefit Obligation:</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Benefit obligation, January 1</w:t>
            </w:r>
          </w:p>
        </w:tc>
        <w:tc>
          <w:tcPr>
            <w:tcW w:w="980" w:type="dxa"/>
            <w:vAlign w:val="bottom"/>
          </w:tcPr>
          <w:p>
            <w:pPr>
              <w:jc w:val="right"/>
              <w:ind w:right="79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6,104</w:t>
            </w:r>
          </w:p>
        </w:tc>
        <w:tc>
          <w:tcPr>
            <w:tcW w:w="5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6,551</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Service cost</w:t>
            </w:r>
          </w:p>
        </w:tc>
        <w:tc>
          <w:tcPr>
            <w:tcW w:w="9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143</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152</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Plan curtailments</w:t>
            </w:r>
          </w:p>
        </w:tc>
        <w:tc>
          <w:tcPr>
            <w:tcW w:w="9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(5,185)</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Benefits paid</w:t>
            </w:r>
          </w:p>
        </w:tc>
        <w:tc>
          <w:tcPr>
            <w:tcW w:w="98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(349)</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Expenses paid</w:t>
            </w:r>
          </w:p>
        </w:tc>
        <w:tc>
          <w:tcPr>
            <w:tcW w:w="9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(135)</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Actuarial (gain) loss</w:t>
            </w:r>
          </w:p>
        </w:tc>
        <w:tc>
          <w:tcPr>
            <w:tcW w:w="98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(258)</w:t>
            </w:r>
          </w:p>
        </w:tc>
      </w:tr>
      <w:tr>
        <w:trPr>
          <w:trHeight w:val="20"/>
        </w:trPr>
        <w:tc>
          <w:tcPr>
            <w:tcW w:w="7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Benefit obligation, December 31</w:t>
            </w:r>
          </w:p>
        </w:tc>
        <w:tc>
          <w:tcPr>
            <w:tcW w:w="980" w:type="dxa"/>
            <w:vAlign w:val="bottom"/>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6,104</w:t>
            </w:r>
          </w:p>
        </w:tc>
      </w:tr>
      <w:tr>
        <w:trPr>
          <w:trHeight w:val="196"/>
        </w:trPr>
        <w:tc>
          <w:tcPr>
            <w:tcW w:w="73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Change in Plan Assets:</w:t>
            </w:r>
          </w:p>
        </w:tc>
        <w:tc>
          <w:tcPr>
            <w:tcW w:w="9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Fair value of plan assets, January 1</w:t>
            </w:r>
          </w:p>
        </w:tc>
        <w:tc>
          <w:tcPr>
            <w:tcW w:w="980" w:type="dxa"/>
            <w:vAlign w:val="bottom"/>
            <w:shd w:val="clear" w:color="auto" w:fill="CCEEFF"/>
          </w:tcPr>
          <w:p>
            <w:pPr>
              <w:jc w:val="right"/>
              <w:ind w:right="79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5,242</w:t>
            </w:r>
          </w:p>
        </w:tc>
        <w:tc>
          <w:tcPr>
            <w:tcW w:w="5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4,756</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Actual return on plan assets</w:t>
            </w:r>
          </w:p>
        </w:tc>
        <w:tc>
          <w:tcPr>
            <w:tcW w:w="98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499</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Employer contributions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471</w:t>
            </w:r>
          </w:p>
        </w:tc>
      </w:tr>
      <w:tr>
        <w:trPr>
          <w:trHeight w:val="202"/>
        </w:trPr>
        <w:tc>
          <w:tcPr>
            <w:tcW w:w="7360" w:type="dxa"/>
            <w:vAlign w:val="bottom"/>
          </w:tcPr>
          <w:p>
            <w:pPr>
              <w:spacing w:after="0" w:line="202" w:lineRule="exact"/>
              <w:rPr>
                <w:sz w:val="20"/>
                <w:szCs w:val="20"/>
                <w:color w:val="auto"/>
              </w:rPr>
            </w:pPr>
            <w:r>
              <w:rPr>
                <w:rFonts w:ascii="Arial" w:cs="Arial" w:eastAsia="Arial" w:hAnsi="Arial"/>
                <w:sz w:val="18"/>
                <w:szCs w:val="18"/>
                <w:color w:val="auto"/>
              </w:rPr>
              <w:t>Plan settlements</w:t>
            </w:r>
          </w:p>
        </w:tc>
        <w:tc>
          <w:tcPr>
            <w:tcW w:w="98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(5,185)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Benefits paid from plan assets</w:t>
            </w:r>
          </w:p>
        </w:tc>
        <w:tc>
          <w:tcPr>
            <w:tcW w:w="9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(349)</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Expenses paid</w:t>
            </w:r>
          </w:p>
        </w:tc>
        <w:tc>
          <w:tcPr>
            <w:tcW w:w="98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(149)</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(135)</w:t>
            </w:r>
          </w:p>
        </w:tc>
      </w:tr>
      <w:tr>
        <w:trPr>
          <w:trHeight w:val="20"/>
        </w:trPr>
        <w:tc>
          <w:tcPr>
            <w:tcW w:w="7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Fair value of plan net assets, December 31</w:t>
            </w:r>
          </w:p>
        </w:tc>
        <w:tc>
          <w:tcPr>
            <w:tcW w:w="980" w:type="dxa"/>
            <w:vAlign w:val="bottom"/>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5,242</w:t>
            </w:r>
          </w:p>
        </w:tc>
      </w:tr>
      <w:tr>
        <w:trPr>
          <w:trHeight w:val="20"/>
        </w:trPr>
        <w:tc>
          <w:tcPr>
            <w:tcW w:w="7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spacing w:after="0" w:line="182" w:lineRule="exact"/>
              <w:rPr>
                <w:sz w:val="20"/>
                <w:szCs w:val="20"/>
                <w:color w:val="auto"/>
              </w:rPr>
            </w:pPr>
            <w:r>
              <w:rPr>
                <w:rFonts w:ascii="Arial" w:cs="Arial" w:eastAsia="Arial" w:hAnsi="Arial"/>
                <w:sz w:val="18"/>
                <w:szCs w:val="18"/>
                <w:b w:val="1"/>
                <w:bCs w:val="1"/>
                <w:color w:val="auto"/>
              </w:rPr>
              <w:t>Underfunded status at end of period</w:t>
            </w:r>
          </w:p>
        </w:tc>
        <w:tc>
          <w:tcPr>
            <w:tcW w:w="980" w:type="dxa"/>
            <w:vAlign w:val="bottom"/>
          </w:tcPr>
          <w:p>
            <w:pPr>
              <w:jc w:val="right"/>
              <w:ind w:right="790"/>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(862)</w:t>
            </w:r>
          </w:p>
        </w:tc>
      </w:tr>
      <w:tr>
        <w:trPr>
          <w:trHeight w:val="20"/>
        </w:trPr>
        <w:tc>
          <w:tcPr>
            <w:tcW w:w="7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3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Amounts recognized in the consolidated balance sheet:</w:t>
            </w: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Current liabilities</w:t>
            </w:r>
          </w:p>
        </w:tc>
        <w:tc>
          <w:tcPr>
            <w:tcW w:w="980" w:type="dxa"/>
            <w:vAlign w:val="bottom"/>
          </w:tcPr>
          <w:p>
            <w:pPr>
              <w:jc w:val="right"/>
              <w:ind w:right="79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Non-current liabilities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(862)</w:t>
            </w:r>
          </w:p>
        </w:tc>
      </w:tr>
      <w:tr>
        <w:trPr>
          <w:trHeight w:val="20"/>
        </w:trPr>
        <w:tc>
          <w:tcPr>
            <w:tcW w:w="7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ind w:left="160"/>
              <w:spacing w:after="0" w:line="182" w:lineRule="exact"/>
              <w:rPr>
                <w:sz w:val="20"/>
                <w:szCs w:val="20"/>
                <w:color w:val="auto"/>
              </w:rPr>
            </w:pPr>
            <w:r>
              <w:rPr>
                <w:rFonts w:ascii="Arial" w:cs="Arial" w:eastAsia="Arial" w:hAnsi="Arial"/>
                <w:sz w:val="18"/>
                <w:szCs w:val="18"/>
                <w:color w:val="auto"/>
              </w:rPr>
              <w:t>Net amount recorded</w:t>
            </w:r>
          </w:p>
        </w:tc>
        <w:tc>
          <w:tcPr>
            <w:tcW w:w="980" w:type="dxa"/>
            <w:vAlign w:val="bottom"/>
          </w:tcPr>
          <w:p>
            <w:pPr>
              <w:jc w:val="right"/>
              <w:ind w:right="790"/>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(862)</w:t>
            </w:r>
          </w:p>
        </w:tc>
      </w:tr>
      <w:tr>
        <w:trPr>
          <w:trHeight w:val="20"/>
        </w:trPr>
        <w:tc>
          <w:tcPr>
            <w:tcW w:w="7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There was no remaining accumulated benefit obligation for the Plan as of December 31, 2022. The accumulated benefit obligation for the Plan was $6,104 on December 31, 2021. The Company made contributions of $765, $471, and $589 in 2022, 2021 and 2020, respectively. There were no participant contributions in 2022, 2021 or 2020.</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Unrecognized actuarial losses are recognized as a component of accumulated other comprehensive income. The following table shows the balances reflected in accumulated other comprehensive income on a pre-tax basis for the periods presented:</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6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gridSpan w:val="8"/>
          </w:tcPr>
          <w:p>
            <w:pPr>
              <w:jc w:val="right"/>
              <w:ind w:right="1140"/>
              <w:spacing w:after="0"/>
              <w:rPr>
                <w:sz w:val="20"/>
                <w:szCs w:val="20"/>
                <w:color w:val="auto"/>
              </w:rPr>
            </w:pPr>
            <w:r>
              <w:rPr>
                <w:rFonts w:ascii="Arial" w:cs="Arial" w:eastAsia="Arial" w:hAnsi="Arial"/>
                <w:sz w:val="18"/>
                <w:szCs w:val="18"/>
                <w:color w:val="auto"/>
              </w:rPr>
              <w:t>December 31,</w:t>
            </w:r>
          </w:p>
        </w:tc>
      </w:tr>
      <w:tr>
        <w:trPr>
          <w:trHeight w:val="196"/>
        </w:trPr>
        <w:tc>
          <w:tcPr>
            <w:tcW w:w="6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r>
      <w:tr>
        <w:trPr>
          <w:trHeight w:val="196"/>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Amounts recognized in accumulated other comprehensive loss (pre-tax):</w:t>
            </w: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6720" w:type="dxa"/>
            <w:vAlign w:val="bottom"/>
          </w:tcPr>
          <w:p>
            <w:pPr>
              <w:ind w:left="160"/>
              <w:spacing w:after="0"/>
              <w:rPr>
                <w:sz w:val="20"/>
                <w:szCs w:val="20"/>
                <w:color w:val="auto"/>
              </w:rPr>
            </w:pPr>
            <w:r>
              <w:rPr>
                <w:rFonts w:ascii="Arial" w:cs="Arial" w:eastAsia="Arial" w:hAnsi="Arial"/>
                <w:sz w:val="18"/>
                <w:szCs w:val="18"/>
                <w:color w:val="auto"/>
              </w:rPr>
              <w:t>Net actuarial loss</w:t>
            </w:r>
          </w:p>
        </w:tc>
        <w:tc>
          <w:tcPr>
            <w:tcW w:w="640" w:type="dxa"/>
            <w:vAlign w:val="bottom"/>
          </w:tcPr>
          <w:p>
            <w:pPr>
              <w:spacing w:after="0"/>
              <w:rPr>
                <w:sz w:val="20"/>
                <w:szCs w:val="20"/>
                <w:color w:val="auto"/>
              </w:rPr>
            </w:pP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680" w:type="dxa"/>
            <w:vAlign w:val="bottom"/>
            <w:gridSpan w:val="4"/>
          </w:tcPr>
          <w:p>
            <w:pPr>
              <w:ind w:left="4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r>
      <w:tr>
        <w:trPr>
          <w:trHeight w:val="386"/>
        </w:trPr>
        <w:tc>
          <w:tcPr>
            <w:tcW w:w="6720" w:type="dxa"/>
            <w:vAlign w:val="bottom"/>
          </w:tcPr>
          <w:p>
            <w:pPr>
              <w:spacing w:after="0"/>
              <w:rPr>
                <w:sz w:val="20"/>
                <w:szCs w:val="20"/>
                <w:color w:val="auto"/>
              </w:rPr>
            </w:pPr>
            <w:r>
              <w:rPr>
                <w:rFonts w:ascii="Arial" w:cs="Arial" w:eastAsia="Arial" w:hAnsi="Arial"/>
                <w:sz w:val="18"/>
                <w:szCs w:val="18"/>
                <w:color w:val="auto"/>
              </w:rPr>
              <w:t>The pre-tax amounts recognized in other comprehensive income were as follows:</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67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ind w:left="720"/>
              <w:spacing w:after="0"/>
              <w:rPr>
                <w:sz w:val="20"/>
                <w:szCs w:val="20"/>
                <w:color w:val="auto"/>
              </w:rPr>
            </w:pPr>
            <w:r>
              <w:rPr>
                <w:rFonts w:ascii="Arial" w:cs="Arial" w:eastAsia="Arial" w:hAnsi="Arial"/>
                <w:sz w:val="18"/>
                <w:szCs w:val="18"/>
                <w:color w:val="auto"/>
              </w:rPr>
              <w:t>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7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r>
      <w:tr>
        <w:trPr>
          <w:trHeight w:val="196"/>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Actuarial (gain) loss arising during measurement period</w:t>
            </w:r>
          </w:p>
        </w:tc>
        <w:tc>
          <w:tcPr>
            <w:tcW w:w="64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(129)</w:t>
            </w:r>
          </w:p>
        </w:tc>
        <w:tc>
          <w:tcPr>
            <w:tcW w:w="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(513)</w:t>
            </w: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64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w:t>
            </w:r>
          </w:p>
        </w:tc>
      </w:tr>
      <w:tr>
        <w:trPr>
          <w:trHeight w:val="20"/>
        </w:trPr>
        <w:tc>
          <w:tcPr>
            <w:tcW w:w="6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recognized in other comprehensive (income) loss</w:t>
            </w:r>
          </w:p>
        </w:tc>
        <w:tc>
          <w:tcPr>
            <w:tcW w:w="640" w:type="dxa"/>
            <w:vAlign w:val="bottom"/>
            <w:shd w:val="clear" w:color="auto" w:fill="CCEEFF"/>
          </w:tcPr>
          <w:p>
            <w:pPr>
              <w:jc w:val="right"/>
              <w:ind w:right="45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(283)</w:t>
            </w:r>
          </w:p>
        </w:tc>
        <w:tc>
          <w:tcPr>
            <w:tcW w:w="22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(538)</w:t>
            </w:r>
          </w:p>
        </w:tc>
      </w:tr>
      <w:tr>
        <w:trPr>
          <w:trHeight w:val="20"/>
        </w:trPr>
        <w:tc>
          <w:tcPr>
            <w:tcW w:w="6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components of net periodic benefit cost for the defined benefit pension plan:</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6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color w:val="auto"/>
              </w:rPr>
              <w:t>For the years ended December 31,</w:t>
            </w: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680" w:type="dxa"/>
            <w:vAlign w:val="bottom"/>
          </w:tcPr>
          <w:p>
            <w:pPr>
              <w:spacing w:after="0"/>
              <w:rPr>
                <w:sz w:val="17"/>
                <w:szCs w:val="17"/>
                <w:color w:val="auto"/>
              </w:rPr>
            </w:pPr>
          </w:p>
        </w:tc>
        <w:tc>
          <w:tcPr>
            <w:tcW w:w="1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2022</w:t>
            </w:r>
          </w:p>
        </w:tc>
        <w:tc>
          <w:tcPr>
            <w:tcW w:w="5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r>
      <w:tr>
        <w:trPr>
          <w:trHeight w:val="196"/>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Components of expense:</w:t>
            </w:r>
          </w:p>
        </w:tc>
        <w:tc>
          <w:tcPr>
            <w:tcW w:w="1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80" w:type="dxa"/>
            <w:vAlign w:val="bottom"/>
          </w:tcPr>
          <w:p>
            <w:pPr>
              <w:ind w:left="160"/>
              <w:spacing w:after="0" w:line="202" w:lineRule="exact"/>
              <w:rPr>
                <w:sz w:val="20"/>
                <w:szCs w:val="20"/>
                <w:color w:val="auto"/>
              </w:rPr>
            </w:pPr>
            <w:r>
              <w:rPr>
                <w:rFonts w:ascii="Arial" w:cs="Arial" w:eastAsia="Arial" w:hAnsi="Arial"/>
                <w:sz w:val="18"/>
                <w:szCs w:val="18"/>
                <w:color w:val="auto"/>
              </w:rPr>
              <w:t>Service cost</w:t>
            </w:r>
          </w:p>
        </w:tc>
        <w:tc>
          <w:tcPr>
            <w:tcW w:w="1300" w:type="dxa"/>
            <w:vAlign w:val="bottom"/>
          </w:tcPr>
          <w:p>
            <w:pPr>
              <w:jc w:val="right"/>
              <w:ind w:right="109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113</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143</w:t>
            </w:r>
          </w:p>
        </w:tc>
        <w:tc>
          <w:tcPr>
            <w:tcW w:w="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159</w:t>
            </w:r>
          </w:p>
        </w:tc>
      </w:tr>
      <w:tr>
        <w:trPr>
          <w:trHeight w:val="203"/>
        </w:trPr>
        <w:tc>
          <w:tcPr>
            <w:tcW w:w="4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cost</w:t>
            </w:r>
          </w:p>
        </w:tc>
        <w:tc>
          <w:tcPr>
            <w:tcW w:w="1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138</w:t>
            </w:r>
          </w:p>
        </w:tc>
        <w:tc>
          <w:tcPr>
            <w:tcW w:w="4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190</w:t>
            </w:r>
          </w:p>
        </w:tc>
      </w:tr>
      <w:tr>
        <w:trPr>
          <w:trHeight w:val="203"/>
        </w:trPr>
        <w:tc>
          <w:tcPr>
            <w:tcW w:w="4680" w:type="dxa"/>
            <w:vAlign w:val="bottom"/>
          </w:tcPr>
          <w:p>
            <w:pPr>
              <w:ind w:left="160"/>
              <w:spacing w:after="0" w:line="202" w:lineRule="exact"/>
              <w:rPr>
                <w:sz w:val="20"/>
                <w:szCs w:val="20"/>
                <w:color w:val="auto"/>
              </w:rPr>
            </w:pPr>
            <w:r>
              <w:rPr>
                <w:rFonts w:ascii="Arial" w:cs="Arial" w:eastAsia="Arial" w:hAnsi="Arial"/>
                <w:sz w:val="18"/>
                <w:szCs w:val="18"/>
                <w:color w:val="auto"/>
              </w:rPr>
              <w:t>Expected return on plan assets</w:t>
            </w:r>
          </w:p>
        </w:tc>
        <w:tc>
          <w:tcPr>
            <w:tcW w:w="13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(218)</w:t>
            </w:r>
          </w:p>
        </w:tc>
        <w:tc>
          <w:tcPr>
            <w:tcW w:w="400" w:type="dxa"/>
            <w:vAlign w:val="bottom"/>
          </w:tcPr>
          <w:p>
            <w:pPr>
              <w:spacing w:after="0"/>
              <w:rPr>
                <w:sz w:val="17"/>
                <w:szCs w:val="17"/>
                <w:color w:val="auto"/>
              </w:rPr>
            </w:pPr>
          </w:p>
        </w:tc>
        <w:tc>
          <w:tcPr>
            <w:tcW w:w="1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(255)</w:t>
            </w:r>
          </w:p>
        </w:tc>
      </w:tr>
      <w:tr>
        <w:trPr>
          <w:trHeight w:val="203"/>
        </w:trPr>
        <w:tc>
          <w:tcPr>
            <w:tcW w:w="4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 loss recognized</w:t>
            </w:r>
          </w:p>
        </w:tc>
        <w:tc>
          <w:tcPr>
            <w:tcW w:w="1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154</w:t>
            </w:r>
          </w:p>
        </w:tc>
        <w:tc>
          <w:tcPr>
            <w:tcW w:w="4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68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net loss</w:t>
            </w:r>
          </w:p>
        </w:tc>
        <w:tc>
          <w:tcPr>
            <w:tcW w:w="130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4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periodic benefit cost</w:t>
            </w:r>
          </w:p>
        </w:tc>
        <w:tc>
          <w:tcPr>
            <w:tcW w:w="1300" w:type="dxa"/>
            <w:vAlign w:val="bottom"/>
            <w:shd w:val="clear" w:color="auto" w:fill="CCEEFF"/>
          </w:tcPr>
          <w:p>
            <w:pPr>
              <w:jc w:val="right"/>
              <w:ind w:right="1090"/>
              <w:spacing w:after="0" w:line="182"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187</w:t>
            </w:r>
          </w:p>
        </w:tc>
        <w:tc>
          <w:tcPr>
            <w:tcW w:w="400" w:type="dxa"/>
            <w:vAlign w:val="bottom"/>
            <w:shd w:val="clear" w:color="auto" w:fill="CCEEFF"/>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80</w:t>
            </w:r>
          </w:p>
        </w:tc>
        <w:tc>
          <w:tcPr>
            <w:tcW w:w="56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94</w:t>
            </w:r>
          </w:p>
        </w:tc>
      </w:tr>
      <w:tr>
        <w:trPr>
          <w:trHeight w:val="20"/>
        </w:trPr>
        <w:tc>
          <w:tcPr>
            <w:tcW w:w="46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Weighted-average assumptions used to determine net cost:</w:t>
      </w:r>
    </w:p>
    <w:p>
      <w:pPr>
        <w:spacing w:after="0" w:line="198"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December 31,</w:t>
      </w:r>
    </w:p>
    <w:p>
      <w:pPr>
        <w:spacing w:after="0" w:line="14"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73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2022</w:t>
            </w: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7"/>
                <w:szCs w:val="17"/>
                <w:color w:val="auto"/>
              </w:rPr>
            </w:pPr>
          </w:p>
        </w:tc>
      </w:tr>
      <w:tr>
        <w:trPr>
          <w:trHeight w:val="196"/>
        </w:trPr>
        <w:tc>
          <w:tcPr>
            <w:tcW w:w="8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2.78%</w:t>
            </w:r>
          </w:p>
        </w:tc>
        <w:tc>
          <w:tcPr>
            <w:tcW w:w="1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2.38%</w:t>
            </w:r>
          </w:p>
        </w:tc>
      </w:tr>
      <w:tr>
        <w:trPr>
          <w:trHeight w:val="239"/>
        </w:trPr>
        <w:tc>
          <w:tcPr>
            <w:tcW w:w="832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6.35%</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uses a measurement date of December 31 for its defined benefit pension plan.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Weighted-average assumptions used to determine the benefit obligation:</w:t>
      </w:r>
    </w:p>
    <w:p>
      <w:pPr>
        <w:spacing w:after="0" w:line="198" w:lineRule="exact"/>
        <w:rPr>
          <w:sz w:val="20"/>
          <w:szCs w:val="20"/>
          <w:color w:val="auto"/>
        </w:rPr>
      </w:pPr>
    </w:p>
    <w:p>
      <w:pPr>
        <w:jc w:val="center"/>
        <w:ind w:left="726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8890</wp:posOffset>
            </wp:positionV>
            <wp:extent cx="19888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 w:lineRule="exact"/>
        <w:rPr>
          <w:sz w:val="20"/>
          <w:szCs w:val="20"/>
          <w:color w:val="auto"/>
        </w:rPr>
      </w:pPr>
    </w:p>
    <w:p>
      <w:pPr>
        <w:ind w:left="8240"/>
        <w:spacing w:after="0"/>
        <w:tabs>
          <w:tab w:leader="none" w:pos="988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-1905</wp:posOffset>
            </wp:positionV>
            <wp:extent cx="19888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ind w:left="340"/>
        <w:spacing w:after="0"/>
        <w:tabs>
          <w:tab w:leader="none" w:pos="8040" w:val="left"/>
          <w:tab w:leader="none" w:pos="10460" w:val="left"/>
        </w:tabs>
        <w:rPr>
          <w:sz w:val="20"/>
          <w:szCs w:val="20"/>
          <w:color w:val="auto"/>
        </w:rPr>
      </w:pPr>
      <w:r>
        <w:rPr>
          <w:rFonts w:ascii="Arial" w:cs="Arial" w:eastAsia="Arial" w:hAnsi="Arial"/>
          <w:sz w:val="18"/>
          <w:szCs w:val="18"/>
          <w:color w:val="auto"/>
        </w:rPr>
        <w:t>Discount rate</w:t>
      </w:r>
      <w:r>
        <w:rPr>
          <w:sz w:val="20"/>
          <w:szCs w:val="20"/>
          <w:color w:val="auto"/>
        </w:rPr>
        <w:tab/>
      </w:r>
      <w:r>
        <w:rPr>
          <w:rFonts w:ascii="Arial" w:cs="Arial" w:eastAsia="Arial" w:hAnsi="Arial"/>
          <w:sz w:val="18"/>
          <w:szCs w:val="18"/>
          <w:color w:val="auto"/>
        </w:rPr>
        <w:t>not applicable</w:t>
      </w:r>
      <w:r>
        <w:rPr>
          <w:sz w:val="20"/>
          <w:szCs w:val="20"/>
          <w:color w:val="auto"/>
        </w:rPr>
        <w:tab/>
      </w:r>
      <w:r>
        <w:rPr>
          <w:rFonts w:ascii="Arial" w:cs="Arial" w:eastAsia="Arial" w:hAnsi="Arial"/>
          <w:sz w:val="18"/>
          <w:szCs w:val="18"/>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77227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In order to develop the expected long-term rate of return on assets assumption, the Company considered the historical returns and the future expectations for returns for each asset class, as well as the target asset allocation of the pension portfolio. The fair value of Plan assets on December 31, 2022, was zero. The fair value of Plan assets on December 31, 2021, by asset category using the Fair Value measurement hierarchy is shown in the table below. See Note 1, “</w:t>
      </w:r>
      <w:r>
        <w:rPr>
          <w:rFonts w:ascii="Arial" w:cs="Arial" w:eastAsia="Arial" w:hAnsi="Arial"/>
          <w:sz w:val="18"/>
          <w:szCs w:val="18"/>
          <w:i w:val="1"/>
          <w:iCs w:val="1"/>
          <w:color w:val="auto"/>
        </w:rPr>
        <w:t>Description of the Business, Basis of Presentation, and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for more details about fair value measurements.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color w:val="auto"/>
              </w:rPr>
              <w:t>December 31, 2021</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789</w:t>
            </w:r>
          </w:p>
        </w:tc>
        <w:tc>
          <w:tcPr>
            <w:tcW w:w="30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789</w:t>
            </w:r>
          </w:p>
        </w:tc>
        <w:tc>
          <w:tcPr>
            <w:tcW w:w="28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800"/>
              <w:spacing w:after="0" w:line="196"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2,171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8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 government bonds</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2,354</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w:t>
            </w:r>
          </w:p>
        </w:tc>
      </w:tr>
      <w:tr>
        <w:trPr>
          <w:trHeight w:val="20"/>
        </w:trPr>
        <w:tc>
          <w:tcPr>
            <w:tcW w:w="5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5,334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2,374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800"/>
              <w:spacing w:after="0" w:line="182" w:lineRule="exact"/>
              <w:rPr>
                <w:sz w:val="20"/>
                <w:szCs w:val="20"/>
                <w:color w:val="auto"/>
              </w:rPr>
            </w:pPr>
            <w:r>
              <w:rPr>
                <w:rFonts w:ascii="Arial" w:cs="Arial" w:eastAsia="Arial" w:hAnsi="Arial"/>
                <w:sz w:val="18"/>
                <w:szCs w:val="18"/>
                <w:color w:val="auto"/>
              </w:rPr>
              <w:t>—</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Following is a description of the valuation methodologies used for assets measured at fair value on a recurring basis as well as the general classification of such assets pursuant to the valuation hierarchy.</w:t>
      </w:r>
    </w:p>
    <w:p>
      <w:pPr>
        <w:spacing w:after="0" w:line="140"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i w:val="1"/>
          <w:iCs w:val="1"/>
          <w:color w:val="auto"/>
        </w:rPr>
        <w:t>Common Stock</w:t>
      </w:r>
      <w:r>
        <w:rPr>
          <w:rFonts w:ascii="Arial" w:cs="Arial" w:eastAsia="Arial" w:hAnsi="Arial"/>
          <w:sz w:val="18"/>
          <w:szCs w:val="18"/>
          <w:color w:val="auto"/>
        </w:rPr>
        <w:t>: The fair value of common stock investments is determined by obtaining quoted prices on nationally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exchanges (Level 1 inputs).</w:t>
      </w:r>
    </w:p>
    <w:p>
      <w:pPr>
        <w:spacing w:after="0" w:line="140"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i w:val="1"/>
          <w:iCs w:val="1"/>
          <w:color w:val="auto"/>
        </w:rPr>
        <w:t>Mutual Funds</w:t>
      </w:r>
      <w:r>
        <w:rPr>
          <w:rFonts w:ascii="Arial" w:cs="Arial" w:eastAsia="Arial" w:hAnsi="Arial"/>
          <w:sz w:val="18"/>
          <w:szCs w:val="18"/>
          <w:color w:val="auto"/>
        </w:rPr>
        <w:t>: The fair value of mutual fund investments is determined by obtaining quoted prices on nationally recognized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exchanges (Level 1 inputs).</w:t>
      </w:r>
    </w:p>
    <w:p>
      <w:pPr>
        <w:spacing w:after="0" w:line="140"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i w:val="1"/>
          <w:iCs w:val="1"/>
          <w:color w:val="auto"/>
        </w:rPr>
        <w:t>Corporate/government bonds</w:t>
      </w:r>
      <w:r>
        <w:rPr>
          <w:rFonts w:ascii="Arial" w:cs="Arial" w:eastAsia="Arial" w:hAnsi="Arial"/>
          <w:sz w:val="18"/>
          <w:szCs w:val="18"/>
          <w:color w:val="auto"/>
        </w:rPr>
        <w:t>: The fair value of corporate/government bonds is based upon recent bid prices or the average of the recent</w:t>
      </w:r>
      <w:r>
        <w:rPr>
          <w:rFonts w:ascii="Arial" w:cs="Arial" w:eastAsia="Arial" w:hAnsi="Arial"/>
          <w:sz w:val="18"/>
          <w:szCs w:val="18"/>
          <w:i w:val="1"/>
          <w:iCs w:val="1"/>
          <w:color w:val="auto"/>
        </w:rPr>
        <w:t xml:space="preserve"> </w:t>
      </w:r>
      <w:r>
        <w:rPr>
          <w:rFonts w:ascii="Arial" w:cs="Arial" w:eastAsia="Arial" w:hAnsi="Arial"/>
          <w:sz w:val="18"/>
          <w:szCs w:val="18"/>
          <w:color w:val="auto"/>
        </w:rPr>
        <w:t>bid and ask prices when available (Level 2 inputs) and if not available, they are valued through matrix pricing models developed by sources considered by management to be reliable. Matrix pricing, which is a mathematical technique commonly used to price debt securities that are not actively traded, values debt securities without relying exclusively on quoted prices for the specific securities but rather by relying on the securities’ relationship to other benchmark quoted securities (Level 2 inputs).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401(k) Plan</w:t>
      </w:r>
    </w:p>
    <w:p>
      <w:pPr>
        <w:spacing w:after="0" w:line="198"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Company has 401(k) savings plan for salaried and non-salaried employees. Participation in the plan is optional. The Company matches employee contributions up to 3.5% each pay period. The Company's matching contributions for the years ended December 31, 2022, 2021, and 2020, include additional discretionary matching contributions of 1% based on the Company's performance targets for 2021, 2020 and 2019, respectively. The Company made matching contributions of $2,990, $2,579, and $1,997 for the years ended December 31, 2022, 2021, and 2020,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PLANS</w:t>
      </w:r>
    </w:p>
    <w:p>
      <w:pPr>
        <w:spacing w:after="0" w:line="198"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In 2021, the Company adopted the 2021 Omnibus Incentive Plan (the “2021 Plan”), which provides for the grant of restricted stock awards, incentive and nonqualified stock options, and other share-based awards to employees, directors and non-employees. On December 31, 2022, the Company had 8,850,000 shares of common stock reserved for issuance and 5,816,705 shares available for future grants under the 2021 Plan.</w:t>
      </w:r>
    </w:p>
    <w:p>
      <w:pPr>
        <w:spacing w:after="0" w:line="16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198"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Stock option grants generally have an exercise price at least equal to the market value of the underlying common stock on the date of grant, have ten-year terms, and vest ratably over three years of continued employment. In general, vested options expire if not exercised at termination of service. The weighted-average grant-date fair value of stock options granted during the years ended December 31, 2022 and 2021, was $4.65 and $3.88, respectively.</w:t>
      </w:r>
    </w:p>
    <w:p>
      <w:pPr>
        <w:spacing w:after="0" w:line="16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a summary of stock option activity for the year ended December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0" w:right="1020" w:hanging="161"/>
        <w:spacing w:after="0" w:line="245" w:lineRule="auto"/>
        <w:rPr>
          <w:sz w:val="20"/>
          <w:szCs w:val="20"/>
          <w:color w:val="auto"/>
        </w:rPr>
      </w:pPr>
      <w:r>
        <w:rPr>
          <w:rFonts w:ascii="Arial" w:cs="Arial" w:eastAsia="Arial" w:hAnsi="Arial"/>
          <w:sz w:val="18"/>
          <w:szCs w:val="18"/>
          <w:color w:val="auto"/>
        </w:rPr>
        <w:t>Options outstanding on December 31, 2021 Granted</w:t>
      </w:r>
    </w:p>
    <w:p>
      <w:pPr>
        <w:ind w:left="500"/>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Expired</w:t>
      </w:r>
    </w:p>
    <w:p>
      <w:pPr>
        <w:spacing w:after="0" w:line="18" w:lineRule="exact"/>
        <w:rPr>
          <w:sz w:val="20"/>
          <w:szCs w:val="20"/>
          <w:color w:val="auto"/>
        </w:rPr>
      </w:pPr>
    </w:p>
    <w:p>
      <w:pPr>
        <w:ind w:left="340" w:right="1020"/>
        <w:spacing w:after="0" w:line="301" w:lineRule="auto"/>
        <w:rPr>
          <w:sz w:val="20"/>
          <w:szCs w:val="20"/>
          <w:color w:val="auto"/>
        </w:rPr>
      </w:pPr>
      <w:r>
        <w:rPr>
          <w:rFonts w:ascii="Arial" w:cs="Arial" w:eastAsia="Arial" w:hAnsi="Arial"/>
          <w:sz w:val="17"/>
          <w:szCs w:val="17"/>
          <w:color w:val="auto"/>
        </w:rPr>
        <w:t>Options outstanding on December 31, 2022 Options exercisable on December 31, 2022</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Weighted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Weighted</w:t>
            </w:r>
          </w:p>
        </w:tc>
        <w:tc>
          <w:tcPr>
            <w:tcW w:w="13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rPr>
              <w:t>Average</w:t>
            </w:r>
          </w:p>
        </w:tc>
        <w:tc>
          <w:tcPr>
            <w:tcW w:w="120" w:type="dxa"/>
            <w:vAlign w:val="bottom"/>
          </w:tcPr>
          <w:p>
            <w:pPr>
              <w:spacing w:after="0"/>
              <w:rPr>
                <w:sz w:val="17"/>
                <w:szCs w:val="17"/>
                <w:color w:val="auto"/>
              </w:rPr>
            </w:pPr>
          </w:p>
        </w:tc>
        <w:tc>
          <w:tcPr>
            <w:tcW w:w="106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Aggregate</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Remaining</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7"/>
                <w:szCs w:val="17"/>
                <w:color w:val="auto"/>
              </w:rPr>
            </w:pPr>
          </w:p>
        </w:tc>
        <w:tc>
          <w:tcPr>
            <w:tcW w:w="124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98"/>
              </w:rPr>
              <w:t>Average</w:t>
            </w:r>
          </w:p>
        </w:tc>
        <w:tc>
          <w:tcPr>
            <w:tcW w:w="13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Contractual</w:t>
            </w:r>
          </w:p>
        </w:tc>
        <w:tc>
          <w:tcPr>
            <w:tcW w:w="11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Intrinsic Value</w:t>
            </w:r>
          </w:p>
        </w:tc>
        <w:tc>
          <w:tcPr>
            <w:tcW w:w="0" w:type="dxa"/>
            <w:vAlign w:val="bottom"/>
          </w:tcPr>
          <w:p>
            <w:pPr>
              <w:spacing w:after="0"/>
              <w:rPr>
                <w:sz w:val="1"/>
                <w:szCs w:val="1"/>
                <w:color w:val="auto"/>
              </w:rPr>
            </w:pPr>
          </w:p>
        </w:tc>
      </w:tr>
      <w:tr>
        <w:trPr>
          <w:trHeight w:val="221"/>
        </w:trPr>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Stock Options</w:t>
            </w: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Exercise Price</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Term (years)</w:t>
            </w:r>
          </w:p>
        </w:tc>
        <w:tc>
          <w:tcPr>
            <w:tcW w:w="120" w:type="dxa"/>
            <w:vAlign w:val="bottom"/>
          </w:tcPr>
          <w:p>
            <w:pPr>
              <w:spacing w:after="0"/>
              <w:rPr>
                <w:sz w:val="19"/>
                <w:szCs w:val="19"/>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177"/>
        </w:trPr>
        <w:tc>
          <w:tcPr>
            <w:tcW w:w="12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1,386,974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10.50</w:t>
            </w:r>
          </w:p>
        </w:tc>
        <w:tc>
          <w:tcPr>
            <w:tcW w:w="2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592,056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12.12</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(209,417)</w:t>
            </w: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11.20</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(59,923)</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20" w:type="dxa"/>
            <w:vAlign w:val="bottom"/>
            <w:tcBorders>
              <w:top w:val="single" w:sz="8" w:color="auto"/>
              <w:bottom w:val="single" w:sz="8" w:color="auto"/>
            </w:tcBorders>
            <w:gridSpan w:val="2"/>
          </w:tcPr>
          <w:p>
            <w:pPr>
              <w:jc w:val="right"/>
              <w:ind w:right="20"/>
              <w:spacing w:after="0" w:line="182" w:lineRule="exact"/>
              <w:rPr>
                <w:sz w:val="20"/>
                <w:szCs w:val="20"/>
                <w:color w:val="auto"/>
              </w:rPr>
            </w:pPr>
            <w:r>
              <w:rPr>
                <w:rFonts w:ascii="Arial" w:cs="Arial" w:eastAsia="Arial" w:hAnsi="Arial"/>
                <w:sz w:val="18"/>
                <w:szCs w:val="18"/>
                <w:color w:val="auto"/>
              </w:rPr>
              <w:t>1,709,690</w:t>
            </w:r>
          </w:p>
        </w:tc>
        <w:tc>
          <w:tcPr>
            <w:tcW w:w="200" w:type="dxa"/>
            <w:vAlign w:val="bottom"/>
          </w:tcPr>
          <w:p>
            <w:pPr>
              <w:spacing w:after="0"/>
              <w:rPr>
                <w:sz w:val="17"/>
                <w:szCs w:val="17"/>
                <w:color w:val="auto"/>
              </w:rPr>
            </w:pPr>
          </w:p>
        </w:tc>
        <w:tc>
          <w:tcPr>
            <w:tcW w:w="1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10.97</w:t>
            </w:r>
          </w:p>
        </w:tc>
        <w:tc>
          <w:tcPr>
            <w:tcW w:w="134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8.73</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ind w:left="880"/>
              <w:spacing w:after="0" w:line="182" w:lineRule="exact"/>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10.50</w:t>
            </w: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8.55</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ind w:left="8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line="20" w:lineRule="exact"/>
              <w:rPr>
                <w:sz w:val="1"/>
                <w:szCs w:val="1"/>
                <w:color w:val="auto"/>
              </w:rPr>
            </w:pPr>
          </w:p>
        </w:tc>
      </w:tr>
      <w:tr>
        <w:trPr>
          <w:trHeight w:val="219"/>
        </w:trPr>
        <w:tc>
          <w:tcPr>
            <w:tcW w:w="1200" w:type="dxa"/>
            <w:vAlign w:val="bottom"/>
          </w:tcPr>
          <w:p>
            <w:pPr>
              <w:jc w:val="right"/>
              <w:spacing w:after="0"/>
              <w:rPr>
                <w:sz w:val="20"/>
                <w:szCs w:val="20"/>
                <w:color w:val="auto"/>
              </w:rPr>
            </w:pPr>
            <w:r>
              <w:rPr>
                <w:rFonts w:ascii="Arial" w:cs="Arial" w:eastAsia="Arial" w:hAnsi="Arial"/>
                <w:sz w:val="18"/>
                <w:szCs w:val="18"/>
                <w:color w:val="auto"/>
              </w:rPr>
              <w:t>399,840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-570865</wp:posOffset>
            </wp:positionV>
            <wp:extent cx="6772275" cy="1282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72275" cy="128270"/>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-305435</wp:posOffset>
            </wp:positionV>
            <wp:extent cx="677227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4840" w:space="720"/>
            <w:col w:w="5680"/>
          </w:cols>
          <w:pgMar w:left="320" w:top="121" w:right="339" w:bottom="1440" w:gutter="0" w:footer="0" w:header="0"/>
          <w:type w:val="continuous"/>
        </w:sectPr>
      </w:pPr>
    </w:p>
    <w:p>
      <w:pPr>
        <w:jc w:val="both"/>
        <w:ind w:left="340"/>
        <w:spacing w:after="0" w:line="253" w:lineRule="auto"/>
        <w:rPr>
          <w:sz w:val="20"/>
          <w:szCs w:val="20"/>
          <w:color w:val="auto"/>
        </w:rPr>
      </w:pPr>
      <w:r>
        <w:rPr>
          <w:rFonts w:ascii="Arial" w:cs="Arial" w:eastAsia="Arial" w:hAnsi="Arial"/>
          <w:sz w:val="18"/>
          <w:szCs w:val="18"/>
          <w:color w:val="auto"/>
        </w:rPr>
        <w:t>Compensation expense for stock options is recorded based on straight-line amortization of the grant date fair value over the requisite service period. On December 31, 2022, there was $4,085 of unrecognized compensation cost related to unvested stock options that is expected to be recognized over a remaining weighted-average period of 1.79 years.</w:t>
      </w:r>
    </w:p>
    <w:p>
      <w:pPr>
        <w:spacing w:after="0" w:line="155"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fair value of each stock option granted in 2022 and 2021 was estimated on the grant date using a Black-Scholes option pricing model with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020" w:type="dxa"/>
            <w:vAlign w:val="bottom"/>
            <w:gridSpan w:val="4"/>
          </w:tcPr>
          <w:p>
            <w:pPr>
              <w:jc w:val="right"/>
              <w:ind w:right="700"/>
              <w:spacing w:after="0"/>
              <w:rPr>
                <w:sz w:val="20"/>
                <w:szCs w:val="20"/>
                <w:color w:val="auto"/>
              </w:rPr>
            </w:pPr>
            <w:r>
              <w:rPr>
                <w:rFonts w:ascii="Arial" w:cs="Arial" w:eastAsia="Arial" w:hAnsi="Arial"/>
                <w:sz w:val="18"/>
                <w:szCs w:val="18"/>
                <w:color w:val="auto"/>
              </w:rPr>
              <w:t>For the years ended December 31,</w:t>
            </w: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2022</w:t>
            </w:r>
          </w:p>
        </w:tc>
        <w:tc>
          <w:tcPr>
            <w:tcW w:w="260" w:type="dxa"/>
            <w:vAlign w:val="bottom"/>
            <w:tcBorders>
              <w:top w:val="single" w:sz="8" w:color="auto"/>
            </w:tcBorders>
          </w:tcPr>
          <w:p>
            <w:pPr>
              <w:spacing w:after="0"/>
              <w:rPr>
                <w:sz w:val="17"/>
                <w:szCs w:val="17"/>
                <w:color w:val="auto"/>
              </w:rPr>
            </w:pPr>
          </w:p>
        </w:tc>
        <w:tc>
          <w:tcPr>
            <w:tcW w:w="180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expected term</w:t>
            </w:r>
          </w:p>
        </w:tc>
        <w:tc>
          <w:tcPr>
            <w:tcW w:w="4780" w:type="dxa"/>
            <w:vAlign w:val="bottom"/>
            <w:gridSpan w:val="3"/>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6.0</w:t>
            </w:r>
          </w:p>
        </w:tc>
        <w:tc>
          <w:tcPr>
            <w:tcW w:w="19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47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36.0% - 40.0%</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40.3%</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w:t>
            </w:r>
          </w:p>
        </w:tc>
        <w:tc>
          <w:tcPr>
            <w:tcW w:w="27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39"/>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780" w:type="dxa"/>
            <w:vAlign w:val="bottom"/>
            <w:gridSpan w:val="3"/>
          </w:tcPr>
          <w:p>
            <w:pPr>
              <w:jc w:val="right"/>
              <w:ind w:right="100"/>
              <w:spacing w:after="0"/>
              <w:rPr>
                <w:sz w:val="20"/>
                <w:szCs w:val="20"/>
                <w:color w:val="auto"/>
              </w:rPr>
            </w:pPr>
            <w:r>
              <w:rPr>
                <w:rFonts w:ascii="Arial" w:cs="Arial" w:eastAsia="Arial" w:hAnsi="Arial"/>
                <w:sz w:val="18"/>
                <w:szCs w:val="18"/>
                <w:color w:val="auto"/>
              </w:rPr>
              <w:t>1.98% - 3.06%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0.94%</w:t>
            </w:r>
          </w:p>
        </w:tc>
        <w:tc>
          <w:tcPr>
            <w:tcW w:w="240" w:type="dxa"/>
            <w:vAlign w:val="bottom"/>
          </w:tcPr>
          <w:p>
            <w:pPr>
              <w:spacing w:after="0"/>
              <w:rPr>
                <w:sz w:val="20"/>
                <w:szCs w:val="20"/>
                <w:color w:val="auto"/>
              </w:rPr>
            </w:pPr>
          </w:p>
        </w:tc>
      </w:tr>
      <w:tr>
        <w:trPr>
          <w:trHeight w:val="386"/>
        </w:trPr>
        <w:tc>
          <w:tcPr>
            <w:tcW w:w="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720" w:type="dxa"/>
            <w:vAlign w:val="bottom"/>
          </w:tcPr>
          <w:p>
            <w:pPr>
              <w:jc w:val="right"/>
              <w:ind w:right="1170"/>
              <w:spacing w:after="0"/>
              <w:rPr>
                <w:sz w:val="20"/>
                <w:szCs w:val="20"/>
                <w:color w:val="auto"/>
              </w:rPr>
            </w:pPr>
            <w:r>
              <w:rPr>
                <w:rFonts w:ascii="Arial" w:cs="Arial" w:eastAsia="Arial" w:hAnsi="Arial"/>
                <w:sz w:val="18"/>
                <w:szCs w:val="18"/>
                <w:color w:val="auto"/>
              </w:rPr>
              <w:t>82</w:t>
            </w: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92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The expected term has been estimated using a simplified method, which calculates the expected term as the mid-point between the vesting date and the contractual life of the awards since the Company does not have an extended history of actual exercises. The expected dividend yield is assumed to be zero since the Company has never paid dividends and does not have current plans to pay any dividends. The risk-free interest rate is based on yields of U.S. Treasury securities with maturities similar to the expected term of the options. Expected volatility is based on an evenly weighted blend of implied volatility and historical volatility of publicly traded peer companies since the Company has limited historical volatility.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Restricted Stock Units</w:t>
      </w:r>
    </w:p>
    <w:p>
      <w:pPr>
        <w:spacing w:after="0" w:line="198"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Restricted stock units (“RSUs”) vest ratably over one to three years of continued employment. The fair value of a RSU at the grant date is equal to the market price of the Company’s common stock on the grant date. The weighted-average grant-date fair value of RSUs granted during the years ended December 31, 2022 and 2021, was $5.87 and $12.06, respectively. The total fair value of shares vested on the vesting date during the year ended December 31, 2022, was $3,497.</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activities for the Company’s unvested RSUs for the year ended December 31, 2022:</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6720" w:type="dxa"/>
            <w:vAlign w:val="bottom"/>
          </w:tcPr>
          <w:p>
            <w:pPr>
              <w:spacing w:after="0"/>
              <w:rPr>
                <w:sz w:val="19"/>
                <w:szCs w:val="19"/>
                <w:color w:val="auto"/>
              </w:rPr>
            </w:pPr>
          </w:p>
        </w:tc>
        <w:tc>
          <w:tcPr>
            <w:tcW w:w="3940" w:type="dxa"/>
            <w:vAlign w:val="bottom"/>
            <w:gridSpan w:val="6"/>
          </w:tcPr>
          <w:p>
            <w:pPr>
              <w:jc w:val="right"/>
              <w:ind w:right="740"/>
              <w:spacing w:after="0"/>
              <w:rPr>
                <w:sz w:val="20"/>
                <w:szCs w:val="20"/>
                <w:color w:val="auto"/>
              </w:rPr>
            </w:pPr>
            <w:r>
              <w:rPr>
                <w:rFonts w:ascii="Arial" w:cs="Arial" w:eastAsia="Arial" w:hAnsi="Arial"/>
                <w:sz w:val="18"/>
                <w:szCs w:val="18"/>
                <w:color w:val="auto"/>
              </w:rPr>
              <w:t>Unvested Restricted Stock Units</w:t>
            </w:r>
          </w:p>
        </w:tc>
      </w:tr>
      <w:tr>
        <w:trPr>
          <w:trHeight w:val="177"/>
        </w:trPr>
        <w:tc>
          <w:tcPr>
            <w:tcW w:w="672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center"/>
              <w:ind w:right="90"/>
              <w:spacing w:after="0" w:line="177" w:lineRule="exact"/>
              <w:rPr>
                <w:sz w:val="20"/>
                <w:szCs w:val="20"/>
                <w:color w:val="auto"/>
              </w:rPr>
            </w:pPr>
            <w:r>
              <w:rPr>
                <w:rFonts w:ascii="Arial" w:cs="Arial" w:eastAsia="Arial" w:hAnsi="Arial"/>
                <w:sz w:val="18"/>
                <w:szCs w:val="18"/>
                <w:color w:val="auto"/>
                <w:w w:val="99"/>
              </w:rPr>
              <w:t>Weighted</w:t>
            </w:r>
          </w:p>
        </w:tc>
        <w:tc>
          <w:tcPr>
            <w:tcW w:w="100" w:type="dxa"/>
            <w:vAlign w:val="bottom"/>
          </w:tcPr>
          <w:p>
            <w:pPr>
              <w:spacing w:after="0"/>
              <w:rPr>
                <w:sz w:val="15"/>
                <w:szCs w:val="15"/>
                <w:color w:val="auto"/>
              </w:rPr>
            </w:pPr>
          </w:p>
        </w:tc>
      </w:tr>
      <w:tr>
        <w:trPr>
          <w:trHeight w:val="203"/>
        </w:trPr>
        <w:tc>
          <w:tcPr>
            <w:tcW w:w="6720" w:type="dxa"/>
            <w:vAlign w:val="bottom"/>
          </w:tcPr>
          <w:p>
            <w:pPr>
              <w:spacing w:after="0"/>
              <w:rPr>
                <w:sz w:val="17"/>
                <w:szCs w:val="17"/>
                <w:color w:val="auto"/>
              </w:rPr>
            </w:pPr>
          </w:p>
        </w:tc>
        <w:tc>
          <w:tcPr>
            <w:tcW w:w="19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9"/>
              </w:rPr>
              <w:t>Average Grant</w:t>
            </w:r>
          </w:p>
        </w:tc>
      </w:tr>
      <w:tr>
        <w:trPr>
          <w:trHeight w:val="221"/>
        </w:trPr>
        <w:tc>
          <w:tcPr>
            <w:tcW w:w="6720" w:type="dxa"/>
            <w:vAlign w:val="bottom"/>
          </w:tcPr>
          <w:p>
            <w:pPr>
              <w:spacing w:after="0"/>
              <w:rPr>
                <w:sz w:val="19"/>
                <w:szCs w:val="19"/>
                <w:color w:val="auto"/>
              </w:rPr>
            </w:pPr>
          </w:p>
        </w:tc>
        <w:tc>
          <w:tcPr>
            <w:tcW w:w="18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RSUs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Date Fair Value</w:t>
            </w:r>
          </w:p>
        </w:tc>
        <w:tc>
          <w:tcPr>
            <w:tcW w:w="100" w:type="dxa"/>
            <w:vAlign w:val="bottom"/>
          </w:tcPr>
          <w:p>
            <w:pPr>
              <w:spacing w:after="0"/>
              <w:rPr>
                <w:sz w:val="19"/>
                <w:szCs w:val="19"/>
                <w:color w:val="auto"/>
              </w:rPr>
            </w:pPr>
          </w:p>
        </w:tc>
      </w:tr>
      <w:tr>
        <w:trPr>
          <w:trHeight w:val="196"/>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December 31, 2021</w:t>
            </w:r>
          </w:p>
        </w:tc>
        <w:tc>
          <w:tcPr>
            <w:tcW w:w="19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656,485</w:t>
            </w:r>
          </w:p>
        </w:tc>
        <w:tc>
          <w:tcPr>
            <w:tcW w:w="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12.06</w:t>
            </w:r>
          </w:p>
        </w:tc>
      </w:tr>
      <w:tr>
        <w:trPr>
          <w:trHeight w:val="203"/>
        </w:trPr>
        <w:tc>
          <w:tcPr>
            <w:tcW w:w="6720" w:type="dxa"/>
            <w:vAlign w:val="bottom"/>
          </w:tcPr>
          <w:p>
            <w:pPr>
              <w:ind w:left="160"/>
              <w:spacing w:after="0" w:line="202" w:lineRule="exact"/>
              <w:rPr>
                <w:sz w:val="20"/>
                <w:szCs w:val="20"/>
                <w:color w:val="auto"/>
              </w:rPr>
            </w:pPr>
            <w:r>
              <w:rPr>
                <w:rFonts w:ascii="Arial" w:cs="Arial" w:eastAsia="Arial" w:hAnsi="Arial"/>
                <w:sz w:val="18"/>
                <w:szCs w:val="18"/>
                <w:color w:val="auto"/>
              </w:rPr>
              <w:t>Granted</w:t>
            </w:r>
          </w:p>
        </w:tc>
        <w:tc>
          <w:tcPr>
            <w:tcW w:w="1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868,853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5.87</w:t>
            </w:r>
          </w:p>
        </w:tc>
      </w:tr>
      <w:tr>
        <w:trPr>
          <w:trHeight w:val="203"/>
        </w:trPr>
        <w:tc>
          <w:tcPr>
            <w:tcW w:w="6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Vested</w:t>
            </w:r>
          </w:p>
        </w:tc>
        <w:tc>
          <w:tcPr>
            <w:tcW w:w="1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(303,283)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12.06</w:t>
            </w:r>
          </w:p>
        </w:tc>
      </w:tr>
      <w:tr>
        <w:trPr>
          <w:trHeight w:val="203"/>
        </w:trPr>
        <w:tc>
          <w:tcPr>
            <w:tcW w:w="6720" w:type="dxa"/>
            <w:vAlign w:val="bottom"/>
          </w:tcPr>
          <w:p>
            <w:pPr>
              <w:ind w:left="160"/>
              <w:spacing w:after="0" w:line="202" w:lineRule="exact"/>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(113,725)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12.13</w:t>
            </w:r>
          </w:p>
        </w:tc>
      </w:tr>
      <w:tr>
        <w:trPr>
          <w:trHeight w:val="236"/>
        </w:trPr>
        <w:tc>
          <w:tcPr>
            <w:tcW w:w="67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December 31, 2022</w:t>
            </w:r>
          </w:p>
        </w:tc>
        <w:tc>
          <w:tcPr>
            <w:tcW w:w="1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1,108,330</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9.43</w:t>
            </w:r>
          </w:p>
        </w:tc>
      </w:tr>
    </w:tbl>
    <w:p>
      <w:pPr>
        <w:spacing w:after="0" w:line="184"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Compensation expense for RSUs is recorded based on amortization of the grant date fair market value over the period the restrictions lapse. On December 31, 2022, there was $6,262 of unrecognized compensation cost related to unvested RSUs that is expected to be recognized over a remaining weighted-average period of 1.77 years.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Profit Interest Units</w:t>
      </w:r>
    </w:p>
    <w:p>
      <w:pPr>
        <w:spacing w:after="0" w:line="198"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The Holley Stockholder authorized an incentive pool of 41,400,000 units of Holley Stockholder that its management has the right to grant to certain employees of the Company. As of December 31, 2022, no units are available for grant. The units, which are designated as PIU's, are a special type of limited liability company equity unit that allows the recipient to potentially participate in a future increase in the value of the Company. The PIUs were issued for no consideration and generally provided for vesting over a requisite service period, subject to the recipient remaining an employee of the Company through each vesting date. Compensation expense related to PIUs is recorded based on the grant-date fair value over the requisite service period.</w:t>
      </w:r>
    </w:p>
    <w:p>
      <w:pPr>
        <w:spacing w:after="0" w:line="165"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 xml:space="preserve">In October 2022, the Holley Stockholder amended the vesting criteria to allow for immediate vesting of all outstanding and unvested units. The changes to these awards were deemed to be modification events under ASC Subtopic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Accordingly, during the year ended December 31, 2022, the Company recognized catch-up equity-based compensation expense, including incremental fair value resulting from the modification, as applicable to each award grant, amounting to a cumulative adjustment of $11,351 presented in selling, general and administrative expenses.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70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0"/>
        </w:trPr>
        <w:tc>
          <w:tcPr>
            <w:tcW w:w="340" w:type="dxa"/>
            <w:vAlign w:val="bottom"/>
          </w:tcPr>
          <w:p>
            <w:pPr>
              <w:spacing w:after="0"/>
              <w:rPr>
                <w:sz w:val="24"/>
                <w:szCs w:val="24"/>
                <w:color w:val="auto"/>
              </w:rPr>
            </w:pPr>
          </w:p>
        </w:tc>
        <w:tc>
          <w:tcPr>
            <w:tcW w:w="8680" w:type="dxa"/>
            <w:vAlign w:val="bottom"/>
            <w:gridSpan w:val="5"/>
          </w:tcPr>
          <w:p>
            <w:pPr>
              <w:spacing w:after="0"/>
              <w:rPr>
                <w:sz w:val="20"/>
                <w:szCs w:val="20"/>
                <w:color w:val="auto"/>
              </w:rPr>
            </w:pPr>
            <w:r>
              <w:rPr>
                <w:rFonts w:ascii="Arial" w:cs="Arial" w:eastAsia="Arial" w:hAnsi="Arial"/>
                <w:sz w:val="18"/>
                <w:szCs w:val="18"/>
                <w:color w:val="auto"/>
              </w:rPr>
              <w:t>The following table summarizes activities for unvested PIUs for the year ended December 31, 2022: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40" w:type="dxa"/>
            <w:vAlign w:val="bottom"/>
            <w:gridSpan w:val="6"/>
          </w:tcPr>
          <w:p>
            <w:pPr>
              <w:jc w:val="right"/>
              <w:ind w:right="860"/>
              <w:spacing w:after="0"/>
              <w:rPr>
                <w:sz w:val="20"/>
                <w:szCs w:val="20"/>
                <w:color w:val="auto"/>
              </w:rPr>
            </w:pPr>
            <w:r>
              <w:rPr>
                <w:rFonts w:ascii="Arial" w:cs="Arial" w:eastAsia="Arial" w:hAnsi="Arial"/>
                <w:sz w:val="18"/>
                <w:szCs w:val="18"/>
                <w:color w:val="auto"/>
              </w:rPr>
              <w:t>Unvested Profit Interest Units</w:t>
            </w:r>
          </w:p>
        </w:tc>
      </w:tr>
      <w:tr>
        <w:trPr>
          <w:trHeight w:val="177"/>
        </w:trPr>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center"/>
              <w:ind w:right="90"/>
              <w:spacing w:after="0" w:line="177" w:lineRule="exact"/>
              <w:rPr>
                <w:sz w:val="20"/>
                <w:szCs w:val="20"/>
                <w:color w:val="auto"/>
              </w:rPr>
            </w:pPr>
            <w:r>
              <w:rPr>
                <w:rFonts w:ascii="Arial" w:cs="Arial" w:eastAsia="Arial" w:hAnsi="Arial"/>
                <w:sz w:val="18"/>
                <w:szCs w:val="18"/>
                <w:color w:val="auto"/>
                <w:w w:val="99"/>
              </w:rPr>
              <w:t>Weighted</w:t>
            </w:r>
          </w:p>
        </w:tc>
        <w:tc>
          <w:tcPr>
            <w:tcW w:w="100" w:type="dxa"/>
            <w:vAlign w:val="bottom"/>
          </w:tcPr>
          <w:p>
            <w:pPr>
              <w:spacing w:after="0"/>
              <w:rPr>
                <w:sz w:val="15"/>
                <w:szCs w:val="15"/>
                <w:color w:val="auto"/>
              </w:rPr>
            </w:pPr>
          </w:p>
        </w:tc>
      </w:tr>
      <w:tr>
        <w:trPr>
          <w:trHeight w:val="203"/>
        </w:trPr>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9"/>
              </w:rPr>
              <w:t>Average Grant</w:t>
            </w:r>
          </w:p>
        </w:tc>
      </w:tr>
      <w:tr>
        <w:trPr>
          <w:trHeight w:val="221"/>
        </w:trPr>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PIUs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Date Fair Value</w:t>
            </w:r>
          </w:p>
        </w:tc>
        <w:tc>
          <w:tcPr>
            <w:tcW w:w="10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6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December 31, 2021</w:t>
            </w:r>
          </w:p>
        </w:tc>
        <w:tc>
          <w:tcPr>
            <w:tcW w:w="3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36,506,814</w:t>
            </w:r>
          </w:p>
        </w:tc>
        <w:tc>
          <w:tcPr>
            <w:tcW w:w="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0.56</w:t>
            </w:r>
          </w:p>
        </w:tc>
      </w:tr>
      <w:tr>
        <w:trPr>
          <w:trHeight w:val="203"/>
        </w:trPr>
        <w:tc>
          <w:tcPr>
            <w:tcW w:w="340" w:type="dxa"/>
            <w:vAlign w:val="bottom"/>
          </w:tcPr>
          <w:p>
            <w:pPr>
              <w:spacing w:after="0"/>
              <w:rPr>
                <w:sz w:val="17"/>
                <w:szCs w:val="17"/>
                <w:color w:val="auto"/>
              </w:rPr>
            </w:pPr>
          </w:p>
        </w:tc>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Vested</w:t>
            </w:r>
          </w:p>
        </w:tc>
        <w:tc>
          <w:tcPr>
            <w:tcW w:w="300" w:type="dxa"/>
            <w:vAlign w:val="bottom"/>
          </w:tcPr>
          <w:p>
            <w:pPr>
              <w:spacing w:after="0"/>
              <w:rPr>
                <w:sz w:val="17"/>
                <w:szCs w:val="17"/>
                <w:color w:val="auto"/>
              </w:rPr>
            </w:pPr>
          </w:p>
        </w:tc>
        <w:tc>
          <w:tcPr>
            <w:tcW w:w="1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(36,506,814)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0.56</w:t>
            </w:r>
          </w:p>
        </w:tc>
      </w:tr>
      <w:tr>
        <w:trPr>
          <w:trHeight w:val="236"/>
        </w:trPr>
        <w:tc>
          <w:tcPr>
            <w:tcW w:w="340" w:type="dxa"/>
            <w:vAlign w:val="bottom"/>
          </w:tcPr>
          <w:p>
            <w:pPr>
              <w:spacing w:after="0"/>
              <w:rPr>
                <w:sz w:val="20"/>
                <w:szCs w:val="20"/>
                <w:color w:val="auto"/>
              </w:rPr>
            </w:pPr>
          </w:p>
        </w:tc>
        <w:tc>
          <w:tcPr>
            <w:tcW w:w="672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December 31, 2022</w:t>
            </w: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4"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For the years ended December 31, 2022, 2021 and 2020, 36,506,814, 1,693,804, and 1,697,071 PIUs vested with total grant-date fair values of $20,276, $535, and $487, respectively. On December 31, 2022, all PIUs were vested and all compensation expense related to the PIUs has been recognized.</w:t>
      </w:r>
    </w:p>
    <w:p>
      <w:pPr>
        <w:spacing w:after="0" w:line="155"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Holley Stockholder's previously granted PIUs included 24,074,944 units that contained certain performance vesting criteria related to the attainment of specified levels of return for certain other investors in the Holley Stockholder and the occurrence of certain events. Compensation expense for these performance-based awards was not previously recognized, as meeting the necessary performance conditions for vesting was not considered probable. The early vesting of these awards was classified as a Type III: Improbable to Probable modification event under ASC Subtopic 718-10, and the fair value of the modified awards was estimated on the modification date using a Black-Scholes option pricing model. Determining the fair value of PIUs is affected by estimates involving inherent uncertainties, as well as assumptions regarding a number of other complex and subjective variables. These variables include the fair value of the equity unit classes, value adjustments for a reduction in marketability, expected unit price volatility over the expected term of the units, unit redemption and cancellation behaviors, risk-free interest rates and expected dividends. The fair value of PIUs was estimated on the grant date with the following assumptions:</w:t>
      </w:r>
    </w:p>
    <w:p>
      <w:pPr>
        <w:spacing w:after="0" w:line="16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For the years ended December 31,</w:t>
      </w:r>
    </w:p>
    <w:p>
      <w:pPr>
        <w:spacing w:after="0" w:line="14"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55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2022</w:t>
            </w: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2020</w:t>
            </w:r>
          </w:p>
        </w:tc>
        <w:tc>
          <w:tcPr>
            <w:tcW w:w="160" w:type="dxa"/>
            <w:vAlign w:val="bottom"/>
          </w:tcPr>
          <w:p>
            <w:pPr>
              <w:spacing w:after="0"/>
              <w:rPr>
                <w:sz w:val="17"/>
                <w:szCs w:val="17"/>
                <w:color w:val="auto"/>
              </w:rPr>
            </w:pPr>
          </w:p>
        </w:tc>
      </w:tr>
      <w:tr>
        <w:trPr>
          <w:trHeight w:val="196"/>
        </w:trPr>
        <w:tc>
          <w:tcPr>
            <w:tcW w:w="6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Weighted-average expected term</w:t>
            </w:r>
          </w:p>
        </w:tc>
        <w:tc>
          <w:tcPr>
            <w:tcW w:w="70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3.0</w:t>
            </w:r>
          </w:p>
        </w:tc>
        <w:tc>
          <w:tcPr>
            <w:tcW w:w="10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2.0</w:t>
            </w:r>
          </w:p>
        </w:tc>
        <w:tc>
          <w:tcPr>
            <w:tcW w:w="16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3.4</w:t>
            </w: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65.0%</w:t>
            </w:r>
          </w:p>
        </w:tc>
        <w:tc>
          <w:tcPr>
            <w:tcW w:w="102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55.0%</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72.5%</w:t>
            </w:r>
          </w:p>
        </w:tc>
      </w:tr>
      <w:tr>
        <w:trPr>
          <w:trHeight w:val="203"/>
        </w:trPr>
        <w:tc>
          <w:tcPr>
            <w:tcW w:w="6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dividend</w:t>
            </w:r>
          </w:p>
        </w:tc>
        <w:tc>
          <w:tcPr>
            <w:tcW w:w="1720" w:type="dxa"/>
            <w:vAlign w:val="bottom"/>
            <w:gridSpan w:val="3"/>
            <w:shd w:val="clear" w:color="auto" w:fill="CCEEFF"/>
          </w:tcPr>
          <w:p>
            <w:pPr>
              <w:jc w:val="right"/>
              <w:ind w:right="119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39"/>
        </w:trPr>
        <w:tc>
          <w:tcPr>
            <w:tcW w:w="66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0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0.3%</w:t>
            </w:r>
          </w:p>
        </w:tc>
      </w:tr>
    </w:tbl>
    <w:p>
      <w:pPr>
        <w:spacing w:after="0" w:line="147"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expected term has been estimated based on the contractual terms, vesting schedules and expectations of future unit holder behavior. The expected dividend yield is assumed to be zero since the Company has never paid dividends and does not have current plans to pay any dividends. The risk-free interest rate is based on yields of U.S. Treasury securities with maturities similar to the expected term of the options for each option group. As the Holley Stockholder is a private company and does not have a trading history for its equity units, the expected price volatility for the equity units is estimated by taking the average historical price volatility for industry peers. Industry peers, which the Company has designated, consist of several public companies in the industry similar in size, stage of life cycle and financial leverage.</w:t>
      </w:r>
    </w:p>
    <w:p>
      <w:pPr>
        <w:spacing w:after="0" w:line="17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components of share-based compensation expense, included within selling, general and administrative costs in the consolidated statements of comprehensive income,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color w:val="auto"/>
              </w:rPr>
              <w:t>For the years ended December 31,</w:t>
            </w: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2022</w:t>
            </w: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1220" w:type="dxa"/>
            <w:vAlign w:val="bottom"/>
            <w:shd w:val="clear" w:color="auto" w:fill="CCEEFF"/>
          </w:tcPr>
          <w:p>
            <w:pPr>
              <w:jc w:val="right"/>
              <w:ind w:right="10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2,349</w:t>
            </w: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824</w:t>
            </w:r>
          </w:p>
        </w:tc>
        <w:tc>
          <w:tcPr>
            <w:tcW w:w="5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122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4,304</w:t>
            </w:r>
          </w:p>
        </w:tc>
        <w:tc>
          <w:tcPr>
            <w:tcW w:w="40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1,070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Profit interest units</w:t>
            </w:r>
          </w:p>
        </w:tc>
        <w:tc>
          <w:tcPr>
            <w:tcW w:w="1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17,742</w:t>
            </w:r>
          </w:p>
        </w:tc>
        <w:tc>
          <w:tcPr>
            <w:tcW w:w="4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3,069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487</w:t>
            </w:r>
          </w:p>
        </w:tc>
        <w:tc>
          <w:tcPr>
            <w:tcW w:w="240" w:type="dxa"/>
            <w:vAlign w:val="bottom"/>
          </w:tcPr>
          <w:p>
            <w:pPr>
              <w:spacing w:after="0"/>
              <w:rPr>
                <w:sz w:val="17"/>
                <w:szCs w:val="17"/>
                <w:color w:val="auto"/>
              </w:rPr>
            </w:pPr>
          </w:p>
        </w:tc>
      </w:tr>
      <w:tr>
        <w:trPr>
          <w:trHeight w:val="422"/>
        </w:trPr>
        <w:tc>
          <w:tcPr>
            <w:tcW w:w="3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84</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46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0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198"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 xml:space="preserve">On January 1, 2022, the Company adopted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optional transition method provided by ASU 2018-11, </w:t>
      </w:r>
      <w:r>
        <w:rPr>
          <w:rFonts w:ascii="Arial" w:cs="Arial" w:eastAsia="Arial" w:hAnsi="Arial"/>
          <w:sz w:val="18"/>
          <w:szCs w:val="18"/>
          <w:i w:val="1"/>
          <w:iCs w:val="1"/>
          <w:color w:val="auto"/>
        </w:rPr>
        <w:t>Leases (Topic 842)</w:t>
      </w:r>
      <w:r>
        <w:rPr>
          <w:rFonts w:ascii="Arial" w:cs="Arial" w:eastAsia="Arial" w:hAnsi="Arial"/>
          <w:sz w:val="18"/>
          <w:szCs w:val="18"/>
          <w:color w:val="auto"/>
        </w:rPr>
        <w:t>. The effect of applying this guidance resulted in an increase in noncurrent assets for right-of-use assets of$33,887 and an increase in liabilities for associated lease obligations of $34,579, most of which were classified as noncurrent. The adoption of the standard did not result in a cumulative-effect adjustment to the opening balance of retained earnings.</w:t>
      </w:r>
    </w:p>
    <w:p>
      <w:pPr>
        <w:spacing w:after="0" w:line="160"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Under the transition option elected by the Company, ASC Topic 842 is applied only to the most current period and reporting for comparative periods presented in the financial statements continues to be in accordance with ASC Topic 840, </w:t>
      </w:r>
      <w:r>
        <w:rPr>
          <w:rFonts w:ascii="Arial" w:cs="Arial" w:eastAsia="Arial" w:hAnsi="Arial"/>
          <w:sz w:val="18"/>
          <w:szCs w:val="18"/>
          <w:i w:val="1"/>
          <w:iCs w:val="1"/>
          <w:color w:val="auto"/>
        </w:rPr>
        <w:t>Leases</w:t>
      </w:r>
      <w:r>
        <w:rPr>
          <w:rFonts w:ascii="Arial" w:cs="Arial" w:eastAsia="Arial" w:hAnsi="Arial"/>
          <w:sz w:val="18"/>
          <w:szCs w:val="18"/>
          <w:color w:val="auto"/>
        </w:rPr>
        <w:t>, including disclosures. Upon adoption, the Company elected the following practical expedients related to ASC 842:</w:t>
      </w:r>
    </w:p>
    <w:p>
      <w:pPr>
        <w:spacing w:after="0" w:line="155" w:lineRule="exact"/>
        <w:rPr>
          <w:rFonts w:ascii="Arial" w:cs="Arial" w:eastAsia="Arial" w:hAnsi="Arial"/>
          <w:sz w:val="18"/>
          <w:szCs w:val="18"/>
          <w:b w:val="1"/>
          <w:bCs w:val="1"/>
          <w:color w:val="auto"/>
        </w:rPr>
      </w:pPr>
    </w:p>
    <w:p>
      <w:pPr>
        <w:ind w:left="660" w:hanging="328"/>
        <w:spacing w:after="0" w:line="245"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not reassess whether any expired or existing contracts are or contain leases, not reassess the lease classification for any expired or existing leases, and not reassess initial direct costs for any existing leases;</w:t>
      </w:r>
    </w:p>
    <w:p>
      <w:pPr>
        <w:ind w:left="660" w:hanging="328"/>
        <w:spacing w:after="0" w:line="234"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account for the lease and non-lease components as a single lease component for all of the Company's leases; and</w:t>
      </w:r>
    </w:p>
    <w:p>
      <w:pPr>
        <w:ind w:left="660" w:hanging="328"/>
        <w:spacing w:after="0"/>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apply accounting similar to ASC Topic 840 to leases that meet the definition of short-term leases.</w:t>
      </w:r>
    </w:p>
    <w:p>
      <w:pPr>
        <w:spacing w:after="0" w:line="180"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Company leases retail stores, manufacturing, distribution, engineering, and research and development facilities, office space, equipment, and automobiles under operating lease agreements. Leases have remaining lease terms of one to 14 years, inclusive of renewal options that the Company is reasonably certain to exercise. Taxes, insurance and maintenance expenses relating to all leases are obligations of the Company.</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8960" w:type="dxa"/>
            <w:vAlign w:val="bottom"/>
          </w:tcPr>
          <w:p>
            <w:pPr>
              <w:spacing w:after="0"/>
              <w:rPr>
                <w:sz w:val="20"/>
                <w:szCs w:val="20"/>
                <w:color w:val="auto"/>
              </w:rPr>
            </w:pPr>
            <w:r>
              <w:rPr>
                <w:rFonts w:ascii="Arial" w:cs="Arial" w:eastAsia="Arial" w:hAnsi="Arial"/>
                <w:sz w:val="18"/>
                <w:szCs w:val="18"/>
                <w:color w:val="auto"/>
              </w:rPr>
              <w:t>The following table summarizes operating lease assets and obligations: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8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color w:val="auto"/>
              </w:rPr>
              <w:t>December 31,</w:t>
            </w:r>
          </w:p>
        </w:tc>
      </w:tr>
      <w:tr>
        <w:trPr>
          <w:trHeight w:val="221"/>
        </w:trPr>
        <w:tc>
          <w:tcPr>
            <w:tcW w:w="8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960" w:type="dxa"/>
            <w:vAlign w:val="bottom"/>
          </w:tcPr>
          <w:p>
            <w:pPr>
              <w:ind w:left="160"/>
              <w:spacing w:after="0" w:line="202" w:lineRule="exact"/>
              <w:rPr>
                <w:sz w:val="20"/>
                <w:szCs w:val="20"/>
                <w:color w:val="auto"/>
              </w:rPr>
            </w:pPr>
            <w:r>
              <w:rPr>
                <w:rFonts w:ascii="Arial" w:cs="Arial" w:eastAsia="Arial" w:hAnsi="Arial"/>
                <w:sz w:val="18"/>
                <w:szCs w:val="18"/>
                <w:color w:val="auto"/>
              </w:rPr>
              <w:t>Operating right of use assets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29,522</w:t>
            </w:r>
          </w:p>
        </w:tc>
        <w:tc>
          <w:tcPr>
            <w:tcW w:w="100" w:type="dxa"/>
            <w:vAlign w:val="bottom"/>
          </w:tcPr>
          <w:p>
            <w:pPr>
              <w:spacing w:after="0"/>
              <w:rPr>
                <w:sz w:val="17"/>
                <w:szCs w:val="17"/>
                <w:color w:val="auto"/>
              </w:rPr>
            </w:pP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960" w:type="dxa"/>
            <w:vAlign w:val="bottom"/>
          </w:tcPr>
          <w:p>
            <w:pPr>
              <w:ind w:left="160"/>
              <w:spacing w:after="0" w:line="202" w:lineRule="exact"/>
              <w:rPr>
                <w:sz w:val="20"/>
                <w:szCs w:val="20"/>
                <w:color w:val="auto"/>
              </w:rPr>
            </w:pPr>
            <w:r>
              <w:rPr>
                <w:rFonts w:ascii="Arial" w:cs="Arial" w:eastAsia="Arial" w:hAnsi="Arial"/>
                <w:sz w:val="18"/>
                <w:szCs w:val="18"/>
                <w:color w:val="auto"/>
              </w:rPr>
              <w:t>Current operating lease liabilities - Accrued liabilities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5,112</w:t>
            </w:r>
          </w:p>
        </w:tc>
        <w:tc>
          <w:tcPr>
            <w:tcW w:w="100" w:type="dxa"/>
            <w:vAlign w:val="bottom"/>
          </w:tcPr>
          <w:p>
            <w:pPr>
              <w:spacing w:after="0"/>
              <w:rPr>
                <w:sz w:val="17"/>
                <w:szCs w:val="17"/>
                <w:color w:val="auto"/>
              </w:rPr>
            </w:pPr>
          </w:p>
        </w:tc>
      </w:tr>
      <w:tr>
        <w:trPr>
          <w:trHeight w:val="203"/>
        </w:trPr>
        <w:tc>
          <w:tcPr>
            <w:tcW w:w="896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operating lease liabilities - Other noncurrent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24,992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96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30,104</w:t>
            </w:r>
          </w:p>
        </w:tc>
        <w:tc>
          <w:tcPr>
            <w:tcW w:w="100" w:type="dxa"/>
            <w:vAlign w:val="bottom"/>
          </w:tcPr>
          <w:p>
            <w:pPr>
              <w:spacing w:after="0"/>
              <w:rPr>
                <w:sz w:val="17"/>
                <w:szCs w:val="17"/>
                <w:color w:val="auto"/>
              </w:rPr>
            </w:pPr>
          </w:p>
        </w:tc>
      </w:tr>
      <w:tr>
        <w:trPr>
          <w:trHeight w:val="20"/>
        </w:trPr>
        <w:tc>
          <w:tcPr>
            <w:tcW w:w="8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following summarizes the components of operating lease expense and provides supplemental cash flow information for operating leases: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Components of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-118745</wp:posOffset>
            </wp:positionV>
            <wp:extent cx="677227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Operating lease expense</w:t>
      </w:r>
    </w:p>
    <w:p>
      <w:pPr>
        <w:ind w:left="500"/>
        <w:spacing w:after="0"/>
        <w:rPr>
          <w:sz w:val="20"/>
          <w:szCs w:val="20"/>
          <w:color w:val="auto"/>
        </w:rPr>
      </w:pPr>
      <w:r>
        <w:rPr>
          <w:rFonts w:ascii="Arial" w:cs="Arial" w:eastAsia="Arial" w:hAnsi="Arial"/>
          <w:sz w:val="18"/>
          <w:szCs w:val="18"/>
          <w:color w:val="auto"/>
        </w:rPr>
        <w:t>Short-term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77227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Variable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-1905</wp:posOffset>
            </wp:positionV>
            <wp:extent cx="677227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Total lease expense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Supplemental cash flow information related to leases:</w:t>
      </w:r>
    </w:p>
    <w:p>
      <w:pPr>
        <w:ind w:left="500"/>
        <w:spacing w:after="0" w:line="234" w:lineRule="auto"/>
        <w:rPr>
          <w:sz w:val="20"/>
          <w:szCs w:val="20"/>
          <w:color w:val="auto"/>
        </w:rPr>
      </w:pPr>
      <w:r>
        <w:rPr>
          <w:rFonts w:ascii="Arial" w:cs="Arial" w:eastAsia="Arial" w:hAnsi="Arial"/>
          <w:sz w:val="18"/>
          <w:szCs w:val="18"/>
          <w:color w:val="auto"/>
        </w:rPr>
        <w:t>Cash paid for amounts included in measurement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-127000</wp:posOffset>
            </wp:positionV>
            <wp:extent cx="677227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500"/>
        <w:spacing w:after="0" w:line="235" w:lineRule="auto"/>
        <w:rPr>
          <w:sz w:val="20"/>
          <w:szCs w:val="20"/>
          <w:color w:val="auto"/>
        </w:rPr>
      </w:pPr>
      <w:r>
        <w:rPr>
          <w:rFonts w:ascii="Arial" w:cs="Arial" w:eastAsia="Arial" w:hAnsi="Arial"/>
          <w:sz w:val="18"/>
          <w:szCs w:val="18"/>
          <w:color w:val="auto"/>
        </w:rPr>
        <w:t>Right-of-use assets obtained in exchange for new operating lease liabilities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Decapitalization of right-of-use assets upon lease termination and/or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-123190</wp:posOffset>
            </wp:positionV>
            <wp:extent cx="677227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spacing w:after="0" w:line="17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For the year ended</w:t>
      </w:r>
    </w:p>
    <w:p>
      <w:pPr>
        <w:spacing w:after="0" w:line="9"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December 31,</w:t>
      </w:r>
    </w:p>
    <w:p>
      <w:pPr>
        <w:jc w:val="center"/>
        <w:ind w:right="336"/>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198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174" w:lineRule="exact"/>
        <w:rPr>
          <w:sz w:val="20"/>
          <w:szCs w:val="20"/>
          <w:color w:val="auto"/>
        </w:rPr>
      </w:pPr>
    </w:p>
    <w:p>
      <w:pPr>
        <w:ind w:left="1164" w:hanging="1164"/>
        <w:spacing w:after="0"/>
        <w:tabs>
          <w:tab w:leader="none" w:pos="1164" w:val="left"/>
        </w:tabs>
        <w:numPr>
          <w:ilvl w:val="0"/>
          <w:numId w:val="40"/>
        </w:numPr>
        <w:rPr>
          <w:rFonts w:ascii="Arial" w:cs="Arial" w:eastAsia="Arial" w:hAnsi="Arial"/>
          <w:sz w:val="17"/>
          <w:szCs w:val="17"/>
          <w:color w:val="auto"/>
        </w:rPr>
      </w:pPr>
      <w:r>
        <w:rPr>
          <w:rFonts w:ascii="Arial" w:cs="Arial" w:eastAsia="Arial" w:hAnsi="Arial"/>
          <w:sz w:val="17"/>
          <w:szCs w:val="17"/>
          <w:color w:val="auto"/>
        </w:rPr>
        <w:t>7,294</w:t>
      </w:r>
    </w:p>
    <w:p>
      <w:pPr>
        <w:spacing w:after="0" w:line="25" w:lineRule="exact"/>
        <w:rPr>
          <w:rFonts w:ascii="Arial" w:cs="Arial" w:eastAsia="Arial" w:hAnsi="Arial"/>
          <w:sz w:val="17"/>
          <w:szCs w:val="17"/>
          <w:color w:val="auto"/>
        </w:rPr>
      </w:pPr>
    </w:p>
    <w:p>
      <w:pPr>
        <w:ind w:left="1164"/>
        <w:spacing w:after="0"/>
        <w:rPr>
          <w:rFonts w:ascii="Arial" w:cs="Arial" w:eastAsia="Arial" w:hAnsi="Arial"/>
          <w:sz w:val="17"/>
          <w:szCs w:val="17"/>
          <w:color w:val="auto"/>
        </w:rPr>
      </w:pPr>
      <w:r>
        <w:rPr>
          <w:rFonts w:ascii="Arial" w:cs="Arial" w:eastAsia="Arial" w:hAnsi="Arial"/>
          <w:sz w:val="17"/>
          <w:szCs w:val="17"/>
          <w:color w:val="auto"/>
        </w:rPr>
        <w:t>2,402</w:t>
      </w:r>
    </w:p>
    <w:p>
      <w:pPr>
        <w:spacing w:after="0" w:line="7" w:lineRule="exact"/>
        <w:rPr>
          <w:rFonts w:ascii="Arial" w:cs="Arial" w:eastAsia="Arial" w:hAnsi="Arial"/>
          <w:sz w:val="17"/>
          <w:szCs w:val="17"/>
          <w:color w:val="auto"/>
        </w:rPr>
      </w:pPr>
    </w:p>
    <w:p>
      <w:pPr>
        <w:ind w:left="1304"/>
        <w:spacing w:after="0"/>
        <w:rPr>
          <w:rFonts w:ascii="Arial" w:cs="Arial" w:eastAsia="Arial" w:hAnsi="Arial"/>
          <w:sz w:val="17"/>
          <w:szCs w:val="17"/>
          <w:color w:val="auto"/>
        </w:rPr>
      </w:pPr>
      <w:r>
        <w:rPr>
          <w:rFonts w:ascii="Arial" w:cs="Arial" w:eastAsia="Arial" w:hAnsi="Arial"/>
          <w:sz w:val="17"/>
          <w:szCs w:val="17"/>
          <w:color w:val="auto"/>
        </w:rPr>
        <w:t>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10198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1" w:lineRule="exact"/>
        <w:rPr>
          <w:sz w:val="20"/>
          <w:szCs w:val="20"/>
          <w:color w:val="auto"/>
        </w:rPr>
      </w:pPr>
    </w:p>
    <w:p>
      <w:pPr>
        <w:ind w:left="1064" w:hanging="1064"/>
        <w:spacing w:after="0"/>
        <w:tabs>
          <w:tab w:leader="none" w:pos="1064" w:val="left"/>
        </w:tabs>
        <w:numPr>
          <w:ilvl w:val="0"/>
          <w:numId w:val="41"/>
        </w:numPr>
        <w:rPr>
          <w:rFonts w:ascii="Arial" w:cs="Arial" w:eastAsia="Arial" w:hAnsi="Arial"/>
          <w:sz w:val="17"/>
          <w:szCs w:val="17"/>
          <w:color w:val="auto"/>
        </w:rPr>
      </w:pPr>
      <w:r>
        <w:rPr>
          <w:rFonts w:ascii="Arial" w:cs="Arial" w:eastAsia="Arial" w:hAnsi="Arial"/>
          <w:sz w:val="17"/>
          <w:szCs w:val="17"/>
          <w:color w:val="auto"/>
        </w:rPr>
        <w:t>10,459</w:t>
      </w:r>
    </w:p>
    <w:p>
      <w:pPr>
        <w:spacing w:after="0" w:line="232" w:lineRule="exact"/>
        <w:rPr>
          <w:sz w:val="20"/>
          <w:szCs w:val="20"/>
          <w:color w:val="auto"/>
        </w:rPr>
      </w:pPr>
    </w:p>
    <w:p>
      <w:pPr>
        <w:ind w:left="1164" w:hanging="1164"/>
        <w:spacing w:after="0"/>
        <w:tabs>
          <w:tab w:leader="none" w:pos="1164" w:val="left"/>
        </w:tabs>
        <w:numPr>
          <w:ilvl w:val="0"/>
          <w:numId w:val="42"/>
        </w:numPr>
        <w:rPr>
          <w:rFonts w:ascii="Arial" w:cs="Arial" w:eastAsia="Arial" w:hAnsi="Arial"/>
          <w:sz w:val="17"/>
          <w:szCs w:val="17"/>
          <w:color w:val="auto"/>
        </w:rPr>
      </w:pPr>
      <w:r>
        <w:rPr>
          <w:rFonts w:ascii="Arial" w:cs="Arial" w:eastAsia="Arial" w:hAnsi="Arial"/>
          <w:sz w:val="17"/>
          <w:szCs w:val="17"/>
          <w:color w:val="auto"/>
        </w:rPr>
        <w:t>7,311</w:t>
      </w:r>
    </w:p>
    <w:p>
      <w:pPr>
        <w:spacing w:after="0" w:line="25" w:lineRule="exact"/>
        <w:rPr>
          <w:rFonts w:ascii="Arial" w:cs="Arial" w:eastAsia="Arial" w:hAnsi="Arial"/>
          <w:sz w:val="17"/>
          <w:szCs w:val="17"/>
          <w:color w:val="auto"/>
        </w:rPr>
      </w:pPr>
    </w:p>
    <w:p>
      <w:pPr>
        <w:ind w:left="1064"/>
        <w:spacing w:after="0"/>
        <w:rPr>
          <w:rFonts w:ascii="Arial" w:cs="Arial" w:eastAsia="Arial" w:hAnsi="Arial"/>
          <w:sz w:val="17"/>
          <w:szCs w:val="17"/>
          <w:color w:val="auto"/>
        </w:rPr>
      </w:pPr>
      <w:r>
        <w:rPr>
          <w:rFonts w:ascii="Arial" w:cs="Arial" w:eastAsia="Arial" w:hAnsi="Arial"/>
          <w:sz w:val="17"/>
          <w:szCs w:val="17"/>
          <w:color w:val="auto"/>
        </w:rPr>
        <w:t>13,942</w:t>
      </w:r>
    </w:p>
    <w:p>
      <w:pPr>
        <w:spacing w:after="0" w:line="7" w:lineRule="exact"/>
        <w:rPr>
          <w:rFonts w:ascii="Arial" w:cs="Arial" w:eastAsia="Arial" w:hAnsi="Arial"/>
          <w:sz w:val="17"/>
          <w:szCs w:val="17"/>
          <w:color w:val="auto"/>
        </w:rPr>
      </w:pPr>
    </w:p>
    <w:p>
      <w:pPr>
        <w:ind w:left="1064"/>
        <w:spacing w:after="0"/>
        <w:rPr>
          <w:rFonts w:ascii="Arial" w:cs="Arial" w:eastAsia="Arial" w:hAnsi="Arial"/>
          <w:sz w:val="17"/>
          <w:szCs w:val="17"/>
          <w:color w:val="auto"/>
        </w:rPr>
      </w:pPr>
      <w:r>
        <w:rPr>
          <w:rFonts w:ascii="Arial" w:cs="Arial" w:eastAsia="Arial" w:hAnsi="Arial"/>
          <w:sz w:val="17"/>
          <w:szCs w:val="17"/>
          <w:color w:val="auto"/>
        </w:rPr>
        <w:t>12,658</w:t>
      </w:r>
    </w:p>
    <w:p>
      <w:pPr>
        <w:sectPr>
          <w:pgSz w:w="11900" w:h="16838" w:orient="portrait"/>
          <w:cols w:equalWidth="0" w:num="2">
            <w:col w:w="8576" w:space="720"/>
            <w:col w:w="1944"/>
          </w:cols>
          <w:pgMar w:left="320" w:top="121"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associated with the measurement of operating lease obligations as of December 31, 2022, is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7"/>
                <w:szCs w:val="17"/>
                <w:color w:val="auto"/>
              </w:rPr>
            </w:pPr>
          </w:p>
        </w:tc>
      </w:tr>
      <w:tr>
        <w:trPr>
          <w:trHeight w:val="239"/>
        </w:trPr>
        <w:tc>
          <w:tcPr>
            <w:tcW w:w="89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6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5.77%</w:t>
            </w:r>
          </w:p>
        </w:tc>
      </w:tr>
      <w:tr>
        <w:trPr>
          <w:trHeight w:val="386"/>
        </w:trPr>
        <w:tc>
          <w:tcPr>
            <w:tcW w:w="9620" w:type="dxa"/>
            <w:vAlign w:val="bottom"/>
            <w:gridSpan w:val="2"/>
          </w:tcPr>
          <w:p>
            <w:pPr>
              <w:spacing w:after="0"/>
              <w:rPr>
                <w:sz w:val="20"/>
                <w:szCs w:val="20"/>
                <w:color w:val="auto"/>
              </w:rPr>
            </w:pPr>
            <w:r>
              <w:rPr>
                <w:rFonts w:ascii="Arial" w:cs="Arial" w:eastAsia="Arial" w:hAnsi="Arial"/>
                <w:sz w:val="18"/>
                <w:szCs w:val="18"/>
                <w:color w:val="auto"/>
              </w:rPr>
              <w:t>The following table summarizes the maturities of the Company's operating lease liabilities as of December 31, 2022:</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8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66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6,683</w:t>
            </w: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6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5,440</w:t>
            </w: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6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3,861</w:t>
            </w: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6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3,665</w:t>
            </w: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6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3,612</w:t>
            </w:r>
          </w:p>
        </w:tc>
      </w:tr>
      <w:tr>
        <w:trPr>
          <w:trHeight w:val="203"/>
        </w:trPr>
        <w:tc>
          <w:tcPr>
            <w:tcW w:w="89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6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14,713</w:t>
            </w:r>
          </w:p>
        </w:tc>
      </w:tr>
      <w:tr>
        <w:trPr>
          <w:trHeight w:val="20"/>
        </w:trPr>
        <w:tc>
          <w:tcPr>
            <w:tcW w:w="8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6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37,974</w:t>
            </w:r>
          </w:p>
        </w:tc>
      </w:tr>
      <w:tr>
        <w:trPr>
          <w:trHeight w:val="203"/>
        </w:trPr>
        <w:tc>
          <w:tcPr>
            <w:tcW w:w="8960" w:type="dxa"/>
            <w:vAlign w:val="bottom"/>
          </w:tcPr>
          <w:p>
            <w:pPr>
              <w:ind w:left="160"/>
              <w:spacing w:after="0" w:line="202" w:lineRule="exact"/>
              <w:rPr>
                <w:sz w:val="20"/>
                <w:szCs w:val="20"/>
                <w:color w:val="auto"/>
              </w:rPr>
            </w:pPr>
            <w:r>
              <w:rPr>
                <w:rFonts w:ascii="Arial" w:cs="Arial" w:eastAsia="Arial" w:hAnsi="Arial"/>
                <w:sz w:val="18"/>
                <w:szCs w:val="18"/>
                <w:color w:val="auto"/>
              </w:rPr>
              <w:t>Less imputed interest</w:t>
            </w:r>
          </w:p>
        </w:tc>
        <w:tc>
          <w:tcPr>
            <w:tcW w:w="66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(7,870)</w:t>
            </w:r>
          </w:p>
        </w:tc>
      </w:tr>
      <w:tr>
        <w:trPr>
          <w:trHeight w:val="20"/>
        </w:trPr>
        <w:tc>
          <w:tcPr>
            <w:tcW w:w="8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660" w:type="dxa"/>
            <w:vAlign w:val="bottom"/>
            <w:shd w:val="clear" w:color="auto" w:fill="CCEEFF"/>
          </w:tcPr>
          <w:p>
            <w:pPr>
              <w:jc w:val="right"/>
              <w:ind w:right="47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30,104</w:t>
            </w:r>
          </w:p>
        </w:tc>
      </w:tr>
      <w:tr>
        <w:trPr>
          <w:trHeight w:val="20"/>
        </w:trPr>
        <w:tc>
          <w:tcPr>
            <w:tcW w:w="89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For the years ended December 31, 2021 and 2020, total rent expense under operating leases approximated $8,412, and $4,688, respectively.</w:t>
      </w:r>
    </w:p>
    <w:p>
      <w:pPr>
        <w:spacing w:after="0" w:line="140"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Prior to the Company's adoption of ASC Topic 842 on January 1, 2022, the maturity schedule of future minimum non-cancelable lease payments under the Company's operating leases in effect as of December 31, 2021 were as follows:</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8,517</w:t>
            </w: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46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6,320</w:t>
            </w: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4,766</w:t>
            </w: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46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2,995</w:t>
            </w: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2,813</w:t>
            </w: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8,546</w:t>
            </w:r>
          </w:p>
        </w:tc>
      </w:tr>
      <w:tr>
        <w:trPr>
          <w:trHeight w:val="20"/>
        </w:trPr>
        <w:tc>
          <w:tcPr>
            <w:tcW w:w="9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minimum lease commitments</w:t>
            </w:r>
          </w:p>
        </w:tc>
        <w:tc>
          <w:tcPr>
            <w:tcW w:w="460" w:type="dxa"/>
            <w:vAlign w:val="bottom"/>
            <w:shd w:val="clear" w:color="auto" w:fill="CCEEFF"/>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33,957</w:t>
            </w:r>
          </w:p>
        </w:tc>
      </w:tr>
      <w:tr>
        <w:trPr>
          <w:trHeight w:val="20"/>
        </w:trPr>
        <w:tc>
          <w:tcPr>
            <w:tcW w:w="9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MAJOR RESELLER CUSTOMERS</w:t>
      </w:r>
    </w:p>
    <w:p>
      <w:pPr>
        <w:spacing w:after="0" w:line="198"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Company's reseller customers include many large and well-known automotive parts retailers and distributors. The following table summarizes resellers that individually account for more than 5% of the Company’s net sales in any of the periods presented:</w:t>
      </w:r>
    </w:p>
    <w:p>
      <w:pPr>
        <w:spacing w:after="0" w:line="14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For the years ended December 31,</w:t>
      </w:r>
    </w:p>
    <w:p>
      <w:pPr>
        <w:spacing w:after="0" w:line="14"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55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2022</w:t>
            </w: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2020</w:t>
            </w:r>
          </w:p>
        </w:tc>
        <w:tc>
          <w:tcPr>
            <w:tcW w:w="160" w:type="dxa"/>
            <w:vAlign w:val="bottom"/>
          </w:tcPr>
          <w:p>
            <w:pPr>
              <w:spacing w:after="0"/>
              <w:rPr>
                <w:sz w:val="17"/>
                <w:szCs w:val="17"/>
                <w:color w:val="auto"/>
              </w:rPr>
            </w:pPr>
          </w:p>
        </w:tc>
      </w:tr>
      <w:tr>
        <w:trPr>
          <w:trHeight w:val="196"/>
        </w:trPr>
        <w:tc>
          <w:tcPr>
            <w:tcW w:w="6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Customer A</w:t>
            </w: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19.2%</w:t>
            </w:r>
          </w:p>
        </w:tc>
        <w:tc>
          <w:tcPr>
            <w:tcW w:w="10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19.3%</w:t>
            </w:r>
          </w:p>
        </w:tc>
        <w:tc>
          <w:tcPr>
            <w:tcW w:w="1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21.5%</w:t>
            </w:r>
          </w:p>
        </w:tc>
      </w:tr>
      <w:tr>
        <w:trPr>
          <w:trHeight w:val="239"/>
        </w:trPr>
        <w:tc>
          <w:tcPr>
            <w:tcW w:w="66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0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5.4%</w:t>
            </w:r>
          </w:p>
        </w:tc>
      </w:tr>
    </w:tbl>
    <w:p>
      <w:pPr>
        <w:spacing w:after="0" w:line="147"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following reseller customers accounted for 10% or more of the Company’s account receivable balance in any of the periods presented:</w:t>
      </w:r>
    </w:p>
    <w:p>
      <w:pPr>
        <w:spacing w:after="0" w:line="140"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2022</w:t>
            </w:r>
          </w:p>
        </w:tc>
        <w:tc>
          <w:tcPr>
            <w:tcW w:w="4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8340" w:type="dxa"/>
            <w:vAlign w:val="bottom"/>
            <w:gridSpan w:val="2"/>
            <w:shd w:val="clear" w:color="auto" w:fill="CCEEFF"/>
          </w:tcPr>
          <w:p>
            <w:pPr>
              <w:jc w:val="right"/>
              <w:ind w:right="7310"/>
              <w:spacing w:after="0" w:line="196" w:lineRule="exact"/>
              <w:rPr>
                <w:sz w:val="20"/>
                <w:szCs w:val="20"/>
                <w:color w:val="auto"/>
              </w:rPr>
            </w:pPr>
            <w:r>
              <w:rPr>
                <w:rFonts w:ascii="Arial" w:cs="Arial" w:eastAsia="Arial" w:hAnsi="Arial"/>
                <w:sz w:val="18"/>
                <w:szCs w:val="18"/>
                <w:color w:val="auto"/>
                <w:w w:val="96"/>
              </w:rPr>
              <w:t>Customer A</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11.3%</w:t>
            </w:r>
          </w:p>
        </w:tc>
        <w:tc>
          <w:tcPr>
            <w:tcW w:w="1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7.4%</w:t>
            </w:r>
          </w:p>
        </w:tc>
        <w:tc>
          <w:tcPr>
            <w:tcW w:w="240" w:type="dxa"/>
            <w:vAlign w:val="bottom"/>
          </w:tcPr>
          <w:p>
            <w:pPr>
              <w:spacing w:after="0"/>
              <w:rPr>
                <w:sz w:val="17"/>
                <w:szCs w:val="17"/>
                <w:color w:val="auto"/>
              </w:rPr>
            </w:pPr>
          </w:p>
        </w:tc>
      </w:tr>
      <w:tr>
        <w:trPr>
          <w:trHeight w:val="423"/>
        </w:trPr>
        <w:tc>
          <w:tcPr>
            <w:tcW w:w="340" w:type="dxa"/>
            <w:vAlign w:val="bottom"/>
          </w:tcPr>
          <w:p>
            <w:pPr>
              <w:spacing w:after="0"/>
              <w:rPr>
                <w:sz w:val="24"/>
                <w:szCs w:val="24"/>
                <w:color w:val="auto"/>
              </w:rPr>
            </w:pPr>
          </w:p>
        </w:tc>
        <w:tc>
          <w:tcPr>
            <w:tcW w:w="7300" w:type="dxa"/>
            <w:vAlign w:val="bottom"/>
          </w:tcPr>
          <w:p>
            <w:pPr>
              <w:jc w:val="right"/>
              <w:ind w:right="1830"/>
              <w:spacing w:after="0"/>
              <w:rPr>
                <w:sz w:val="20"/>
                <w:szCs w:val="20"/>
                <w:color w:val="auto"/>
              </w:rPr>
            </w:pPr>
            <w:r>
              <w:rPr>
                <w:rFonts w:ascii="Arial" w:cs="Arial" w:eastAsia="Arial" w:hAnsi="Arial"/>
                <w:sz w:val="18"/>
                <w:szCs w:val="18"/>
                <w:color w:val="auto"/>
              </w:rPr>
              <w:t>86</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7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RESTRUCTURING AND MANAGEMENT FEE COSTS</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total acquisition, restructuring and management fee costs: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3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color w:val="auto"/>
              </w:rPr>
              <w:t>For the years ended December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34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2022</w:t>
            </w:r>
          </w:p>
        </w:tc>
        <w:tc>
          <w:tcPr>
            <w:tcW w:w="5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14"/>
                <w:szCs w:val="14"/>
                <w:color w:val="auto"/>
              </w:rPr>
              <w:t>(1)</w:t>
            </w:r>
          </w:p>
        </w:tc>
        <w:tc>
          <w:tcPr>
            <w:tcW w:w="1080" w:type="dxa"/>
            <w:vAlign w:val="bottom"/>
            <w:shd w:val="clear" w:color="auto" w:fill="CCEEFF"/>
          </w:tcPr>
          <w:p>
            <w:pPr>
              <w:jc w:val="right"/>
              <w:ind w:right="8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1,887</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5,074</w:t>
            </w:r>
          </w:p>
        </w:tc>
        <w:tc>
          <w:tcPr>
            <w:tcW w:w="58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4,434</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 xml:space="preserve">Restructuring </w:t>
            </w:r>
            <w:r>
              <w:rPr>
                <w:rFonts w:ascii="Arial" w:cs="Arial" w:eastAsia="Arial" w:hAnsi="Arial"/>
                <w:sz w:val="14"/>
                <w:szCs w:val="14"/>
                <w:color w:val="auto"/>
              </w:rPr>
              <w:t>(2)</w:t>
            </w:r>
          </w:p>
        </w:tc>
        <w:tc>
          <w:tcPr>
            <w:tcW w:w="108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2,626</w:t>
            </w:r>
          </w:p>
        </w:tc>
        <w:tc>
          <w:tcPr>
            <w:tcW w:w="3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1,421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5,309</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14"/>
                <w:szCs w:val="14"/>
                <w:color w:val="auto"/>
              </w:rPr>
              <w:t>(3)</w:t>
            </w:r>
          </w:p>
        </w:tc>
        <w:tc>
          <w:tcPr>
            <w:tcW w:w="10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25,789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6,089</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 xml:space="preserve">Earn out adjustment </w:t>
            </w:r>
            <w:r>
              <w:rPr>
                <w:rFonts w:ascii="Arial" w:cs="Arial" w:eastAsia="Arial" w:hAnsi="Arial"/>
                <w:sz w:val="14"/>
                <w:szCs w:val="14"/>
                <w:color w:val="auto"/>
              </w:rPr>
              <w:t>(4)</w:t>
            </w:r>
          </w:p>
        </w:tc>
        <w:tc>
          <w:tcPr>
            <w:tcW w:w="10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17,173</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5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acquisition, restructuring and management fees</w:t>
            </w:r>
          </w:p>
        </w:tc>
        <w:tc>
          <w:tcPr>
            <w:tcW w:w="1080" w:type="dxa"/>
            <w:vAlign w:val="bottom"/>
            <w:shd w:val="clear" w:color="auto" w:fill="CCEEFF"/>
          </w:tcPr>
          <w:p>
            <w:pPr>
              <w:jc w:val="right"/>
              <w:ind w:right="890"/>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4,513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49,457</w:t>
            </w:r>
          </w:p>
        </w:tc>
        <w:tc>
          <w:tcPr>
            <w:tcW w:w="58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15,832</w:t>
            </w: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left="660" w:hanging="328"/>
        <w:spacing w:after="0"/>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Includes professional fees for legal, accounting, consulting, administrative, and other professional services directly attributable to acquisitions.</w:t>
      </w:r>
    </w:p>
    <w:p>
      <w:pPr>
        <w:spacing w:after="0" w:line="21" w:lineRule="exact"/>
        <w:rPr>
          <w:rFonts w:ascii="Arial" w:cs="Arial" w:eastAsia="Arial" w:hAnsi="Arial"/>
          <w:sz w:val="16"/>
          <w:szCs w:val="16"/>
          <w:color w:val="auto"/>
        </w:rPr>
      </w:pPr>
    </w:p>
    <w:p>
      <w:pPr>
        <w:ind w:left="660" w:hanging="328"/>
        <w:spacing w:after="0"/>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Includes costs incurred as part of the restructuring of operations including professional and consulting services.</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Includes acquisition costs and management fees paid to Sentinel Capital Partners, including a fee of $23,275 paid in 2021 upon the Closing of the Business Combination. Director compensation of $180 and $90 attributable to Mr. Basham's and Mr. Coady's service on Holley's Board of Directors paid to Sentinel Capital Partners is included in selling, general, and administrative cost for the years ended December 31, 2022 and 2021.</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 fair value adjustment to the contingent consideration payable from the Simpson acquisition.</w:t>
      </w:r>
    </w:p>
    <w:p>
      <w:pPr>
        <w:spacing w:after="0" w:line="348" w:lineRule="exact"/>
        <w:rPr>
          <w:rFonts w:ascii="Arial" w:cs="Arial" w:eastAsia="Arial" w:hAnsi="Arial"/>
          <w:sz w:val="16"/>
          <w:szCs w:val="16"/>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98"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While the lawsuits and claims against the Company cannot be predicted with certainty, management believes that the ultimate resolution of the matters will not have a material effect on the consolidated financial position or results of operations of the Company.</w:t>
      </w:r>
    </w:p>
    <w:p>
      <w:pPr>
        <w:spacing w:after="0" w:line="155"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155"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consolidated balance sheets.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0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rPr>
              <w:t>For the years ended December 31,</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02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2022</w:t>
            </w: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2021</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7"/>
                <w:szCs w:val="17"/>
                <w:color w:val="auto"/>
              </w:rPr>
            </w:pPr>
          </w:p>
        </w:tc>
      </w:tr>
      <w:tr>
        <w:trPr>
          <w:trHeight w:val="196"/>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080" w:type="dxa"/>
            <w:vAlign w:val="bottom"/>
            <w:shd w:val="clear" w:color="auto" w:fill="CCEEFF"/>
          </w:tcPr>
          <w:p>
            <w:pPr>
              <w:jc w:val="right"/>
              <w:ind w:right="8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3,994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3,989</w:t>
            </w:r>
          </w:p>
        </w:tc>
        <w:tc>
          <w:tcPr>
            <w:tcW w:w="4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3,454</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Accrued for current year warranty claims</w:t>
            </w:r>
          </w:p>
        </w:tc>
        <w:tc>
          <w:tcPr>
            <w:tcW w:w="10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12,261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10,185</w:t>
            </w:r>
          </w:p>
        </w:tc>
        <w:tc>
          <w:tcPr>
            <w:tcW w:w="48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11,251</w:t>
            </w: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Settlement of warranty claims</w:t>
            </w:r>
          </w:p>
        </w:tc>
        <w:tc>
          <w:tcPr>
            <w:tcW w:w="10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(12,671)</w:t>
            </w:r>
          </w:p>
        </w:tc>
        <w:tc>
          <w:tcPr>
            <w:tcW w:w="380" w:type="dxa"/>
            <w:vAlign w:val="bottom"/>
            <w:shd w:val="clear" w:color="auto" w:fill="CCEEFF"/>
          </w:tcPr>
          <w:p>
            <w:pPr>
              <w:spacing w:after="0"/>
              <w:rPr>
                <w:sz w:val="17"/>
                <w:szCs w:val="17"/>
                <w:color w:val="auto"/>
              </w:rPr>
            </w:pPr>
          </w:p>
        </w:tc>
        <w:tc>
          <w:tcPr>
            <w:tcW w:w="152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(10,180)</w:t>
            </w:r>
          </w:p>
        </w:tc>
        <w:tc>
          <w:tcPr>
            <w:tcW w:w="4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(10,716)</w:t>
            </w:r>
          </w:p>
        </w:tc>
      </w:tr>
      <w:tr>
        <w:trPr>
          <w:trHeight w:val="20"/>
        </w:trPr>
        <w:tc>
          <w:tcPr>
            <w:tcW w:w="50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020" w:type="dxa"/>
            <w:vAlign w:val="bottom"/>
          </w:tcPr>
          <w:p>
            <w:pPr>
              <w:spacing w:after="0" w:line="182" w:lineRule="exact"/>
              <w:rPr>
                <w:sz w:val="20"/>
                <w:szCs w:val="20"/>
                <w:color w:val="auto"/>
              </w:rPr>
            </w:pPr>
            <w:r>
              <w:rPr>
                <w:rFonts w:ascii="Arial" w:cs="Arial" w:eastAsia="Arial" w:hAnsi="Arial"/>
                <w:sz w:val="18"/>
                <w:szCs w:val="18"/>
                <w:color w:val="auto"/>
              </w:rPr>
              <w:t>Ending balance</w:t>
            </w:r>
          </w:p>
        </w:tc>
        <w:tc>
          <w:tcPr>
            <w:tcW w:w="1080" w:type="dxa"/>
            <w:vAlign w:val="bottom"/>
          </w:tcPr>
          <w:p>
            <w:pPr>
              <w:jc w:val="right"/>
              <w:ind w:right="890"/>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3,584</w:t>
            </w:r>
          </w:p>
        </w:tc>
        <w:tc>
          <w:tcPr>
            <w:tcW w:w="220" w:type="dxa"/>
            <w:vAlign w:val="bottom"/>
          </w:tcPr>
          <w:p>
            <w:pPr>
              <w:spacing w:after="0"/>
              <w:rPr>
                <w:sz w:val="17"/>
                <w:szCs w:val="17"/>
                <w:color w:val="auto"/>
              </w:rPr>
            </w:pP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3,994</w:t>
            </w:r>
          </w:p>
        </w:tc>
        <w:tc>
          <w:tcPr>
            <w:tcW w:w="180" w:type="dxa"/>
            <w:vAlign w:val="bottom"/>
          </w:tcPr>
          <w:p>
            <w:pPr>
              <w:spacing w:after="0"/>
              <w:rPr>
                <w:sz w:val="17"/>
                <w:szCs w:val="17"/>
                <w:color w:val="auto"/>
              </w:rPr>
            </w:pPr>
          </w:p>
        </w:tc>
        <w:tc>
          <w:tcPr>
            <w:tcW w:w="480" w:type="dxa"/>
            <w:vAlign w:val="bottom"/>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3,989</w:t>
            </w:r>
          </w:p>
        </w:tc>
      </w:tr>
      <w:tr>
        <w:trPr>
          <w:trHeight w:val="20"/>
        </w:trPr>
        <w:tc>
          <w:tcPr>
            <w:tcW w:w="5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w:t>
      </w:r>
    </w:p>
    <w:p>
      <w:pPr>
        <w:spacing w:after="0" w:line="198"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In February 2023, the Company entered into an amendment to its Credit Agreement which, among other things, increases the consolidated net leverage ratio financial covenant level applicable under the Credit Agreement as of the fiscal quarter ending March 31, 2023 through the fiscal quarter ending March 31, 2024 (the “Covenant Relief Period”), to initially 7.25:1.00, and provides for modified step-down levels for such covenant thereafter. As an ongoing condition to the Covenant Relief Period, the Company also agreed to (i) a minimum liquidity test, (ii) an interest coverage test, (iii) an anti-cash hoarding test at any time revolving loans are outstanding, and (iv) additional reporting obligations.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6 - Debt for more information regarding the Company's debt and Credit Agreement.</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320" w:type="dxa"/>
            <w:vAlign w:val="bottom"/>
            <w:gridSpan w:val="44"/>
          </w:tcPr>
          <w:p>
            <w:pPr>
              <w:jc w:val="center"/>
              <w:ind w:right="5120"/>
              <w:spacing w:after="0"/>
              <w:rPr>
                <w:sz w:val="20"/>
                <w:szCs w:val="20"/>
                <w:color w:val="auto"/>
              </w:rPr>
            </w:pPr>
            <w:r>
              <w:rPr>
                <w:rFonts w:ascii="Arial" w:cs="Arial" w:eastAsia="Arial" w:hAnsi="Arial"/>
                <w:sz w:val="18"/>
                <w:szCs w:val="18"/>
                <w:b w:val="1"/>
                <w:bCs w:val="1"/>
                <w:color w:val="auto"/>
                <w:w w:val="99"/>
              </w:rPr>
              <w:t>Exhibit Index</w:t>
            </w:r>
          </w:p>
        </w:tc>
        <w:tc>
          <w:tcPr>
            <w:tcW w:w="0" w:type="dxa"/>
            <w:vAlign w:val="bottom"/>
          </w:tcPr>
          <w:p>
            <w:pPr>
              <w:spacing w:after="0"/>
              <w:rPr>
                <w:sz w:val="1"/>
                <w:szCs w:val="1"/>
                <w:color w:val="auto"/>
              </w:rPr>
            </w:pPr>
          </w:p>
        </w:tc>
      </w:tr>
      <w:tr>
        <w:trPr>
          <w:trHeight w:val="299"/>
        </w:trPr>
        <w:tc>
          <w:tcPr>
            <w:tcW w:w="920" w:type="dxa"/>
            <w:vAlign w:val="bottom"/>
          </w:tcPr>
          <w:p>
            <w:pPr>
              <w:spacing w:after="0"/>
              <w:rPr>
                <w:sz w:val="20"/>
                <w:szCs w:val="20"/>
                <w:color w:val="auto"/>
              </w:rPr>
            </w:pPr>
            <w:r>
              <w:rPr>
                <w:rFonts w:ascii="Arial" w:cs="Arial" w:eastAsia="Arial" w:hAnsi="Arial"/>
                <w:sz w:val="18"/>
                <w:szCs w:val="18"/>
                <w:color w:val="auto"/>
              </w:rPr>
              <w:t>Exhibit No.</w:t>
            </w:r>
          </w:p>
        </w:tc>
        <w:tc>
          <w:tcPr>
            <w:tcW w:w="100" w:type="dxa"/>
            <w:vAlign w:val="bottom"/>
          </w:tcPr>
          <w:p>
            <w:pPr>
              <w:spacing w:after="0"/>
              <w:rPr>
                <w:sz w:val="24"/>
                <w:szCs w:val="24"/>
                <w:color w:val="auto"/>
              </w:rPr>
            </w:pPr>
          </w:p>
        </w:tc>
        <w:tc>
          <w:tcPr>
            <w:tcW w:w="10320" w:type="dxa"/>
            <w:vAlign w:val="bottom"/>
            <w:gridSpan w:val="57"/>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tcBorders>
              <w:top w:val="single" w:sz="8" w:color="auto"/>
            </w:tcBorders>
            <w:gridSpan w:val="56"/>
          </w:tcPr>
          <w:p>
            <w:pPr>
              <w:spacing w:after="0" w:line="169" w:lineRule="exact"/>
              <w:rPr>
                <w:rFonts w:ascii="Arial" w:cs="Arial" w:eastAsia="Arial" w:hAnsi="Arial"/>
                <w:sz w:val="18"/>
                <w:szCs w:val="18"/>
                <w:color w:val="0000EE"/>
              </w:rPr>
            </w:pPr>
            <w:hyperlink r:id="rId96">
              <w:r>
                <w:rPr>
                  <w:rFonts w:ascii="Arial" w:cs="Arial" w:eastAsia="Arial" w:hAnsi="Arial"/>
                  <w:sz w:val="18"/>
                  <w:szCs w:val="18"/>
                  <w:color w:val="0000EE"/>
                </w:rPr>
                <w:t>Agreement and Plan of Merger, dated as of March 11, 2021, by and among Empower Ltd., Empower Merger Sub I Inc.,</w:t>
              </w:r>
            </w:hyperlink>
          </w:p>
        </w:tc>
        <w:tc>
          <w:tcPr>
            <w:tcW w:w="0" w:type="dxa"/>
            <w:vAlign w:val="bottom"/>
          </w:tcPr>
          <w:p>
            <w:pPr>
              <w:spacing w:after="0"/>
              <w:rPr>
                <w:sz w:val="1"/>
                <w:szCs w:val="1"/>
                <w:color w:val="auto"/>
              </w:rPr>
            </w:pPr>
          </w:p>
        </w:tc>
      </w:tr>
      <w:tr>
        <w:trPr>
          <w:trHeight w:val="20"/>
        </w:trPr>
        <w:tc>
          <w:tcPr>
            <w:tcW w:w="9660" w:type="dxa"/>
            <w:vAlign w:val="bottom"/>
            <w:gridSpan w:val="31"/>
          </w:tcPr>
          <w:p>
            <w:pPr>
              <w:spacing w:after="0" w:line="20" w:lineRule="exact"/>
              <w:rPr>
                <w:sz w:val="1"/>
                <w:szCs w:val="1"/>
                <w:color w:val="auto"/>
              </w:rPr>
            </w:pPr>
          </w:p>
        </w:tc>
        <w:tc>
          <w:tcPr>
            <w:tcW w:w="8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86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20" w:type="dxa"/>
            <w:vAlign w:val="bottom"/>
            <w:gridSpan w:val="57"/>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Empower Merger Sub II LLC and Holley Intermediate Holdings, Inc. (incorporated by reference to Exhibit 2.1 to the Company’s</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0100" w:type="dxa"/>
            <w:vAlign w:val="bottom"/>
            <w:tcBorders>
              <w:top w:val="single" w:sz="8" w:color="0000EE"/>
            </w:tcBorders>
            <w:gridSpan w:val="46"/>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Current Report on Form 8-K, filed with the SEC on March 12,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420" w:type="dxa"/>
            <w:vAlign w:val="bottom"/>
            <w:gridSpan w:val="5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320" w:type="dxa"/>
            <w:vAlign w:val="bottom"/>
            <w:gridSpan w:val="57"/>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Certificate of Incorporation of the Company, dated July 16, 2021 (incorporated by reference to Exhibit 3.1 of the Company’s</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526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9"/>
              </w:rPr>
            </w:pPr>
            <w:hyperlink r:id="rId97">
              <w:r>
                <w:rPr>
                  <w:rFonts w:ascii="Arial" w:cs="Arial" w:eastAsia="Arial" w:hAnsi="Arial"/>
                  <w:sz w:val="18"/>
                  <w:szCs w:val="18"/>
                  <w:color w:val="0000EE"/>
                  <w:w w:val="99"/>
                </w:rPr>
                <w:t>Current Report on Form 8-K, filed with the SEC on July 21, 2021).</w:t>
              </w:r>
            </w:hyperlink>
          </w:p>
        </w:tc>
        <w:tc>
          <w:tcPr>
            <w:tcW w:w="4520" w:type="dxa"/>
            <w:vAlign w:val="bottom"/>
            <w:tcBorders>
              <w:top w:val="single" w:sz="8" w:color="0000EE"/>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320" w:type="dxa"/>
            <w:vAlign w:val="bottom"/>
            <w:gridSpan w:val="57"/>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Bylaws of the Company, dated July 16, 2021 (incorporated by reference to Exhibit 3.2 of the Company’s Current Report on Form</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10280" w:type="dxa"/>
            <w:vAlign w:val="bottom"/>
            <w:tcBorders>
              <w:top w:val="single" w:sz="8" w:color="0000EE"/>
            </w:tcBorders>
            <w:gridSpan w:val="55"/>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8-K, filed with the SEC on July 21,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tcBorders>
              <w:top w:val="single" w:sz="8" w:color="0000EE"/>
            </w:tcBorders>
            <w:gridSpan w:val="9"/>
          </w:tcPr>
          <w:p>
            <w:pPr>
              <w:spacing w:after="0" w:line="182" w:lineRule="exact"/>
              <w:rPr>
                <w:rFonts w:ascii="Arial" w:cs="Arial" w:eastAsia="Arial" w:hAnsi="Arial"/>
                <w:sz w:val="18"/>
                <w:szCs w:val="18"/>
                <w:color w:val="0000EE"/>
                <w:w w:val="99"/>
              </w:rPr>
            </w:pPr>
            <w:hyperlink r:id="rId99">
              <w:r>
                <w:rPr>
                  <w:rFonts w:ascii="Arial" w:cs="Arial" w:eastAsia="Arial" w:hAnsi="Arial"/>
                  <w:sz w:val="18"/>
                  <w:szCs w:val="18"/>
                  <w:color w:val="0000EE"/>
                  <w:w w:val="99"/>
                </w:rPr>
                <w:t>Description of Securities (incorporated by</w:t>
              </w:r>
            </w:hyperlink>
          </w:p>
        </w:tc>
        <w:tc>
          <w:tcPr>
            <w:tcW w:w="7040" w:type="dxa"/>
            <w:vAlign w:val="bottom"/>
            <w:gridSpan w:val="48"/>
          </w:tcPr>
          <w:p>
            <w:pPr>
              <w:ind w:left="60"/>
              <w:spacing w:after="0" w:line="182" w:lineRule="exact"/>
              <w:rPr>
                <w:rFonts w:ascii="Arial" w:cs="Arial" w:eastAsia="Arial" w:hAnsi="Arial"/>
                <w:sz w:val="18"/>
                <w:szCs w:val="18"/>
                <w:color w:val="0000EE"/>
              </w:rPr>
            </w:pPr>
            <w:hyperlink r:id="rId99">
              <w:r>
                <w:rPr>
                  <w:rFonts w:ascii="Arial" w:cs="Arial" w:eastAsia="Arial" w:hAnsi="Arial"/>
                  <w:sz w:val="18"/>
                  <w:szCs w:val="18"/>
                  <w:color w:val="0000EE"/>
                </w:rPr>
                <w:t>reference to Exhibit 4.1 of the Company's Annual Report on Form 10-K, filed with the</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20" w:type="dxa"/>
            <w:vAlign w:val="bottom"/>
            <w:tcBorders>
              <w:top w:val="single" w:sz="8" w:color="0000EE"/>
            </w:tcBorders>
            <w:gridSpan w:val="47"/>
          </w:tcPr>
          <w:p>
            <w:pPr>
              <w:spacing w:after="0" w:line="182" w:lineRule="exact"/>
              <w:rPr>
                <w:rFonts w:ascii="Arial" w:cs="Arial" w:eastAsia="Arial" w:hAnsi="Arial"/>
                <w:sz w:val="18"/>
                <w:szCs w:val="18"/>
                <w:color w:val="0000EE"/>
              </w:rPr>
            </w:pPr>
            <w:hyperlink r:id="rId99">
              <w:r>
                <w:rPr>
                  <w:rFonts w:ascii="Arial" w:cs="Arial" w:eastAsia="Arial" w:hAnsi="Arial"/>
                  <w:sz w:val="18"/>
                  <w:szCs w:val="18"/>
                  <w:color w:val="0000EE"/>
                </w:rPr>
                <w:t>SEC on March 15,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5"/>
                <w:szCs w:val="15"/>
                <w:color w:val="auto"/>
              </w:rPr>
            </w:pPr>
          </w:p>
        </w:tc>
        <w:tc>
          <w:tcPr>
            <w:tcW w:w="2040" w:type="dxa"/>
            <w:vAlign w:val="bottom"/>
            <w:tcBorders>
              <w:top w:val="single" w:sz="8" w:color="0000EE"/>
            </w:tcBorders>
            <w:gridSpan w:val="6"/>
          </w:tcPr>
          <w:p>
            <w:pPr>
              <w:spacing w:after="0" w:line="182" w:lineRule="exact"/>
              <w:rPr>
                <w:rFonts w:ascii="Arial" w:cs="Arial" w:eastAsia="Arial" w:hAnsi="Arial"/>
                <w:sz w:val="18"/>
                <w:szCs w:val="18"/>
                <w:color w:val="0000EE"/>
                <w:w w:val="95"/>
              </w:rPr>
            </w:pPr>
            <w:hyperlink r:id="rId100">
              <w:r>
                <w:rPr>
                  <w:rFonts w:ascii="Arial" w:cs="Arial" w:eastAsia="Arial" w:hAnsi="Arial"/>
                  <w:sz w:val="18"/>
                  <w:szCs w:val="18"/>
                  <w:color w:val="0000EE"/>
                  <w:w w:val="95"/>
                </w:rPr>
                <w:t>Warrant Agreement, dated</w:t>
              </w:r>
            </w:hyperlink>
          </w:p>
        </w:tc>
        <w:tc>
          <w:tcPr>
            <w:tcW w:w="120" w:type="dxa"/>
            <w:vAlign w:val="bottom"/>
          </w:tcPr>
          <w:p>
            <w:pPr>
              <w:spacing w:after="0"/>
              <w:rPr>
                <w:sz w:val="15"/>
                <w:szCs w:val="15"/>
                <w:color w:val="auto"/>
              </w:rPr>
            </w:pPr>
          </w:p>
        </w:tc>
        <w:tc>
          <w:tcPr>
            <w:tcW w:w="8160" w:type="dxa"/>
            <w:vAlign w:val="bottom"/>
            <w:gridSpan w:val="50"/>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October 6, 2020, by and between Empower Ltd. and Continental Stock Transfer &amp; Trust Company,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gridSpan w:val="57"/>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as warrant agent (incorporated by reference to Exhibit 4.1 to the Company’s Current Report on Form 8-K, filed with the SEC on</w:t>
              </w:r>
            </w:hyperlink>
          </w:p>
        </w:tc>
        <w:tc>
          <w:tcPr>
            <w:tcW w:w="0" w:type="dxa"/>
            <w:vAlign w:val="bottom"/>
          </w:tcPr>
          <w:p>
            <w:pPr>
              <w:spacing w:after="0"/>
              <w:rPr>
                <w:sz w:val="1"/>
                <w:szCs w:val="1"/>
                <w:color w:val="auto"/>
              </w:rPr>
            </w:pPr>
          </w:p>
        </w:tc>
      </w:tr>
      <w:tr>
        <w:trPr>
          <w:trHeight w:val="163"/>
        </w:trPr>
        <w:tc>
          <w:tcPr>
            <w:tcW w:w="920" w:type="dxa"/>
            <w:vAlign w:val="bottom"/>
            <w:vMerge w:val="restart"/>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4"/>
                <w:szCs w:val="14"/>
                <w:color w:val="auto"/>
              </w:rPr>
            </w:pPr>
          </w:p>
        </w:tc>
        <w:tc>
          <w:tcPr>
            <w:tcW w:w="5960" w:type="dxa"/>
            <w:vAlign w:val="bottom"/>
            <w:tcBorders>
              <w:top w:val="single" w:sz="8" w:color="0000EE"/>
            </w:tcBorders>
            <w:gridSpan w:val="19"/>
          </w:tcPr>
          <w:p>
            <w:pPr>
              <w:spacing w:after="0" w:line="163" w:lineRule="exact"/>
              <w:rPr>
                <w:rFonts w:ascii="Arial" w:cs="Arial" w:eastAsia="Arial" w:hAnsi="Arial"/>
                <w:sz w:val="18"/>
                <w:szCs w:val="18"/>
                <w:color w:val="0000EE"/>
              </w:rPr>
            </w:pPr>
            <w:hyperlink r:id="rId100">
              <w:r>
                <w:rPr>
                  <w:rFonts w:ascii="Arial" w:cs="Arial" w:eastAsia="Arial" w:hAnsi="Arial"/>
                  <w:sz w:val="18"/>
                  <w:szCs w:val="18"/>
                  <w:color w:val="0000EE"/>
                </w:rPr>
                <w:t>October 13, 2020).</w:t>
              </w:r>
            </w:hyperlink>
          </w:p>
        </w:tc>
        <w:tc>
          <w:tcPr>
            <w:tcW w:w="12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Borders>
              <w:top w:val="single" w:sz="8" w:color="0000EE"/>
            </w:tcBorders>
            <w:gridSpan w:val="2"/>
          </w:tcPr>
          <w:p>
            <w:pPr>
              <w:spacing w:after="0" w:line="182"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Specimen Common</w:t>
              </w:r>
            </w:hyperlink>
          </w:p>
        </w:tc>
        <w:tc>
          <w:tcPr>
            <w:tcW w:w="8820" w:type="dxa"/>
            <w:vAlign w:val="bottom"/>
            <w:gridSpan w:val="54"/>
          </w:tcPr>
          <w:p>
            <w:pPr>
              <w:ind w:left="140"/>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Stock Certificate of Holley Inc. (incorporated by reference to Exhibit 4.5 to Amendment No. 1 to the</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8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Company’s Registration Statement on Form S-4/A (File No. 333-255133), filed with the SEC on May 25, 2021).</w:t>
              </w:r>
            </w:hyperlink>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5"/>
                <w:szCs w:val="15"/>
                <w:color w:val="auto"/>
              </w:rPr>
            </w:pPr>
          </w:p>
        </w:tc>
        <w:tc>
          <w:tcPr>
            <w:tcW w:w="780" w:type="dxa"/>
            <w:vAlign w:val="bottom"/>
            <w:tcBorders>
              <w:top w:val="single" w:sz="8" w:color="0000EE"/>
            </w:tcBorders>
            <w:gridSpan w:val="2"/>
          </w:tcPr>
          <w:p>
            <w:pPr>
              <w:spacing w:after="0" w:line="182" w:lineRule="exact"/>
              <w:rPr>
                <w:rFonts w:ascii="Arial" w:cs="Arial" w:eastAsia="Arial" w:hAnsi="Arial"/>
                <w:sz w:val="18"/>
                <w:szCs w:val="18"/>
                <w:color w:val="0000EE"/>
                <w:w w:val="94"/>
              </w:rPr>
            </w:pPr>
            <w:hyperlink r:id="rId100">
              <w:r>
                <w:rPr>
                  <w:rFonts w:ascii="Arial" w:cs="Arial" w:eastAsia="Arial" w:hAnsi="Arial"/>
                  <w:sz w:val="18"/>
                  <w:szCs w:val="18"/>
                  <w:color w:val="0000EE"/>
                  <w:w w:val="94"/>
                </w:rPr>
                <w:t>Specimen</w:t>
              </w:r>
            </w:hyperlink>
          </w:p>
        </w:tc>
        <w:tc>
          <w:tcPr>
            <w:tcW w:w="8040" w:type="dxa"/>
            <w:vAlign w:val="bottom"/>
            <w:tcBorders>
              <w:top w:val="single" w:sz="8" w:color="0000EE"/>
            </w:tcBorders>
            <w:gridSpan w:val="28"/>
          </w:tcPr>
          <w:p>
            <w:pPr>
              <w:ind w:left="80"/>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Warrant Certificate (incorporated by reference to Exhibit 4.3 to Amendment No. 1 to the Company’s</w:t>
              </w:r>
            </w:hyperlink>
          </w:p>
        </w:tc>
        <w:tc>
          <w:tcPr>
            <w:tcW w:w="1500" w:type="dxa"/>
            <w:vAlign w:val="bottom"/>
            <w:gridSpan w:val="27"/>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Registration</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9760" w:type="dxa"/>
            <w:vAlign w:val="bottom"/>
            <w:tcBorders>
              <w:top w:val="single" w:sz="8" w:color="0000EE"/>
            </w:tcBorders>
            <w:gridSpan w:val="37"/>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Statement on Form S-1/A (File No. 333-248899), filed with the SEC on September 25, 2020).</w:t>
              </w:r>
            </w:hyperlink>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320" w:type="dxa"/>
            <w:vAlign w:val="bottom"/>
            <w:gridSpan w:val="57"/>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Amended and Restated Registration Rights Agreement, dated as of July 16, 2021, by and among Empower Sponsor Holdings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20" w:type="dxa"/>
            <w:vAlign w:val="bottom"/>
            <w:tcBorders>
              <w:top w:val="single" w:sz="8" w:color="0000EE"/>
            </w:tcBorders>
            <w:gridSpan w:val="28"/>
            <w:vMerge w:val="restart"/>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LLC, Holley Parent Holdings LLC and Holley Inc. (incorporated by reference to Exhibit 10.5 of the Company’</w:t>
              </w:r>
            </w:hyperlink>
          </w:p>
        </w:tc>
        <w:tc>
          <w:tcPr>
            <w:tcW w:w="20" w:type="dxa"/>
            <w:vAlign w:val="bottom"/>
            <w:vMerge w:val="restart"/>
          </w:tcPr>
          <w:p>
            <w:pPr>
              <w:spacing w:after="0" w:line="20" w:lineRule="exact"/>
              <w:rPr>
                <w:sz w:val="1"/>
                <w:szCs w:val="1"/>
                <w:color w:val="auto"/>
              </w:rPr>
            </w:pPr>
          </w:p>
        </w:tc>
        <w:tc>
          <w:tcPr>
            <w:tcW w:w="180" w:type="dxa"/>
            <w:vAlign w:val="bottom"/>
            <w:tcBorders>
              <w:top w:val="single" w:sz="8" w:color="0000EE"/>
              <w:left w:val="single" w:sz="8" w:color="0000EE"/>
            </w:tcBorders>
            <w:shd w:val="clear" w:color="auto" w:fill="0000EE"/>
          </w:tcPr>
          <w:p>
            <w:pPr>
              <w:spacing w:after="0" w:line="20" w:lineRule="exact"/>
              <w:rPr>
                <w:sz w:val="1"/>
                <w:szCs w:val="1"/>
                <w:color w:val="auto"/>
              </w:rPr>
            </w:pPr>
          </w:p>
        </w:tc>
        <w:tc>
          <w:tcPr>
            <w:tcW w:w="380" w:type="dxa"/>
            <w:vAlign w:val="bottom"/>
            <w:tcBorders>
              <w:top w:val="single" w:sz="8" w:color="0000EE"/>
            </w:tcBorders>
            <w:shd w:val="clear" w:color="auto" w:fill="0000EE"/>
          </w:tcPr>
          <w:p>
            <w:pPr>
              <w:spacing w:after="0" w:line="20" w:lineRule="exact"/>
              <w:rPr>
                <w:sz w:val="1"/>
                <w:szCs w:val="1"/>
                <w:color w:val="auto"/>
              </w:rPr>
            </w:pPr>
          </w:p>
        </w:tc>
        <w:tc>
          <w:tcPr>
            <w:tcW w:w="40" w:type="dxa"/>
            <w:vAlign w:val="bottom"/>
            <w:tcBorders>
              <w:top w:val="single" w:sz="8" w:color="0000EE"/>
            </w:tcBorders>
            <w:shd w:val="clear" w:color="auto" w:fill="0000EE"/>
          </w:tcPr>
          <w:p>
            <w:pPr>
              <w:spacing w:after="0" w:line="20" w:lineRule="exact"/>
              <w:rPr>
                <w:sz w:val="1"/>
                <w:szCs w:val="1"/>
                <w:color w:val="auto"/>
              </w:rPr>
            </w:pPr>
          </w:p>
        </w:tc>
        <w:tc>
          <w:tcPr>
            <w:tcW w:w="220" w:type="dxa"/>
            <w:vAlign w:val="bottom"/>
            <w:tcBorders>
              <w:top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top w:val="single" w:sz="8" w:color="0000EE"/>
            </w:tcBorders>
            <w:gridSpan w:val="2"/>
            <w:shd w:val="clear" w:color="auto" w:fill="0000EE"/>
          </w:tcPr>
          <w:p>
            <w:pPr>
              <w:spacing w:after="0" w:line="20" w:lineRule="exact"/>
              <w:rPr>
                <w:sz w:val="1"/>
                <w:szCs w:val="1"/>
                <w:color w:val="auto"/>
              </w:rPr>
            </w:pPr>
          </w:p>
        </w:tc>
        <w:tc>
          <w:tcPr>
            <w:tcW w:w="60" w:type="dxa"/>
            <w:vAlign w:val="bottom"/>
            <w:tcBorders>
              <w:top w:val="single" w:sz="8" w:color="0000EE"/>
            </w:tcBorders>
            <w:shd w:val="clear" w:color="auto" w:fill="0000EE"/>
          </w:tcPr>
          <w:p>
            <w:pPr>
              <w:spacing w:after="0" w:line="20" w:lineRule="exact"/>
              <w:rPr>
                <w:sz w:val="1"/>
                <w:szCs w:val="1"/>
                <w:color w:val="auto"/>
              </w:rPr>
            </w:pPr>
          </w:p>
        </w:tc>
        <w:tc>
          <w:tcPr>
            <w:tcW w:w="100" w:type="dxa"/>
            <w:vAlign w:val="bottom"/>
            <w:tcBorders>
              <w:top w:val="single" w:sz="8" w:color="0000EE"/>
            </w:tcBorders>
            <w:gridSpan w:val="3"/>
            <w:shd w:val="clear" w:color="auto" w:fill="0000EE"/>
          </w:tcPr>
          <w:p>
            <w:pPr>
              <w:spacing w:after="0" w:line="20" w:lineRule="exact"/>
              <w:rPr>
                <w:sz w:val="1"/>
                <w:szCs w:val="1"/>
                <w:color w:val="auto"/>
              </w:rPr>
            </w:pPr>
          </w:p>
        </w:tc>
        <w:tc>
          <w:tcPr>
            <w:tcW w:w="60" w:type="dxa"/>
            <w:vAlign w:val="bottom"/>
            <w:tcBorders>
              <w:top w:val="single" w:sz="8" w:color="0000EE"/>
            </w:tcBorders>
            <w:shd w:val="clear" w:color="auto" w:fill="0000EE"/>
          </w:tcPr>
          <w:p>
            <w:pPr>
              <w:spacing w:after="0" w:line="20" w:lineRule="exact"/>
              <w:rPr>
                <w:sz w:val="1"/>
                <w:szCs w:val="1"/>
                <w:color w:val="auto"/>
              </w:rPr>
            </w:pPr>
          </w:p>
        </w:tc>
        <w:tc>
          <w:tcPr>
            <w:tcW w:w="20" w:type="dxa"/>
            <w:vAlign w:val="bottom"/>
            <w:tcBorders>
              <w:top w:val="single" w:sz="8" w:color="0000EE"/>
            </w:tcBorders>
            <w:shd w:val="clear" w:color="auto" w:fill="0000EE"/>
          </w:tcPr>
          <w:p>
            <w:pPr>
              <w:spacing w:after="0" w:line="20" w:lineRule="exact"/>
              <w:rPr>
                <w:sz w:val="1"/>
                <w:szCs w:val="1"/>
                <w:color w:val="auto"/>
              </w:rPr>
            </w:pPr>
          </w:p>
        </w:tc>
        <w:tc>
          <w:tcPr>
            <w:tcW w:w="100" w:type="dxa"/>
            <w:vAlign w:val="bottom"/>
            <w:tcBorders>
              <w:top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20" w:type="dxa"/>
            <w:vAlign w:val="bottom"/>
            <w:gridSpan w:val="28"/>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80" w:type="dxa"/>
            <w:vAlign w:val="bottom"/>
            <w:gridSpan w:val="28"/>
          </w:tcPr>
          <w:p>
            <w:pPr>
              <w:spacing w:after="0" w:line="163" w:lineRule="exact"/>
              <w:rPr>
                <w:rFonts w:ascii="Arial" w:cs="Arial" w:eastAsia="Arial" w:hAnsi="Arial"/>
                <w:sz w:val="18"/>
                <w:szCs w:val="18"/>
                <w:color w:val="0000EE"/>
              </w:rPr>
            </w:pPr>
            <w:hyperlink r:id="rId102">
              <w:r>
                <w:rPr>
                  <w:rFonts w:ascii="Arial" w:cs="Arial" w:eastAsia="Arial" w:hAnsi="Arial"/>
                  <w:sz w:val="18"/>
                  <w:szCs w:val="18"/>
                  <w:color w:val="0000EE"/>
                </w:rPr>
                <w:t>s Current Report on</w:t>
              </w:r>
            </w:hyperlink>
          </w:p>
        </w:tc>
        <w:tc>
          <w:tcPr>
            <w:tcW w:w="0" w:type="dxa"/>
            <w:vAlign w:val="bottom"/>
          </w:tcPr>
          <w:p>
            <w:pPr>
              <w:spacing w:after="0"/>
              <w:rPr>
                <w:sz w:val="1"/>
                <w:szCs w:val="1"/>
                <w:color w:val="auto"/>
              </w:rPr>
            </w:pPr>
          </w:p>
        </w:tc>
      </w:tr>
      <w:tr>
        <w:trPr>
          <w:trHeight w:val="163"/>
        </w:trPr>
        <w:tc>
          <w:tcPr>
            <w:tcW w:w="92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80" w:type="dxa"/>
            <w:vAlign w:val="bottom"/>
            <w:tcBorders>
              <w:top w:val="single" w:sz="8" w:color="0000EE"/>
            </w:tcBorders>
            <w:gridSpan w:val="26"/>
          </w:tcPr>
          <w:p>
            <w:pPr>
              <w:spacing w:after="0" w:line="163" w:lineRule="exact"/>
              <w:rPr>
                <w:rFonts w:ascii="Arial" w:cs="Arial" w:eastAsia="Arial" w:hAnsi="Arial"/>
                <w:sz w:val="18"/>
                <w:szCs w:val="18"/>
                <w:color w:val="0000EE"/>
              </w:rPr>
            </w:pPr>
            <w:hyperlink r:id="rId102">
              <w:r>
                <w:rPr>
                  <w:rFonts w:ascii="Arial" w:cs="Arial" w:eastAsia="Arial" w:hAnsi="Arial"/>
                  <w:sz w:val="18"/>
                  <w:szCs w:val="18"/>
                  <w:color w:val="0000EE"/>
                </w:rPr>
                <w:t>Form 8-K, filed with the SEC on July 21, 2021).</w:t>
              </w:r>
            </w:hyperlink>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Stockholders’ Agreement, dated as of July 16,</w:t>
              </w:r>
            </w:hyperlink>
          </w:p>
        </w:tc>
        <w:tc>
          <w:tcPr>
            <w:tcW w:w="6560" w:type="dxa"/>
            <w:vAlign w:val="bottom"/>
            <w:gridSpan w:val="47"/>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2021, by and among Holley Inc., Empower Sponsor Holdings LLC, MidOcean</w:t>
              </w:r>
            </w:hyperlink>
          </w:p>
        </w:tc>
        <w:tc>
          <w:tcPr>
            <w:tcW w:w="0" w:type="dxa"/>
            <w:vAlign w:val="bottom"/>
          </w:tcPr>
          <w:p>
            <w:pPr>
              <w:spacing w:after="0"/>
              <w:rPr>
                <w:sz w:val="1"/>
                <w:szCs w:val="1"/>
                <w:color w:val="auto"/>
              </w:rPr>
            </w:pPr>
          </w:p>
        </w:tc>
      </w:tr>
      <w:tr>
        <w:trPr>
          <w:trHeight w:val="163"/>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40" w:type="dxa"/>
            <w:vAlign w:val="bottom"/>
            <w:tcBorders>
              <w:top w:val="single" w:sz="8" w:color="0000EE"/>
            </w:tcBorders>
            <w:gridSpan w:val="29"/>
          </w:tcPr>
          <w:p>
            <w:pPr>
              <w:spacing w:after="0" w:line="163" w:lineRule="exact"/>
              <w:rPr>
                <w:rFonts w:ascii="Arial" w:cs="Arial" w:eastAsia="Arial" w:hAnsi="Arial"/>
                <w:sz w:val="18"/>
                <w:szCs w:val="18"/>
                <w:color w:val="0000EE"/>
                <w:w w:val="97"/>
              </w:rPr>
            </w:pPr>
            <w:hyperlink r:id="rId103">
              <w:r>
                <w:rPr>
                  <w:rFonts w:ascii="Arial" w:cs="Arial" w:eastAsia="Arial" w:hAnsi="Arial"/>
                  <w:sz w:val="18"/>
                  <w:szCs w:val="18"/>
                  <w:color w:val="0000EE"/>
                  <w:w w:val="97"/>
                </w:rPr>
                <w:t>Partners V, L.P., MidOcean Partners V Executive, L.P., Holley Parent Holdings, LLC, Sentinel Capital Partners</w:t>
              </w:r>
            </w:hyperlink>
          </w:p>
        </w:tc>
        <w:tc>
          <w:tcPr>
            <w:tcW w:w="1240" w:type="dxa"/>
            <w:vAlign w:val="bottom"/>
            <w:tcBorders>
              <w:top w:val="single" w:sz="8" w:color="0000EE"/>
            </w:tcBorders>
            <w:gridSpan w:val="12"/>
          </w:tcPr>
          <w:p>
            <w:pPr>
              <w:ind w:left="140"/>
              <w:spacing w:after="0" w:line="163" w:lineRule="exact"/>
              <w:rPr>
                <w:rFonts w:ascii="Arial" w:cs="Arial" w:eastAsia="Arial" w:hAnsi="Arial"/>
                <w:sz w:val="18"/>
                <w:szCs w:val="18"/>
                <w:color w:val="0000EE"/>
                <w:w w:val="83"/>
              </w:rPr>
            </w:pPr>
            <w:hyperlink r:id="rId103">
              <w:r>
                <w:rPr>
                  <w:rFonts w:ascii="Arial" w:cs="Arial" w:eastAsia="Arial" w:hAnsi="Arial"/>
                  <w:sz w:val="18"/>
                  <w:szCs w:val="18"/>
                  <w:color w:val="0000EE"/>
                  <w:w w:val="83"/>
                </w:rPr>
                <w:t>V, L.P., Sentinel</w:t>
              </w:r>
            </w:hyperlink>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top w:val="single" w:sz="8" w:color="0000EE"/>
            </w:tcBorders>
            <w:gridSpan w:val="41"/>
          </w:tcPr>
          <w:p>
            <w:pPr>
              <w:spacing w:after="0" w:line="182" w:lineRule="exact"/>
              <w:rPr>
                <w:rFonts w:ascii="Arial" w:cs="Arial" w:eastAsia="Arial" w:hAnsi="Arial"/>
                <w:sz w:val="18"/>
                <w:szCs w:val="18"/>
                <w:color w:val="0000EE"/>
                <w:w w:val="99"/>
              </w:rPr>
            </w:pPr>
            <w:hyperlink r:id="rId103">
              <w:r>
                <w:rPr>
                  <w:rFonts w:ascii="Arial" w:cs="Arial" w:eastAsia="Arial" w:hAnsi="Arial"/>
                  <w:sz w:val="18"/>
                  <w:szCs w:val="18"/>
                  <w:color w:val="0000EE"/>
                  <w:w w:val="99"/>
                </w:rPr>
                <w:t>Capital Partners V-A, L.P., and Sentinel Capital Investors V, L.P. (incorporated by reference to Exhibit 10.6 of the Company’s</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92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4"/>
                <w:szCs w:val="14"/>
                <w:color w:val="auto"/>
              </w:rPr>
            </w:pPr>
          </w:p>
        </w:tc>
        <w:tc>
          <w:tcPr>
            <w:tcW w:w="5120" w:type="dxa"/>
            <w:vAlign w:val="bottom"/>
            <w:tcBorders>
              <w:top w:val="single" w:sz="8" w:color="0000EE"/>
            </w:tcBorders>
            <w:gridSpan w:val="14"/>
          </w:tcPr>
          <w:p>
            <w:pPr>
              <w:spacing w:after="0" w:line="163" w:lineRule="exact"/>
              <w:rPr>
                <w:rFonts w:ascii="Arial" w:cs="Arial" w:eastAsia="Arial" w:hAnsi="Arial"/>
                <w:sz w:val="18"/>
                <w:szCs w:val="18"/>
                <w:color w:val="0000EE"/>
                <w:w w:val="98"/>
              </w:rPr>
            </w:pPr>
            <w:hyperlink r:id="rId103">
              <w:r>
                <w:rPr>
                  <w:rFonts w:ascii="Arial" w:cs="Arial" w:eastAsia="Arial" w:hAnsi="Arial"/>
                  <w:sz w:val="18"/>
                  <w:szCs w:val="18"/>
                  <w:color w:val="0000EE"/>
                  <w:w w:val="98"/>
                </w:rPr>
                <w:t>Current Report on Form 8-K, filed with the SEC on July 21, 2021)</w:t>
              </w:r>
            </w:hyperlink>
          </w:p>
        </w:tc>
        <w:tc>
          <w:tcPr>
            <w:tcW w:w="20" w:type="dxa"/>
            <w:vAlign w:val="bottom"/>
          </w:tcPr>
          <w:p>
            <w:pPr>
              <w:spacing w:after="0"/>
              <w:rPr>
                <w:sz w:val="14"/>
                <w:szCs w:val="14"/>
                <w:color w:val="auto"/>
              </w:rPr>
            </w:pPr>
          </w:p>
        </w:tc>
        <w:tc>
          <w:tcPr>
            <w:tcW w:w="100" w:type="dxa"/>
            <w:vAlign w:val="bottom"/>
            <w:tcBorders>
              <w:top w:val="single" w:sz="8" w:color="0000EE"/>
            </w:tcBorders>
          </w:tcPr>
          <w:p>
            <w:pPr>
              <w:jc w:val="right"/>
              <w:spacing w:after="0" w:line="163" w:lineRule="exact"/>
              <w:rPr>
                <w:rFonts w:ascii="Arial" w:cs="Arial" w:eastAsia="Arial" w:hAnsi="Arial"/>
                <w:sz w:val="18"/>
                <w:szCs w:val="18"/>
                <w:color w:val="0000EE"/>
              </w:rPr>
            </w:pPr>
            <w:hyperlink r:id="rId103">
              <w:r>
                <w:rPr>
                  <w:rFonts w:ascii="Arial" w:cs="Arial" w:eastAsia="Arial" w:hAnsi="Arial"/>
                  <w:sz w:val="18"/>
                  <w:szCs w:val="18"/>
                  <w:color w:val="0000EE"/>
                </w:rPr>
                <w:t>.</w:t>
              </w:r>
            </w:hyperlink>
          </w:p>
        </w:tc>
        <w:tc>
          <w:tcPr>
            <w:tcW w:w="840" w:type="dxa"/>
            <w:vAlign w:val="bottom"/>
            <w:tcBorders>
              <w:top w:val="single" w:sz="8" w:color="0000EE"/>
            </w:tcBorders>
            <w:gridSpan w:val="4"/>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300" w:type="dxa"/>
            <w:vAlign w:val="bottom"/>
            <w:tcBorders>
              <w:top w:val="single" w:sz="8" w:color="0000EE"/>
            </w:tcBorders>
            <w:gridSpan w:val="2"/>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gridSpan w:val="4"/>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gridSpan w:val="2"/>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gridSpan w:val="3"/>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tcBorders>
              <w:top w:val="single" w:sz="8" w:color="0000EE"/>
            </w:tcBorders>
            <w:gridSpan w:val="11"/>
            <w:vMerge w:val="restart"/>
          </w:tcPr>
          <w:p>
            <w:pPr>
              <w:spacing w:after="0" w:line="182" w:lineRule="exact"/>
              <w:rPr>
                <w:rFonts w:ascii="Arial" w:cs="Arial" w:eastAsia="Arial" w:hAnsi="Arial"/>
                <w:sz w:val="18"/>
                <w:szCs w:val="18"/>
                <w:color w:val="0000EE"/>
              </w:rPr>
            </w:pPr>
            <w:hyperlink r:id="rId104">
              <w:r>
                <w:rPr>
                  <w:rFonts w:ascii="Arial" w:cs="Arial" w:eastAsia="Arial" w:hAnsi="Arial"/>
                  <w:sz w:val="18"/>
                  <w:szCs w:val="18"/>
                  <w:color w:val="0000EE"/>
                </w:rPr>
                <w:t>Holley 2021 Stock Incentive Plan (incorporated</w:t>
              </w:r>
            </w:hyperlink>
          </w:p>
        </w:tc>
        <w:tc>
          <w:tcPr>
            <w:tcW w:w="180" w:type="dxa"/>
            <w:vAlign w:val="bottom"/>
            <w:tcBorders>
              <w:top w:val="single" w:sz="8" w:color="0000EE"/>
            </w:tcBorders>
            <w:shd w:val="clear" w:color="auto" w:fill="0000EE"/>
          </w:tcPr>
          <w:p>
            <w:pPr>
              <w:spacing w:after="0" w:line="20" w:lineRule="exact"/>
              <w:rPr>
                <w:sz w:val="1"/>
                <w:szCs w:val="1"/>
                <w:color w:val="auto"/>
              </w:rPr>
            </w:pPr>
          </w:p>
        </w:tc>
        <w:tc>
          <w:tcPr>
            <w:tcW w:w="1240" w:type="dxa"/>
            <w:vAlign w:val="bottom"/>
            <w:tcBorders>
              <w:top w:val="single" w:sz="8" w:color="0000EE"/>
            </w:tcBorders>
            <w:gridSpan w:val="3"/>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11"/>
            <w:vMerge w:val="continue"/>
          </w:tcPr>
          <w:p>
            <w:pPr>
              <w:spacing w:after="0"/>
              <w:rPr>
                <w:sz w:val="15"/>
                <w:szCs w:val="15"/>
                <w:color w:val="auto"/>
              </w:rPr>
            </w:pPr>
          </w:p>
        </w:tc>
        <w:tc>
          <w:tcPr>
            <w:tcW w:w="6500" w:type="dxa"/>
            <w:vAlign w:val="bottom"/>
            <w:gridSpan w:val="45"/>
          </w:tcPr>
          <w:p>
            <w:pPr>
              <w:spacing w:after="0" w:line="163" w:lineRule="exact"/>
              <w:rPr>
                <w:rFonts w:ascii="Arial" w:cs="Arial" w:eastAsia="Arial" w:hAnsi="Arial"/>
                <w:sz w:val="18"/>
                <w:szCs w:val="18"/>
                <w:color w:val="0000EE"/>
              </w:rPr>
            </w:pPr>
            <w:hyperlink r:id="rId104">
              <w:r>
                <w:rPr>
                  <w:rFonts w:ascii="Arial" w:cs="Arial" w:eastAsia="Arial" w:hAnsi="Arial"/>
                  <w:sz w:val="18"/>
                  <w:szCs w:val="18"/>
                  <w:color w:val="0000EE"/>
                </w:rPr>
                <w:t>by reference to Exhibit 10.12 of Amendment No. 1 to the Company’s</w:t>
              </w:r>
            </w:hyperlink>
          </w:p>
        </w:tc>
        <w:tc>
          <w:tcPr>
            <w:tcW w:w="0" w:type="dxa"/>
            <w:vAlign w:val="bottom"/>
          </w:tcPr>
          <w:p>
            <w:pPr>
              <w:spacing w:after="0"/>
              <w:rPr>
                <w:sz w:val="1"/>
                <w:szCs w:val="1"/>
                <w:color w:val="auto"/>
              </w:rPr>
            </w:pPr>
          </w:p>
        </w:tc>
      </w:tr>
      <w:tr>
        <w:trPr>
          <w:trHeight w:val="163"/>
        </w:trPr>
        <w:tc>
          <w:tcPr>
            <w:tcW w:w="92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20" w:type="dxa"/>
            <w:vAlign w:val="bottom"/>
            <w:tcBorders>
              <w:top w:val="single" w:sz="8" w:color="0000EE"/>
            </w:tcBorders>
            <w:gridSpan w:val="24"/>
          </w:tcPr>
          <w:p>
            <w:pPr>
              <w:spacing w:after="0" w:line="163" w:lineRule="exact"/>
              <w:rPr>
                <w:rFonts w:ascii="Arial" w:cs="Arial" w:eastAsia="Arial" w:hAnsi="Arial"/>
                <w:sz w:val="18"/>
                <w:szCs w:val="18"/>
                <w:color w:val="0000EE"/>
              </w:rPr>
            </w:pPr>
            <w:hyperlink r:id="rId104">
              <w:r>
                <w:rPr>
                  <w:rFonts w:ascii="Arial" w:cs="Arial" w:eastAsia="Arial" w:hAnsi="Arial"/>
                  <w:sz w:val="18"/>
                  <w:szCs w:val="18"/>
                  <w:color w:val="0000EE"/>
                </w:rPr>
                <w:t>Registration Statement on Form S-4/A, filed with the SEC on May 25, 2021).</w:t>
              </w:r>
            </w:hyperlink>
          </w:p>
        </w:tc>
        <w:tc>
          <w:tcPr>
            <w:tcW w:w="2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#New Executive Agreement, effective July 16, 2021, by and among Holley</w:t>
              </w:r>
            </w:hyperlink>
          </w:p>
        </w:tc>
        <w:tc>
          <w:tcPr>
            <w:tcW w:w="4240" w:type="dxa"/>
            <w:vAlign w:val="bottom"/>
            <w:gridSpan w:val="37"/>
          </w:tcPr>
          <w:p>
            <w:pPr>
              <w:spacing w:after="0" w:line="182" w:lineRule="exact"/>
              <w:rPr>
                <w:rFonts w:ascii="Arial" w:cs="Arial" w:eastAsia="Arial" w:hAnsi="Arial"/>
                <w:sz w:val="18"/>
                <w:szCs w:val="18"/>
                <w:color w:val="0000EE"/>
                <w:w w:val="98"/>
              </w:rPr>
            </w:pPr>
            <w:hyperlink r:id="rId105">
              <w:r>
                <w:rPr>
                  <w:rFonts w:ascii="Arial" w:cs="Arial" w:eastAsia="Arial" w:hAnsi="Arial"/>
                  <w:sz w:val="18"/>
                  <w:szCs w:val="18"/>
                  <w:color w:val="0000EE"/>
                  <w:w w:val="98"/>
                </w:rPr>
                <w:t>Intermediate Holdings Inc. and Thomas W. Tomlinson</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00" w:type="dxa"/>
            <w:vAlign w:val="bottom"/>
            <w:tcBorders>
              <w:top w:val="single" w:sz="8" w:color="0000EE"/>
            </w:tcBorders>
            <w:gridSpan w:val="56"/>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(as assigned to Holley Inc.) (incorporated by reference to Exhibit 10.9 of the Company’s Current Report on Form 8-K, filed with</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5"/>
                <w:szCs w:val="15"/>
                <w:color w:val="auto"/>
              </w:rPr>
            </w:pPr>
          </w:p>
        </w:tc>
        <w:tc>
          <w:tcPr>
            <w:tcW w:w="10080" w:type="dxa"/>
            <w:vAlign w:val="bottom"/>
            <w:tcBorders>
              <w:top w:val="single" w:sz="8" w:color="0000EE"/>
            </w:tcBorders>
            <w:gridSpan w:val="45"/>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the SEC on July 21, 2021).</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#Employment Agreement,</w:t>
              </w:r>
            </w:hyperlink>
          </w:p>
        </w:tc>
        <w:tc>
          <w:tcPr>
            <w:tcW w:w="8160" w:type="dxa"/>
            <w:vAlign w:val="bottom"/>
            <w:gridSpan w:val="50"/>
          </w:tcPr>
          <w:p>
            <w:pPr>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dated as of December 12, 2022, by and between Holley Inc. and Jesse Weaver (incorporated by</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5"/>
                <w:szCs w:val="15"/>
                <w:color w:val="auto"/>
              </w:rPr>
            </w:pPr>
          </w:p>
        </w:tc>
        <w:tc>
          <w:tcPr>
            <w:tcW w:w="9200" w:type="dxa"/>
            <w:vAlign w:val="bottom"/>
            <w:tcBorders>
              <w:top w:val="single" w:sz="8" w:color="0000EE"/>
              <w:bottom w:val="single" w:sz="8" w:color="0000EE"/>
            </w:tcBorders>
            <w:gridSpan w:val="31"/>
          </w:tcPr>
          <w:p>
            <w:pPr>
              <w:spacing w:after="0" w:line="182" w:lineRule="exact"/>
              <w:rPr>
                <w:rFonts w:ascii="Arial" w:cs="Arial" w:eastAsia="Arial" w:hAnsi="Arial"/>
                <w:sz w:val="18"/>
                <w:szCs w:val="18"/>
                <w:color w:val="0000EE"/>
                <w:w w:val="99"/>
              </w:rPr>
            </w:pPr>
            <w:hyperlink r:id="rId106">
              <w:r>
                <w:rPr>
                  <w:rFonts w:ascii="Arial" w:cs="Arial" w:eastAsia="Arial" w:hAnsi="Arial"/>
                  <w:sz w:val="18"/>
                  <w:szCs w:val="18"/>
                  <w:color w:val="0000EE"/>
                  <w:w w:val="99"/>
                </w:rPr>
                <w:t>reference to Exhibit 10.1 to the Company’s Current Report on Form 8-K, filed with the SEC on December 12, 2022).</w:t>
              </w:r>
            </w:hyperlink>
          </w:p>
        </w:tc>
        <w:tc>
          <w:tcPr>
            <w:tcW w:w="600" w:type="dxa"/>
            <w:vAlign w:val="bottom"/>
            <w:tcBorders>
              <w:top w:val="single" w:sz="8" w:color="0000EE"/>
            </w:tcBorders>
            <w:gridSpan w:val="8"/>
          </w:tcPr>
          <w:p>
            <w:pPr>
              <w:spacing w:after="0"/>
              <w:rPr>
                <w:sz w:val="15"/>
                <w:szCs w:val="15"/>
                <w:color w:val="auto"/>
              </w:rPr>
            </w:pPr>
          </w:p>
        </w:tc>
        <w:tc>
          <w:tcPr>
            <w:tcW w:w="1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320" w:type="dxa"/>
            <w:vAlign w:val="bottom"/>
            <w:gridSpan w:val="57"/>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#New Executive Agreement, effective July 16, 2021, by and among Holley Intermediate Holdings Inc. and Sean Crawford (as</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tcBorders>
              <w:top w:val="single" w:sz="8" w:color="0000EE"/>
            </w:tcBorders>
            <w:gridSpan w:val="42"/>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assigned to Holley Inc.) (incorporated by reference to Exhibit 10.11 of the Company’s Current Report on Form 8-K, filed with</w:t>
              </w:r>
            </w:hyperlink>
          </w:p>
        </w:tc>
        <w:tc>
          <w:tcPr>
            <w:tcW w:w="340" w:type="dxa"/>
            <w:vAlign w:val="bottom"/>
            <w:gridSpan w:val="15"/>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the</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18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107">
              <w:r>
                <w:rPr>
                  <w:rFonts w:ascii="Arial" w:cs="Arial" w:eastAsia="Arial" w:hAnsi="Arial"/>
                  <w:sz w:val="18"/>
                  <w:szCs w:val="18"/>
                  <w:color w:val="0000EE"/>
                  <w:w w:val="99"/>
                </w:rPr>
                <w:t>SEC on July 21, 2021).</w:t>
              </w:r>
            </w:hyperlink>
          </w:p>
        </w:tc>
        <w:tc>
          <w:tcPr>
            <w:tcW w:w="8320" w:type="dxa"/>
            <w:vAlign w:val="bottom"/>
            <w:tcBorders>
              <w:top w:val="single" w:sz="8" w:color="0000EE"/>
            </w:tcBorders>
            <w:gridSpan w:val="4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320" w:type="dxa"/>
            <w:vAlign w:val="bottom"/>
            <w:gridSpan w:val="57"/>
          </w:tcPr>
          <w:p>
            <w:pPr>
              <w:spacing w:after="0" w:line="182" w:lineRule="exact"/>
              <w:rPr>
                <w:rFonts w:ascii="Arial" w:cs="Arial" w:eastAsia="Arial" w:hAnsi="Arial"/>
                <w:sz w:val="18"/>
                <w:szCs w:val="18"/>
                <w:color w:val="0000EE"/>
              </w:rPr>
            </w:pPr>
            <w:hyperlink r:id="rId108">
              <w:r>
                <w:rPr>
                  <w:rFonts w:ascii="Arial" w:cs="Arial" w:eastAsia="Arial" w:hAnsi="Arial"/>
                  <w:sz w:val="18"/>
                  <w:szCs w:val="18"/>
                  <w:color w:val="0000EE"/>
                </w:rPr>
                <w:t>#New Executive Agreement, effective July 16, 2021, by and among Holley Intermediate Holdings Inc. and Terrill M. Rutledge (as</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40" w:type="dxa"/>
            <w:vAlign w:val="bottom"/>
            <w:tcBorders>
              <w:top w:val="single" w:sz="8" w:color="0000EE"/>
            </w:tcBorders>
            <w:gridSpan w:val="53"/>
          </w:tcPr>
          <w:p>
            <w:pPr>
              <w:spacing w:after="0" w:line="182" w:lineRule="exact"/>
              <w:rPr>
                <w:rFonts w:ascii="Arial" w:cs="Arial" w:eastAsia="Arial" w:hAnsi="Arial"/>
                <w:sz w:val="18"/>
                <w:szCs w:val="18"/>
                <w:color w:val="0000EE"/>
              </w:rPr>
            </w:pPr>
            <w:hyperlink r:id="rId108">
              <w:r>
                <w:rPr>
                  <w:rFonts w:ascii="Arial" w:cs="Arial" w:eastAsia="Arial" w:hAnsi="Arial"/>
                  <w:sz w:val="18"/>
                  <w:szCs w:val="18"/>
                  <w:color w:val="0000EE"/>
                </w:rPr>
                <w:t>assigned to Holley Inc.) (incorporated by reference to Exhibit 10.12 of the Company’s Current Report on Form 8-K, filed with the</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5"/>
                <w:szCs w:val="15"/>
                <w:color w:val="auto"/>
              </w:rPr>
            </w:pPr>
          </w:p>
        </w:tc>
        <w:tc>
          <w:tcPr>
            <w:tcW w:w="18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108">
              <w:r>
                <w:rPr>
                  <w:rFonts w:ascii="Arial" w:cs="Arial" w:eastAsia="Arial" w:hAnsi="Arial"/>
                  <w:sz w:val="18"/>
                  <w:szCs w:val="18"/>
                  <w:color w:val="0000EE"/>
                  <w:w w:val="99"/>
                </w:rPr>
                <w:t>SEC on July 21, 2021).</w:t>
              </w:r>
            </w:hyperlink>
          </w:p>
        </w:tc>
        <w:tc>
          <w:tcPr>
            <w:tcW w:w="8360" w:type="dxa"/>
            <w:vAlign w:val="bottom"/>
            <w:tcBorders>
              <w:top w:val="single" w:sz="8" w:color="0000EE"/>
            </w:tcBorders>
            <w:gridSpan w:val="47"/>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tcBorders>
              <w:bottom w:val="single" w:sz="8" w:color="0000EE"/>
            </w:tcBorders>
            <w:gridSpan w:val="42"/>
          </w:tcPr>
          <w:p>
            <w:pPr>
              <w:spacing w:after="0" w:line="182" w:lineRule="exact"/>
              <w:rPr>
                <w:rFonts w:ascii="Arial" w:cs="Arial" w:eastAsia="Arial" w:hAnsi="Arial"/>
                <w:sz w:val="18"/>
                <w:szCs w:val="18"/>
                <w:color w:val="0000EE"/>
                <w:w w:val="99"/>
              </w:rPr>
            </w:pPr>
            <w:hyperlink r:id="rId109">
              <w:r>
                <w:rPr>
                  <w:rFonts w:ascii="Arial" w:cs="Arial" w:eastAsia="Arial" w:hAnsi="Arial"/>
                  <w:sz w:val="18"/>
                  <w:szCs w:val="18"/>
                  <w:color w:val="0000EE"/>
                  <w:w w:val="99"/>
                </w:rPr>
                <w:t>#New Executive Agreement, effective July 16, 2021, by and among Holley Intermediate Holdings Inc. and Vinod Nimmagadda</w:t>
              </w:r>
            </w:hyperlink>
          </w:p>
        </w:tc>
        <w:tc>
          <w:tcPr>
            <w:tcW w:w="34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20" w:type="dxa"/>
            <w:vAlign w:val="bottom"/>
            <w:gridSpan w:val="57"/>
          </w:tcPr>
          <w:p>
            <w:pPr>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(as assigned to Holley Inc.) (incorporated by reference to Exhibit 10.13 of the Company’s Current Report on Form 8-K, filed with</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10200" w:type="dxa"/>
            <w:vAlign w:val="bottom"/>
            <w:tcBorders>
              <w:top w:val="single" w:sz="8" w:color="0000EE"/>
            </w:tcBorders>
            <w:gridSpan w:val="51"/>
          </w:tcPr>
          <w:p>
            <w:pPr>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the SEC on July 21, 2021).</w:t>
              </w:r>
            </w:hyperlink>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#Employment Agreement,</w:t>
            </w:r>
          </w:p>
        </w:tc>
        <w:tc>
          <w:tcPr>
            <w:tcW w:w="6040" w:type="dxa"/>
            <w:vAlign w:val="bottom"/>
            <w:tcBorders>
              <w:bottom w:val="single" w:sz="8" w:color="0000EE"/>
            </w:tcBorders>
            <w:gridSpan w:val="17"/>
          </w:tcPr>
          <w:p>
            <w:pPr>
              <w:spacing w:after="0" w:line="182" w:lineRule="exact"/>
              <w:rPr>
                <w:sz w:val="20"/>
                <w:szCs w:val="20"/>
                <w:color w:val="auto"/>
              </w:rPr>
            </w:pPr>
            <w:r>
              <w:rPr>
                <w:rFonts w:ascii="Arial" w:cs="Arial" w:eastAsia="Arial" w:hAnsi="Arial"/>
                <w:sz w:val="18"/>
                <w:szCs w:val="18"/>
                <w:color w:val="0000EE"/>
                <w:w w:val="98"/>
              </w:rPr>
              <w:t>dated as of March 30, 2022, by and between Holley Inc. and Carly Kennedy.</w:t>
            </w:r>
          </w:p>
        </w:tc>
        <w:tc>
          <w:tcPr>
            <w:tcW w:w="2120" w:type="dxa"/>
            <w:vAlign w:val="bottom"/>
            <w:gridSpan w:val="3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10.10</w:t>
            </w:r>
          </w:p>
        </w:tc>
        <w:tc>
          <w:tcPr>
            <w:tcW w:w="100" w:type="dxa"/>
            <w:vAlign w:val="bottom"/>
          </w:tcPr>
          <w:p>
            <w:pPr>
              <w:spacing w:after="0"/>
              <w:rPr>
                <w:sz w:val="15"/>
                <w:szCs w:val="15"/>
                <w:color w:val="auto"/>
              </w:rPr>
            </w:pPr>
          </w:p>
        </w:tc>
        <w:tc>
          <w:tcPr>
            <w:tcW w:w="9460" w:type="dxa"/>
            <w:vAlign w:val="bottom"/>
            <w:tcBorders>
              <w:bottom w:val="single" w:sz="8" w:color="0000EE"/>
            </w:tcBorders>
            <w:gridSpan w:val="33"/>
          </w:tcPr>
          <w:p>
            <w:pPr>
              <w:spacing w:after="0" w:line="182" w:lineRule="exact"/>
              <w:rPr>
                <w:sz w:val="20"/>
                <w:szCs w:val="20"/>
                <w:color w:val="auto"/>
              </w:rPr>
            </w:pPr>
            <w:r>
              <w:rPr>
                <w:rFonts w:ascii="Arial" w:cs="Arial" w:eastAsia="Arial" w:hAnsi="Arial"/>
                <w:sz w:val="18"/>
                <w:szCs w:val="18"/>
                <w:color w:val="0000EE"/>
              </w:rPr>
              <w:t>#Offer Letter, dated as of November 8, 2022, by and between Holley Performance Products, Inc. and Brian Appelgate.</w:t>
            </w:r>
          </w:p>
        </w:tc>
        <w:tc>
          <w:tcPr>
            <w:tcW w:w="86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line="182"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5"/>
                <w:szCs w:val="15"/>
                <w:color w:val="auto"/>
              </w:rPr>
            </w:pPr>
          </w:p>
        </w:tc>
        <w:tc>
          <w:tcPr>
            <w:tcW w:w="10320" w:type="dxa"/>
            <w:vAlign w:val="bottom"/>
            <w:gridSpan w:val="57"/>
          </w:tcPr>
          <w:p>
            <w:pPr>
              <w:spacing w:after="0" w:line="182" w:lineRule="exact"/>
              <w:rPr>
                <w:rFonts w:ascii="Arial" w:cs="Arial" w:eastAsia="Arial" w:hAnsi="Arial"/>
                <w:sz w:val="18"/>
                <w:szCs w:val="18"/>
                <w:color w:val="0000EE"/>
              </w:rPr>
            </w:pPr>
            <w:hyperlink r:id="rId110">
              <w:r>
                <w:rPr>
                  <w:rFonts w:ascii="Arial" w:cs="Arial" w:eastAsia="Arial" w:hAnsi="Arial"/>
                  <w:sz w:val="18"/>
                  <w:szCs w:val="18"/>
                  <w:color w:val="0000EE"/>
                </w:rPr>
                <w:t>#Form of Indemnification Agreement of Holley Inc. (incorporated by reference to Exhibit 10.14 of the Company’s Current Report</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5"/>
                <w:szCs w:val="15"/>
                <w:color w:val="auto"/>
              </w:rPr>
            </w:pPr>
          </w:p>
        </w:tc>
        <w:tc>
          <w:tcPr>
            <w:tcW w:w="882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10">
              <w:r>
                <w:rPr>
                  <w:rFonts w:ascii="Arial" w:cs="Arial" w:eastAsia="Arial" w:hAnsi="Arial"/>
                  <w:sz w:val="18"/>
                  <w:szCs w:val="18"/>
                  <w:color w:val="0000EE"/>
                </w:rPr>
                <w:t>on Form 8-K, filed with the SEC on July 21, 2021).</w:t>
              </w:r>
            </w:hyperlink>
          </w:p>
        </w:tc>
        <w:tc>
          <w:tcPr>
            <w:tcW w:w="820" w:type="dxa"/>
            <w:vAlign w:val="bottom"/>
            <w:tcBorders>
              <w:top w:val="single" w:sz="8" w:color="0000EE"/>
            </w:tcBorders>
            <w:gridSpan w:val="5"/>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gridSpan w:val="7"/>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gridSpan w:val="4"/>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320" w:type="dxa"/>
            <w:vAlign w:val="bottom"/>
            <w:gridSpan w:val="57"/>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#Form of Option Grant Notice and Agreement (incorporated by reference to Exhibit 10.22 of the Company’s Current Report on</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Form 8-K, filed with the SEC on July 21, 2021).</w:t>
              </w:r>
            </w:hyperlink>
          </w:p>
        </w:tc>
        <w:tc>
          <w:tcPr>
            <w:tcW w:w="6260" w:type="dxa"/>
            <w:vAlign w:val="bottom"/>
            <w:tcBorders>
              <w:top w:val="single" w:sz="8" w:color="0000EE"/>
            </w:tcBorders>
            <w:gridSpan w:val="3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320" w:type="dxa"/>
            <w:vAlign w:val="bottom"/>
            <w:gridSpan w:val="57"/>
          </w:tcPr>
          <w:p>
            <w:pPr>
              <w:spacing w:after="0" w:line="182" w:lineRule="exact"/>
              <w:rPr>
                <w:rFonts w:ascii="Arial" w:cs="Arial" w:eastAsia="Arial" w:hAnsi="Arial"/>
                <w:sz w:val="18"/>
                <w:szCs w:val="18"/>
                <w:color w:val="0000EE"/>
              </w:rPr>
            </w:pPr>
            <w:hyperlink r:id="rId112">
              <w:r>
                <w:rPr>
                  <w:rFonts w:ascii="Arial" w:cs="Arial" w:eastAsia="Arial" w:hAnsi="Arial"/>
                  <w:sz w:val="18"/>
                  <w:szCs w:val="18"/>
                  <w:color w:val="0000EE"/>
                </w:rPr>
                <w:t>#Form of Restricted Stock Unit Grant Notice and Agreement (incorporated by reference to Exhibit 10.23 of the Company’s</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5"/>
                <w:szCs w:val="15"/>
                <w:color w:val="auto"/>
              </w:rPr>
            </w:pPr>
          </w:p>
        </w:tc>
        <w:tc>
          <w:tcPr>
            <w:tcW w:w="882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12">
              <w:r>
                <w:rPr>
                  <w:rFonts w:ascii="Arial" w:cs="Arial" w:eastAsia="Arial" w:hAnsi="Arial"/>
                  <w:sz w:val="18"/>
                  <w:szCs w:val="18"/>
                  <w:color w:val="0000EE"/>
                </w:rPr>
                <w:t>Current Report on Form 8-K, filed with the SEC on July 21, 2021).</w:t>
              </w:r>
            </w:hyperlink>
          </w:p>
        </w:tc>
        <w:tc>
          <w:tcPr>
            <w:tcW w:w="820" w:type="dxa"/>
            <w:vAlign w:val="bottom"/>
            <w:tcBorders>
              <w:top w:val="single" w:sz="8" w:color="0000EE"/>
            </w:tcBorders>
            <w:gridSpan w:val="5"/>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60" w:type="dxa"/>
            <w:vAlign w:val="bottom"/>
            <w:gridSpan w:val="8"/>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60" w:type="dxa"/>
            <w:vAlign w:val="bottom"/>
            <w:tcBorders>
              <w:top w:val="single" w:sz="8" w:color="0000EE"/>
            </w:tcBorders>
            <w:gridSpan w:val="17"/>
          </w:tcPr>
          <w:p>
            <w:pPr>
              <w:spacing w:after="0" w:line="182" w:lineRule="exact"/>
              <w:rPr>
                <w:rFonts w:ascii="Arial" w:cs="Arial" w:eastAsia="Arial" w:hAnsi="Arial"/>
                <w:sz w:val="18"/>
                <w:szCs w:val="18"/>
                <w:color w:val="0000EE"/>
                <w:w w:val="98"/>
              </w:rPr>
            </w:pPr>
            <w:hyperlink r:id="rId113">
              <w:r>
                <w:rPr>
                  <w:rFonts w:ascii="Arial" w:cs="Arial" w:eastAsia="Arial" w:hAnsi="Arial"/>
                  <w:sz w:val="18"/>
                  <w:szCs w:val="18"/>
                  <w:color w:val="0000EE"/>
                  <w:w w:val="98"/>
                </w:rPr>
                <w:t>Non-Disclosure Agreement, dated as of August 10, 2021, between</w:t>
              </w:r>
            </w:hyperlink>
          </w:p>
        </w:tc>
        <w:tc>
          <w:tcPr>
            <w:tcW w:w="5060" w:type="dxa"/>
            <w:vAlign w:val="bottom"/>
            <w:gridSpan w:val="40"/>
          </w:tcPr>
          <w:p>
            <w:pPr>
              <w:jc w:val="right"/>
              <w:ind w:right="680"/>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the Company, Sentinel Capital Partners, L.L.C., Owen</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8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Basham and James Coady (incorporated by reference to Exhibit 10.1 of the Company’s Current Report on</w:t>
              </w:r>
            </w:hyperlink>
          </w:p>
        </w:tc>
        <w:tc>
          <w:tcPr>
            <w:tcW w:w="1060" w:type="dxa"/>
            <w:vAlign w:val="bottom"/>
            <w:tcBorders>
              <w:top w:val="single" w:sz="8" w:color="0000EE"/>
            </w:tcBorders>
            <w:gridSpan w:val="9"/>
          </w:tcPr>
          <w:p>
            <w:pPr>
              <w:jc w:val="right"/>
              <w:spacing w:after="0" w:line="182" w:lineRule="exact"/>
              <w:rPr>
                <w:rFonts w:ascii="Arial" w:cs="Arial" w:eastAsia="Arial" w:hAnsi="Arial"/>
                <w:sz w:val="18"/>
                <w:szCs w:val="18"/>
                <w:color w:val="0000EE"/>
                <w:w w:val="88"/>
              </w:rPr>
            </w:pPr>
            <w:hyperlink r:id="rId113">
              <w:r>
                <w:rPr>
                  <w:rFonts w:ascii="Arial" w:cs="Arial" w:eastAsia="Arial" w:hAnsi="Arial"/>
                  <w:sz w:val="18"/>
                  <w:szCs w:val="18"/>
                  <w:color w:val="0000EE"/>
                  <w:w w:val="88"/>
                </w:rPr>
                <w:t>Form 8-K, filed</w:t>
              </w:r>
            </w:hyperlink>
          </w:p>
        </w:tc>
        <w:tc>
          <w:tcPr>
            <w:tcW w:w="680" w:type="dxa"/>
            <w:vAlign w:val="bottom"/>
            <w:gridSpan w:val="22"/>
          </w:tcPr>
          <w:p>
            <w:pPr>
              <w:ind w:left="100"/>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with</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5"/>
                <w:szCs w:val="15"/>
                <w:color w:val="auto"/>
              </w:rPr>
            </w:pPr>
          </w:p>
        </w:tc>
        <w:tc>
          <w:tcPr>
            <w:tcW w:w="24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the SEC on August 12, 2021).</w:t>
              </w:r>
            </w:hyperlink>
          </w:p>
        </w:tc>
        <w:tc>
          <w:tcPr>
            <w:tcW w:w="448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3160" w:type="dxa"/>
            <w:vAlign w:val="bottom"/>
            <w:tcBorders>
              <w:top w:val="single" w:sz="8" w:color="0000EE"/>
            </w:tcBorders>
            <w:gridSpan w:val="22"/>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320" w:type="dxa"/>
            <w:vAlign w:val="bottom"/>
            <w:gridSpan w:val="57"/>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Non-Disclosure Agreement, dated as of August 10, 2021, between the Company, MidOcean US Advisor, LP, Matthew Rubel and</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60" w:type="dxa"/>
            <w:vAlign w:val="bottom"/>
            <w:tcBorders>
              <w:top w:val="single" w:sz="8" w:color="0000EE"/>
            </w:tcBorders>
            <w:gridSpan w:val="54"/>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Graham Clempson (incorporated by reference to Exhibit 10.2 of the Company’s Current Report on Form 8-K, filed with the SEC</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tcBorders>
              <w:top w:val="single" w:sz="8" w:color="0000EE"/>
            </w:tcBorders>
            <w:gridSpan w:val="48"/>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on August 12, 2021).</w:t>
              </w:r>
            </w:hyperlink>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9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660" w:type="dxa"/>
            <w:vAlign w:val="bottom"/>
            <w:tcBorders>
              <w:top w:val="single" w:sz="8" w:color="0000EE"/>
            </w:tcBorders>
            <w:gridSpan w:val="3"/>
          </w:tcPr>
          <w:p>
            <w:pPr>
              <w:spacing w:after="0"/>
              <w:rPr>
                <w:sz w:val="24"/>
                <w:szCs w:val="24"/>
                <w:color w:val="auto"/>
              </w:rPr>
            </w:pPr>
          </w:p>
        </w:tc>
        <w:tc>
          <w:tcPr>
            <w:tcW w:w="3440" w:type="dxa"/>
            <w:vAlign w:val="bottom"/>
            <w:gridSpan w:val="10"/>
          </w:tcPr>
          <w:p>
            <w:pPr>
              <w:jc w:val="right"/>
              <w:ind w:right="33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1340" w:type="dxa"/>
            <w:vAlign w:val="bottom"/>
            <w:tcBorders>
              <w:bottom w:val="single" w:sz="8" w:color="auto"/>
            </w:tcBorders>
            <w:gridSpan w:val="59"/>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EE"/>
        </w:rPr>
        <w:t>Table of Contents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10.16</w:t>
            </w:r>
          </w:p>
        </w:tc>
        <w:tc>
          <w:tcPr>
            <w:tcW w:w="10220" w:type="dxa"/>
            <w:vAlign w:val="bottom"/>
            <w:gridSpan w:val="34"/>
          </w:tcPr>
          <w:p>
            <w:pPr>
              <w:spacing w:after="0"/>
              <w:rPr>
                <w:rFonts w:ascii="Arial" w:cs="Arial" w:eastAsia="Arial" w:hAnsi="Arial"/>
                <w:sz w:val="18"/>
                <w:szCs w:val="18"/>
                <w:color w:val="0000EE"/>
              </w:rPr>
            </w:pPr>
            <w:hyperlink r:id="rId115">
              <w:r>
                <w:rPr>
                  <w:rFonts w:ascii="Arial" w:cs="Arial" w:eastAsia="Arial" w:hAnsi="Arial"/>
                  <w:sz w:val="18"/>
                  <w:szCs w:val="18"/>
                  <w:color w:val="0000EE"/>
                </w:rPr>
                <w:t>Credit Agreement dated as of November 18, 2021, by and among Holley Inc. as Borrower, Wells Fargo Bank, N.A. as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8220" w:type="dxa"/>
            <w:vAlign w:val="bottom"/>
            <w:gridSpan w:val="19"/>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administrative agent, and other lender parties thereto (incorporated by reference to Exhibit 10.1 of the</w:t>
              </w:r>
            </w:hyperlink>
          </w:p>
        </w:tc>
        <w:tc>
          <w:tcPr>
            <w:tcW w:w="2000" w:type="dxa"/>
            <w:vAlign w:val="bottom"/>
            <w:gridSpan w:val="15"/>
          </w:tcPr>
          <w:p>
            <w:pPr>
              <w:jc w:val="center"/>
              <w:ind w:right="540"/>
              <w:spacing w:after="0" w:line="182" w:lineRule="exact"/>
              <w:rPr>
                <w:rFonts w:ascii="Arial" w:cs="Arial" w:eastAsia="Arial" w:hAnsi="Arial"/>
                <w:sz w:val="18"/>
                <w:szCs w:val="18"/>
                <w:color w:val="0000EE"/>
                <w:w w:val="94"/>
              </w:rPr>
            </w:pPr>
            <w:hyperlink r:id="rId115">
              <w:r>
                <w:rPr>
                  <w:rFonts w:ascii="Arial" w:cs="Arial" w:eastAsia="Arial" w:hAnsi="Arial"/>
                  <w:sz w:val="18"/>
                  <w:szCs w:val="18"/>
                  <w:color w:val="0000EE"/>
                  <w:w w:val="94"/>
                </w:rPr>
                <w:t>Company’s Current</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10.17</w:t>
            </w:r>
          </w:p>
        </w:tc>
        <w:tc>
          <w:tcPr>
            <w:tcW w:w="73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Report on Form 8-K, filed with the SEC on November 19, 2021).</w:t>
              </w:r>
            </w:hyperlink>
          </w:p>
        </w:tc>
        <w:tc>
          <w:tcPr>
            <w:tcW w:w="2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gridSpan w:val="2"/>
          </w:tcPr>
          <w:p>
            <w:pPr>
              <w:spacing w:after="0"/>
              <w:rPr>
                <w:sz w:val="15"/>
                <w:szCs w:val="15"/>
                <w:color w:val="auto"/>
              </w:rPr>
            </w:pPr>
          </w:p>
        </w:tc>
        <w:tc>
          <w:tcPr>
            <w:tcW w:w="740" w:type="dxa"/>
            <w:vAlign w:val="bottom"/>
            <w:tcBorders>
              <w:top w:val="single" w:sz="8" w:color="0000EE"/>
            </w:tcBorders>
            <w:gridSpan w:val="2"/>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5100" w:type="dxa"/>
            <w:vAlign w:val="bottom"/>
            <w:tcBorders>
              <w:top w:val="single" w:sz="8" w:color="0000EE"/>
            </w:tcBorders>
            <w:gridSpan w:val="8"/>
          </w:tcPr>
          <w:p>
            <w:pPr>
              <w:spacing w:after="0" w:line="182" w:lineRule="exact"/>
              <w:rPr>
                <w:rFonts w:ascii="Arial" w:cs="Arial" w:eastAsia="Arial" w:hAnsi="Arial"/>
                <w:sz w:val="18"/>
                <w:szCs w:val="18"/>
                <w:color w:val="0000EE"/>
                <w:w w:val="99"/>
              </w:rPr>
            </w:pPr>
            <w:hyperlink r:id="rId116">
              <w:r>
                <w:rPr>
                  <w:rFonts w:ascii="Arial" w:cs="Arial" w:eastAsia="Arial" w:hAnsi="Arial"/>
                  <w:sz w:val="18"/>
                  <w:szCs w:val="18"/>
                  <w:color w:val="0000EE"/>
                  <w:w w:val="99"/>
                </w:rPr>
                <w:t>Amendment to Credit Agreement, dated as of March 3, 2023, by</w:t>
              </w:r>
            </w:hyperlink>
          </w:p>
        </w:tc>
        <w:tc>
          <w:tcPr>
            <w:tcW w:w="5120" w:type="dxa"/>
            <w:vAlign w:val="bottom"/>
            <w:gridSpan w:val="26"/>
          </w:tcPr>
          <w:p>
            <w:pPr>
              <w:ind w:left="60"/>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and among Holley Inc. and certain of its subsidiaries as</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956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98"/>
              </w:rPr>
            </w:pPr>
            <w:hyperlink r:id="rId116">
              <w:r>
                <w:rPr>
                  <w:rFonts w:ascii="Arial" w:cs="Arial" w:eastAsia="Arial" w:hAnsi="Arial"/>
                  <w:sz w:val="18"/>
                  <w:szCs w:val="18"/>
                  <w:color w:val="0000EE"/>
                  <w:w w:val="98"/>
                </w:rPr>
                <w:t>Borrower, Wells Fargo Bank, National Association, as Administrative Agent, and other lender parties thereto (incorporated</w:t>
              </w:r>
            </w:hyperlink>
          </w:p>
        </w:tc>
        <w:tc>
          <w:tcPr>
            <w:tcW w:w="360" w:type="dxa"/>
            <w:vAlign w:val="bottom"/>
            <w:tcBorders>
              <w:bottom w:val="single" w:sz="8" w:color="0000EE"/>
            </w:tcBorders>
            <w:gridSpan w:val="6"/>
          </w:tcPr>
          <w:p>
            <w:pPr>
              <w:ind w:left="160"/>
              <w:spacing w:after="0" w:line="182" w:lineRule="exact"/>
              <w:rPr>
                <w:rFonts w:ascii="Arial" w:cs="Arial" w:eastAsia="Arial" w:hAnsi="Arial"/>
                <w:sz w:val="18"/>
                <w:szCs w:val="18"/>
                <w:color w:val="0000EE"/>
                <w:w w:val="94"/>
              </w:rPr>
            </w:pPr>
            <w:hyperlink r:id="rId116">
              <w:r>
                <w:rPr>
                  <w:rFonts w:ascii="Arial" w:cs="Arial" w:eastAsia="Arial" w:hAnsi="Arial"/>
                  <w:sz w:val="18"/>
                  <w:szCs w:val="18"/>
                  <w:color w:val="0000EE"/>
                  <w:w w:val="94"/>
                </w:rPr>
                <w:t>by</w:t>
              </w:r>
            </w:hyperlink>
          </w:p>
        </w:tc>
        <w:tc>
          <w:tcPr>
            <w:tcW w:w="3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10.18</w:t>
            </w:r>
          </w:p>
        </w:tc>
        <w:tc>
          <w:tcPr>
            <w:tcW w:w="10220" w:type="dxa"/>
            <w:vAlign w:val="bottom"/>
            <w:gridSpan w:val="34"/>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reference to Exhibit 10.1 of the Company’s Current Report on Form 8-K, filed with the SEC on March 9, 2023).</w:t>
              </w:r>
            </w:hyperlink>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8760" w:type="dxa"/>
            <w:vAlign w:val="bottom"/>
            <w:tcBorders>
              <w:top w:val="single" w:sz="8" w:color="0000EE"/>
            </w:tcBorders>
            <w:gridSpan w:val="20"/>
          </w:tcPr>
          <w:p>
            <w:pPr>
              <w:spacing w:after="0" w:line="182" w:lineRule="exact"/>
              <w:rPr>
                <w:rFonts w:ascii="Arial" w:cs="Arial" w:eastAsia="Arial" w:hAnsi="Arial"/>
                <w:sz w:val="18"/>
                <w:szCs w:val="18"/>
                <w:color w:val="0000EE"/>
                <w:w w:val="99"/>
              </w:rPr>
            </w:pPr>
            <w:hyperlink r:id="rId117">
              <w:r>
                <w:rPr>
                  <w:rFonts w:ascii="Arial" w:cs="Arial" w:eastAsia="Arial" w:hAnsi="Arial"/>
                  <w:sz w:val="18"/>
                  <w:szCs w:val="18"/>
                  <w:color w:val="0000EE"/>
                  <w:w w:val="99"/>
                </w:rPr>
                <w:t>Amended and Restated Forward Purchase Agreement, dated as of March 11, 2021, by and between Empower</w:t>
              </w:r>
            </w:hyperlink>
          </w:p>
        </w:tc>
        <w:tc>
          <w:tcPr>
            <w:tcW w:w="1460" w:type="dxa"/>
            <w:vAlign w:val="bottom"/>
            <w:gridSpan w:val="14"/>
          </w:tcPr>
          <w:p>
            <w:pPr>
              <w:ind w:left="80"/>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Ltd. and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8040" w:type="dxa"/>
            <w:vAlign w:val="bottom"/>
            <w:gridSpan w:val="16"/>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Empower Funding LLC. as assigned to MidOcean Partners V, L.P. and MidOcean Partners V, L.P.</w:t>
              </w:r>
            </w:hyperlink>
          </w:p>
        </w:tc>
        <w:tc>
          <w:tcPr>
            <w:tcW w:w="20" w:type="dxa"/>
            <w:vAlign w:val="bottom"/>
            <w:vMerge w:val="continue"/>
          </w:tcPr>
          <w:p>
            <w:pPr>
              <w:spacing w:after="0"/>
              <w:rPr>
                <w:sz w:val="15"/>
                <w:szCs w:val="15"/>
                <w:color w:val="auto"/>
              </w:rPr>
            </w:pPr>
          </w:p>
        </w:tc>
        <w:tc>
          <w:tcPr>
            <w:tcW w:w="2160" w:type="dxa"/>
            <w:vAlign w:val="bottom"/>
            <w:gridSpan w:val="17"/>
          </w:tcPr>
          <w:p>
            <w:pPr>
              <w:spacing w:after="0" w:line="182"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(incorporated by reference to</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10.19</w:t>
            </w:r>
          </w:p>
        </w:tc>
        <w:tc>
          <w:tcPr>
            <w:tcW w:w="652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Exhibit 10.4 to the Company’s Registration Statement on Form S-4 (File No. 333-</w:t>
              </w:r>
            </w:hyperlink>
          </w:p>
        </w:tc>
        <w:tc>
          <w:tcPr>
            <w:tcW w:w="20" w:type="dxa"/>
            <w:vAlign w:val="bottom"/>
          </w:tcPr>
          <w:p>
            <w:pPr>
              <w:spacing w:after="0"/>
              <w:rPr>
                <w:sz w:val="15"/>
                <w:szCs w:val="15"/>
                <w:color w:val="auto"/>
              </w:rPr>
            </w:pPr>
          </w:p>
        </w:tc>
        <w:tc>
          <w:tcPr>
            <w:tcW w:w="35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255133), filed with the SEC on April 8, 2021.</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000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18">
              <w:r>
                <w:rPr>
                  <w:rFonts w:ascii="Arial" w:cs="Arial" w:eastAsia="Arial" w:hAnsi="Arial"/>
                  <w:sz w:val="18"/>
                  <w:szCs w:val="18"/>
                  <w:color w:val="0000EE"/>
                </w:rPr>
                <w:t>Form of Subscription Agreement, by and between Empower and the Subscriber party thereto (incorporated by reference to</w:t>
              </w:r>
            </w:hyperlink>
          </w:p>
        </w:tc>
        <w:tc>
          <w:tcPr>
            <w:tcW w:w="2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87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18">
              <w:r>
                <w:rPr>
                  <w:rFonts w:ascii="Arial" w:cs="Arial" w:eastAsia="Arial" w:hAnsi="Arial"/>
                  <w:sz w:val="18"/>
                  <w:szCs w:val="18"/>
                  <w:color w:val="0000EE"/>
                </w:rPr>
                <w:t>Exhibit 10.4 to the Company’s Current Report on Form 8-K, filed with the SEC on March 12, 2021).</w:t>
              </w:r>
            </w:hyperlink>
          </w:p>
        </w:tc>
        <w:tc>
          <w:tcPr>
            <w:tcW w:w="740" w:type="dxa"/>
            <w:vAlign w:val="bottom"/>
            <w:tcBorders>
              <w:top w:val="single" w:sz="8" w:color="0000EE"/>
            </w:tcBorders>
            <w:gridSpan w:val="2"/>
          </w:tcPr>
          <w:p>
            <w:pPr>
              <w:spacing w:after="0"/>
              <w:rPr>
                <w:sz w:val="15"/>
                <w:szCs w:val="15"/>
                <w:color w:val="auto"/>
              </w:rPr>
            </w:pPr>
          </w:p>
        </w:tc>
        <w:tc>
          <w:tcPr>
            <w:tcW w:w="260" w:type="dxa"/>
            <w:vAlign w:val="bottom"/>
            <w:tcBorders>
              <w:top w:val="single" w:sz="8" w:color="0000EE"/>
            </w:tcBorders>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line="182" w:lineRule="exact"/>
              <w:rPr>
                <w:sz w:val="20"/>
                <w:szCs w:val="20"/>
                <w:color w:val="auto"/>
              </w:rPr>
            </w:pPr>
            <w:r>
              <w:rPr>
                <w:rFonts w:ascii="Arial" w:cs="Arial" w:eastAsia="Arial" w:hAnsi="Arial"/>
                <w:sz w:val="18"/>
                <w:szCs w:val="18"/>
                <w:color w:val="auto"/>
              </w:rPr>
              <w:t>10.20</w:t>
            </w:r>
          </w:p>
        </w:tc>
        <w:tc>
          <w:tcPr>
            <w:tcW w:w="736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rPr>
            </w:pPr>
            <w:hyperlink r:id="rId119">
              <w:r>
                <w:rPr>
                  <w:rFonts w:ascii="Arial" w:cs="Arial" w:eastAsia="Arial" w:hAnsi="Arial"/>
                  <w:sz w:val="18"/>
                  <w:szCs w:val="18"/>
                  <w:color w:val="0000EE"/>
                </w:rPr>
                <w:t>Sponsor Agreement, dated as of March 11, 2021, by and among Empower Ltd., Empower</w:t>
              </w:r>
            </w:hyperlink>
          </w:p>
        </w:tc>
        <w:tc>
          <w:tcPr>
            <w:tcW w:w="20" w:type="dxa"/>
            <w:vAlign w:val="bottom"/>
            <w:tcBorders>
              <w:bottom w:val="single" w:sz="8" w:color="0000EE"/>
            </w:tcBorders>
          </w:tcPr>
          <w:p>
            <w:pPr>
              <w:spacing w:after="0"/>
              <w:rPr>
                <w:sz w:val="15"/>
                <w:szCs w:val="15"/>
                <w:color w:val="auto"/>
              </w:rPr>
            </w:pPr>
          </w:p>
        </w:tc>
        <w:tc>
          <w:tcPr>
            <w:tcW w:w="480" w:type="dxa"/>
            <w:vAlign w:val="bottom"/>
            <w:tcBorders>
              <w:top w:val="single" w:sz="8" w:color="0000EE"/>
              <w:bottom w:val="single" w:sz="8" w:color="0000EE"/>
            </w:tcBorders>
          </w:tcPr>
          <w:p>
            <w:pPr>
              <w:spacing w:after="0" w:line="183" w:lineRule="exact"/>
              <w:rPr>
                <w:rFonts w:ascii="Arial" w:cs="Arial" w:eastAsia="Arial" w:hAnsi="Arial"/>
                <w:sz w:val="17"/>
                <w:szCs w:val="17"/>
                <w:color w:val="0000EE"/>
                <w:w w:val="72"/>
              </w:rPr>
            </w:pPr>
            <w:hyperlink r:id="rId119">
              <w:r>
                <w:rPr>
                  <w:rFonts w:ascii="Arial" w:cs="Arial" w:eastAsia="Arial" w:hAnsi="Arial"/>
                  <w:sz w:val="17"/>
                  <w:szCs w:val="17"/>
                  <w:color w:val="0000EE"/>
                  <w:w w:val="72"/>
                </w:rPr>
                <w:t>Sponsor</w:t>
              </w:r>
            </w:hyperlink>
          </w:p>
        </w:tc>
        <w:tc>
          <w:tcPr>
            <w:tcW w:w="2080" w:type="dxa"/>
            <w:vAlign w:val="bottom"/>
            <w:tcBorders>
              <w:bottom w:val="single" w:sz="8" w:color="0000EE"/>
            </w:tcBorders>
            <w:gridSpan w:val="15"/>
          </w:tcPr>
          <w:p>
            <w:pPr>
              <w:jc w:val="center"/>
              <w:spacing w:after="0" w:line="182" w:lineRule="exact"/>
              <w:rPr>
                <w:rFonts w:ascii="Arial" w:cs="Arial" w:eastAsia="Arial" w:hAnsi="Arial"/>
                <w:sz w:val="18"/>
                <w:szCs w:val="18"/>
                <w:color w:val="0000EE"/>
              </w:rPr>
            </w:pPr>
            <w:hyperlink r:id="rId119">
              <w:r>
                <w:rPr>
                  <w:rFonts w:ascii="Arial" w:cs="Arial" w:eastAsia="Arial" w:hAnsi="Arial"/>
                  <w:sz w:val="18"/>
                  <w:szCs w:val="18"/>
                  <w:color w:val="0000EE"/>
                </w:rPr>
                <w:t>Holdings LLC, and Holley</w:t>
              </w:r>
            </w:hyperlink>
          </w:p>
        </w:tc>
        <w:tc>
          <w:tcPr>
            <w:tcW w:w="2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0220" w:type="dxa"/>
            <w:vAlign w:val="bottom"/>
            <w:gridSpan w:val="34"/>
          </w:tcPr>
          <w:p>
            <w:pPr>
              <w:spacing w:after="0" w:line="182" w:lineRule="exact"/>
              <w:rPr>
                <w:rFonts w:ascii="Arial" w:cs="Arial" w:eastAsia="Arial" w:hAnsi="Arial"/>
                <w:sz w:val="18"/>
                <w:szCs w:val="18"/>
                <w:color w:val="0000EE"/>
              </w:rPr>
            </w:pPr>
            <w:hyperlink r:id="rId119">
              <w:r>
                <w:rPr>
                  <w:rFonts w:ascii="Arial" w:cs="Arial" w:eastAsia="Arial" w:hAnsi="Arial"/>
                  <w:sz w:val="18"/>
                  <w:szCs w:val="18"/>
                  <w:color w:val="0000EE"/>
                </w:rPr>
                <w:t>Parent Holdings, LLC (incorporated by reference to Exhibit 10.1 to the Company’s Current Report on Form 8-K, filed with the</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10.21</w:t>
            </w:r>
          </w:p>
        </w:tc>
        <w:tc>
          <w:tcPr>
            <w:tcW w:w="20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r:id="rId119">
              <w:r>
                <w:rPr>
                  <w:rFonts w:ascii="Arial" w:cs="Arial" w:eastAsia="Arial" w:hAnsi="Arial"/>
                  <w:sz w:val="18"/>
                  <w:szCs w:val="18"/>
                  <w:color w:val="0000EE"/>
                  <w:w w:val="99"/>
                </w:rPr>
                <w:t>SEC on March 12, 2021).</w:t>
              </w:r>
            </w:hyperlink>
          </w:p>
        </w:tc>
        <w:tc>
          <w:tcPr>
            <w:tcW w:w="7860" w:type="dxa"/>
            <w:vAlign w:val="bottom"/>
            <w:tcBorders>
              <w:top w:val="single" w:sz="8" w:color="0000EE"/>
            </w:tcBorders>
            <w:gridSpan w:val="27"/>
          </w:tcPr>
          <w:p>
            <w:pPr>
              <w:spacing w:after="0"/>
              <w:rPr>
                <w:sz w:val="15"/>
                <w:szCs w:val="15"/>
                <w:color w:val="auto"/>
              </w:rPr>
            </w:pPr>
          </w:p>
        </w:tc>
        <w:tc>
          <w:tcPr>
            <w:tcW w:w="3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0220" w:type="dxa"/>
            <w:vAlign w:val="bottom"/>
            <w:gridSpan w:val="34"/>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#Indemnity Agreement, dated October 9, 2020, between Empower and Matthew Rubel (incorporated by reference to Exhibit</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10.22</w:t>
            </w:r>
          </w:p>
        </w:tc>
        <w:tc>
          <w:tcPr>
            <w:tcW w:w="548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r:id="rId120">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7</w:t>
              </w:r>
              <w:r>
                <w:rPr>
                  <w:rFonts w:ascii="Arial" w:cs="Arial" w:eastAsia="Arial" w:hAnsi="Arial"/>
                  <w:sz w:val="18"/>
                  <w:szCs w:val="18"/>
                  <w:color w:val="0000EE"/>
                  <w:w w:val="99"/>
                </w:rPr>
                <w:t xml:space="preserve"> of Empower’s Form 10-K, filed with the SEC on March 8, 2021).</w:t>
              </w:r>
            </w:hyperlink>
          </w:p>
        </w:tc>
        <w:tc>
          <w:tcPr>
            <w:tcW w:w="4360" w:type="dxa"/>
            <w:vAlign w:val="bottom"/>
            <w:tcBorders>
              <w:top w:val="single" w:sz="8" w:color="0000EE"/>
            </w:tcBorders>
            <w:gridSpan w:val="18"/>
          </w:tcPr>
          <w:p>
            <w:pPr>
              <w:spacing w:after="0"/>
              <w:rPr>
                <w:sz w:val="15"/>
                <w:szCs w:val="15"/>
                <w:color w:val="auto"/>
              </w:rPr>
            </w:pPr>
          </w:p>
        </w:tc>
        <w:tc>
          <w:tcPr>
            <w:tcW w:w="36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0220" w:type="dxa"/>
            <w:vAlign w:val="bottom"/>
            <w:gridSpan w:val="34"/>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#Indemnity Agreement, dated October 9, 2020, between Empower and Gina Bianchini (incorporated by reference to Exhibit</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10.23</w:t>
            </w:r>
          </w:p>
        </w:tc>
        <w:tc>
          <w:tcPr>
            <w:tcW w:w="55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r:id="rId121">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10</w:t>
              </w:r>
              <w:r>
                <w:rPr>
                  <w:rFonts w:ascii="Arial" w:cs="Arial" w:eastAsia="Arial" w:hAnsi="Arial"/>
                  <w:sz w:val="18"/>
                  <w:szCs w:val="18"/>
                  <w:color w:val="0000EE"/>
                  <w:w w:val="99"/>
                </w:rPr>
                <w:t xml:space="preserve"> of Empower’s Form 10-K, filed with the SEC on March 8, 2021).</w:t>
              </w:r>
            </w:hyperlink>
          </w:p>
        </w:tc>
        <w:tc>
          <w:tcPr>
            <w:tcW w:w="4220" w:type="dxa"/>
            <w:vAlign w:val="bottom"/>
            <w:tcBorders>
              <w:top w:val="single" w:sz="8" w:color="0000EE"/>
            </w:tcBorders>
            <w:gridSpan w:val="16"/>
          </w:tcPr>
          <w:p>
            <w:pPr>
              <w:spacing w:after="0"/>
              <w:rPr>
                <w:sz w:val="15"/>
                <w:szCs w:val="15"/>
                <w:color w:val="auto"/>
              </w:rPr>
            </w:pPr>
          </w:p>
        </w:tc>
        <w:tc>
          <w:tcPr>
            <w:tcW w:w="40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0220" w:type="dxa"/>
            <w:vAlign w:val="bottom"/>
            <w:gridSpan w:val="34"/>
          </w:tcPr>
          <w:p>
            <w:pPr>
              <w:spacing w:after="0" w:line="182" w:lineRule="exact"/>
              <w:rPr>
                <w:sz w:val="20"/>
                <w:szCs w:val="20"/>
                <w:color w:val="auto"/>
              </w:rPr>
            </w:pPr>
            <w:r>
              <w:rPr>
                <w:rFonts w:ascii="Arial" w:cs="Arial" w:eastAsia="Arial" w:hAnsi="Arial"/>
                <w:sz w:val="18"/>
                <w:szCs w:val="18"/>
                <w:color w:val="0000EE"/>
              </w:rPr>
              <w:t>#Form of Performance Stock Unit Grant Notice and Agreement.</w:t>
            </w: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8"/>
                <w:szCs w:val="18"/>
                <w:color w:val="auto"/>
              </w:rPr>
              <w:t>21.1</w:t>
            </w:r>
          </w:p>
        </w:tc>
        <w:tc>
          <w:tcPr>
            <w:tcW w:w="506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Subsidiaries of Holley Inc.</w:t>
            </w:r>
          </w:p>
        </w:tc>
        <w:tc>
          <w:tcPr>
            <w:tcW w:w="3000" w:type="dxa"/>
            <w:vAlign w:val="bottom"/>
            <w:gridSpan w:val="10"/>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spacing w:after="0"/>
              <w:rPr>
                <w:sz w:val="15"/>
                <w:szCs w:val="15"/>
                <w:color w:val="auto"/>
              </w:rPr>
            </w:pPr>
          </w:p>
        </w:tc>
        <w:tc>
          <w:tcPr>
            <w:tcW w:w="740" w:type="dxa"/>
            <w:vAlign w:val="bottom"/>
            <w:gridSpan w:val="2"/>
          </w:tcPr>
          <w:p>
            <w:pPr>
              <w:spacing w:after="0"/>
              <w:rPr>
                <w:sz w:val="15"/>
                <w:szCs w:val="15"/>
                <w:color w:val="auto"/>
              </w:rPr>
            </w:pPr>
          </w:p>
        </w:tc>
        <w:tc>
          <w:tcPr>
            <w:tcW w:w="70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line="182" w:lineRule="exact"/>
              <w:rPr>
                <w:sz w:val="20"/>
                <w:szCs w:val="20"/>
                <w:color w:val="auto"/>
              </w:rPr>
            </w:pPr>
            <w:r>
              <w:rPr>
                <w:rFonts w:ascii="Arial" w:cs="Arial" w:eastAsia="Arial" w:hAnsi="Arial"/>
                <w:sz w:val="18"/>
                <w:szCs w:val="18"/>
                <w:color w:val="auto"/>
              </w:rPr>
              <w:t>23.1</w:t>
            </w:r>
          </w:p>
        </w:tc>
        <w:tc>
          <w:tcPr>
            <w:tcW w:w="20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6"/>
              </w:rPr>
              <w:t>Consent of Grant Thornton</w:t>
            </w:r>
          </w:p>
        </w:tc>
        <w:tc>
          <w:tcPr>
            <w:tcW w:w="460" w:type="dxa"/>
            <w:vAlign w:val="bottom"/>
            <w:tcBorders>
              <w:bottom w:val="single" w:sz="8" w:color="0000EE"/>
            </w:tcBorders>
          </w:tcPr>
          <w:p>
            <w:pPr>
              <w:ind w:left="120"/>
              <w:spacing w:after="0" w:line="182" w:lineRule="exact"/>
              <w:rPr>
                <w:sz w:val="20"/>
                <w:szCs w:val="20"/>
                <w:color w:val="auto"/>
              </w:rPr>
            </w:pPr>
            <w:r>
              <w:rPr>
                <w:rFonts w:ascii="Arial" w:cs="Arial" w:eastAsia="Arial" w:hAnsi="Arial"/>
                <w:sz w:val="18"/>
                <w:szCs w:val="18"/>
                <w:color w:val="0000EE"/>
                <w:w w:val="86"/>
              </w:rPr>
              <w:t>LLP.</w:t>
            </w:r>
          </w:p>
        </w:tc>
        <w:tc>
          <w:tcPr>
            <w:tcW w:w="7680" w:type="dxa"/>
            <w:vAlign w:val="bottom"/>
            <w:gridSpan w:val="31"/>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8"/>
                <w:szCs w:val="18"/>
                <w:color w:val="auto"/>
              </w:rPr>
              <w:t>24.1</w:t>
            </w:r>
          </w:p>
        </w:tc>
        <w:tc>
          <w:tcPr>
            <w:tcW w:w="10220" w:type="dxa"/>
            <w:vAlign w:val="bottom"/>
            <w:gridSpan w:val="34"/>
          </w:tcPr>
          <w:p>
            <w:pPr>
              <w:spacing w:after="0" w:line="182" w:lineRule="exact"/>
              <w:rPr>
                <w:sz w:val="20"/>
                <w:szCs w:val="20"/>
                <w:color w:val="auto"/>
              </w:rPr>
            </w:pPr>
            <w:r>
              <w:rPr>
                <w:rFonts w:ascii="Arial" w:cs="Arial" w:eastAsia="Arial" w:hAnsi="Arial"/>
                <w:sz w:val="18"/>
                <w:szCs w:val="18"/>
                <w:color w:val="0000EE"/>
              </w:rPr>
              <w:t>Power of attorney (included in the signature page hereof).</w:t>
            </w:r>
          </w:p>
        </w:tc>
        <w:tc>
          <w:tcPr>
            <w:tcW w:w="0" w:type="dxa"/>
            <w:vAlign w:val="bottom"/>
          </w:tcPr>
          <w:p>
            <w:pPr>
              <w:spacing w:after="0"/>
              <w:rPr>
                <w:sz w:val="1"/>
                <w:szCs w:val="1"/>
                <w:color w:val="auto"/>
              </w:rPr>
            </w:pPr>
          </w:p>
        </w:tc>
      </w:tr>
      <w:tr>
        <w:trPr>
          <w:trHeight w:val="183"/>
        </w:trPr>
        <w:tc>
          <w:tcPr>
            <w:tcW w:w="102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460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Certification of Chief Executive Officer pursuant to Rules</w:t>
            </w:r>
          </w:p>
        </w:tc>
        <w:tc>
          <w:tcPr>
            <w:tcW w:w="5620" w:type="dxa"/>
            <w:vAlign w:val="bottom"/>
            <w:gridSpan w:val="29"/>
          </w:tcPr>
          <w:p>
            <w:pPr>
              <w:spacing w:after="0" w:line="182" w:lineRule="exact"/>
              <w:rPr>
                <w:sz w:val="20"/>
                <w:szCs w:val="20"/>
                <w:color w:val="auto"/>
              </w:rPr>
            </w:pPr>
            <w:r>
              <w:rPr>
                <w:rFonts w:ascii="Arial" w:cs="Arial" w:eastAsia="Arial" w:hAnsi="Arial"/>
                <w:sz w:val="18"/>
                <w:szCs w:val="18"/>
                <w:color w:val="0000EE"/>
              </w:rPr>
              <w:t>13a-14(a) and 15d-14(a) of the Exchange Act</w:t>
            </w:r>
          </w:p>
        </w:tc>
        <w:tc>
          <w:tcPr>
            <w:tcW w:w="0" w:type="dxa"/>
            <w:vAlign w:val="bottom"/>
          </w:tcPr>
          <w:p>
            <w:pPr>
              <w:spacing w:after="0"/>
              <w:rPr>
                <w:sz w:val="1"/>
                <w:szCs w:val="1"/>
                <w:color w:val="auto"/>
              </w:rPr>
            </w:pPr>
          </w:p>
        </w:tc>
      </w:tr>
      <w:tr>
        <w:trPr>
          <w:trHeight w:val="183"/>
        </w:trPr>
        <w:tc>
          <w:tcPr>
            <w:tcW w:w="102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816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Certification of Chief Financial Officer Pursuant to Rules 13a-14(a) and 15d-14(a) of the Exchange Act</w:t>
            </w:r>
          </w:p>
        </w:tc>
        <w:tc>
          <w:tcPr>
            <w:tcW w:w="600" w:type="dxa"/>
            <w:vAlign w:val="bottom"/>
            <w:gridSpan w:val="2"/>
          </w:tcPr>
          <w:p>
            <w:pPr>
              <w:spacing w:after="0"/>
              <w:rPr>
                <w:sz w:val="15"/>
                <w:szCs w:val="15"/>
                <w:color w:val="auto"/>
              </w:rPr>
            </w:pPr>
          </w:p>
        </w:tc>
        <w:tc>
          <w:tcPr>
            <w:tcW w:w="740" w:type="dxa"/>
            <w:vAlign w:val="bottom"/>
            <w:gridSpan w:val="2"/>
          </w:tcPr>
          <w:p>
            <w:pPr>
              <w:spacing w:after="0"/>
              <w:rPr>
                <w:sz w:val="15"/>
                <w:szCs w:val="15"/>
                <w:color w:val="auto"/>
              </w:rPr>
            </w:pPr>
          </w:p>
        </w:tc>
        <w:tc>
          <w:tcPr>
            <w:tcW w:w="70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806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w w:val="99"/>
              </w:rPr>
              <w:t>Certification of Chief Executive Officer pursuant to Rule 13a-14(b) of the Exchange Act and 18 U.S.C.</w:t>
            </w:r>
          </w:p>
        </w:tc>
        <w:tc>
          <w:tcPr>
            <w:tcW w:w="2160" w:type="dxa"/>
            <w:vAlign w:val="bottom"/>
            <w:gridSpan w:val="17"/>
          </w:tcPr>
          <w:p>
            <w:pPr>
              <w:ind w:left="60"/>
              <w:spacing w:after="0" w:line="182" w:lineRule="exact"/>
              <w:rPr>
                <w:sz w:val="20"/>
                <w:szCs w:val="20"/>
                <w:color w:val="auto"/>
              </w:rPr>
            </w:pPr>
            <w:r>
              <w:rPr>
                <w:rFonts w:ascii="Arial" w:cs="Arial" w:eastAsia="Arial" w:hAnsi="Arial"/>
                <w:sz w:val="18"/>
                <w:szCs w:val="18"/>
                <w:color w:val="0000EE"/>
              </w:rPr>
              <w:t>1350, as adopted</w:t>
            </w:r>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876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pursuant to Section 906 of the Sarbanes-Oxley Act of 2002</w:t>
            </w:r>
          </w:p>
        </w:tc>
        <w:tc>
          <w:tcPr>
            <w:tcW w:w="740" w:type="dxa"/>
            <w:vAlign w:val="bottom"/>
            <w:tcBorders>
              <w:top w:val="single" w:sz="8" w:color="0000EE"/>
            </w:tcBorders>
            <w:gridSpan w:val="2"/>
          </w:tcPr>
          <w:p>
            <w:pPr>
              <w:spacing w:after="0"/>
              <w:rPr>
                <w:sz w:val="15"/>
                <w:szCs w:val="15"/>
                <w:color w:val="auto"/>
              </w:rPr>
            </w:pPr>
          </w:p>
        </w:tc>
        <w:tc>
          <w:tcPr>
            <w:tcW w:w="70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70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Certification of Chief Financial Officer pursuant to Rule 13a</w:t>
            </w:r>
          </w:p>
        </w:tc>
        <w:tc>
          <w:tcPr>
            <w:tcW w:w="5520" w:type="dxa"/>
            <w:vAlign w:val="bottom"/>
            <w:gridSpan w:val="28"/>
          </w:tcPr>
          <w:p>
            <w:pPr>
              <w:spacing w:after="0" w:line="182" w:lineRule="exact"/>
              <w:rPr>
                <w:sz w:val="20"/>
                <w:szCs w:val="20"/>
                <w:color w:val="auto"/>
              </w:rPr>
            </w:pPr>
            <w:r>
              <w:rPr>
                <w:rFonts w:ascii="Arial" w:cs="Arial" w:eastAsia="Arial" w:hAnsi="Arial"/>
                <w:sz w:val="18"/>
                <w:szCs w:val="18"/>
                <w:color w:val="0000EE"/>
                <w:w w:val="99"/>
              </w:rPr>
              <w:t>-14(b) of the Exchange Act and 18 U.S.C. 1350, as adopted pursuant</w:t>
            </w:r>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876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to Section 906 of the Sarbanes-Oxley Act of 2002</w:t>
            </w:r>
          </w:p>
        </w:tc>
        <w:tc>
          <w:tcPr>
            <w:tcW w:w="144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20" w:type="dxa"/>
            <w:vAlign w:val="bottom"/>
            <w:vMerge w:val="continue"/>
          </w:tcPr>
          <w:p>
            <w:pPr>
              <w:spacing w:after="0"/>
              <w:rPr>
                <w:sz w:val="16"/>
                <w:szCs w:val="16"/>
                <w:color w:val="auto"/>
              </w:rPr>
            </w:pPr>
          </w:p>
        </w:tc>
        <w:tc>
          <w:tcPr>
            <w:tcW w:w="3960" w:type="dxa"/>
            <w:vAlign w:val="bottom"/>
            <w:tcBorders>
              <w:top w:val="single" w:sz="8" w:color="0000EE"/>
            </w:tcBorders>
            <w:gridSpan w:val="4"/>
          </w:tcPr>
          <w:p>
            <w:pPr>
              <w:spacing w:after="0" w:line="191" w:lineRule="exact"/>
              <w:rPr>
                <w:sz w:val="20"/>
                <w:szCs w:val="20"/>
                <w:color w:val="auto"/>
              </w:rPr>
            </w:pPr>
            <w:r>
              <w:rPr>
                <w:rFonts w:ascii="Arial" w:cs="Arial" w:eastAsia="Arial" w:hAnsi="Arial"/>
                <w:sz w:val="18"/>
                <w:szCs w:val="18"/>
                <w:color w:val="auto"/>
              </w:rPr>
              <w:t>Inline XBRL Instance Document.</w:t>
            </w:r>
          </w:p>
        </w:tc>
        <w:tc>
          <w:tcPr>
            <w:tcW w:w="6260" w:type="dxa"/>
            <w:vAlign w:val="bottom"/>
            <w:gridSpan w:val="30"/>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10220" w:type="dxa"/>
            <w:vAlign w:val="bottom"/>
            <w:gridSpan w:val="34"/>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10220" w:type="dxa"/>
            <w:vAlign w:val="bottom"/>
            <w:gridSpan w:val="34"/>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10220" w:type="dxa"/>
            <w:vAlign w:val="bottom"/>
            <w:gridSpan w:val="34"/>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10220" w:type="dxa"/>
            <w:vAlign w:val="bottom"/>
            <w:gridSpan w:val="34"/>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3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020" w:hanging="1012"/>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1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740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Holley Inc.</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Michelle Gloeckler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8890</wp:posOffset>
            </wp:positionV>
            <wp:extent cx="32061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Michelle Gloeckler</w:t>
      </w:r>
    </w:p>
    <w:p>
      <w:pPr>
        <w:ind w:left="5640"/>
        <w:spacing w:after="0" w:line="234" w:lineRule="auto"/>
        <w:rPr>
          <w:sz w:val="20"/>
          <w:szCs w:val="20"/>
          <w:color w:val="auto"/>
        </w:rPr>
      </w:pPr>
      <w:r>
        <w:rPr>
          <w:rFonts w:ascii="Arial" w:cs="Arial" w:eastAsia="Arial" w:hAnsi="Arial"/>
          <w:sz w:val="18"/>
          <w:szCs w:val="18"/>
          <w:color w:val="auto"/>
        </w:rPr>
        <w:t>Interim President and Chief Executive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8890</wp:posOffset>
            </wp:positionV>
            <wp:extent cx="32061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Jesse Weaver</w:t>
      </w:r>
    </w:p>
    <w:p>
      <w:pPr>
        <w:ind w:left="56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and Exchange Act of 1934, this Annual Report on Form 10-K has been signed below by the following persons on behalf of the registrant and in the capacities and on the dates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w w:val="98"/>
              </w:rPr>
              <w:t>Signature</w:t>
            </w:r>
          </w:p>
        </w:tc>
        <w:tc>
          <w:tcPr>
            <w:tcW w:w="4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700" w:type="dxa"/>
            <w:vAlign w:val="bottom"/>
          </w:tcPr>
          <w:p>
            <w:pPr>
              <w:spacing w:after="0"/>
              <w:rPr>
                <w:sz w:val="17"/>
                <w:szCs w:val="17"/>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Michelle Gloeckler</w:t>
            </w:r>
          </w:p>
        </w:tc>
        <w:tc>
          <w:tcPr>
            <w:tcW w:w="72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 and Interim President and Chief Executive Officer (principal executive officer)</w:t>
            </w:r>
          </w:p>
        </w:tc>
        <w:tc>
          <w:tcPr>
            <w:tcW w:w="1520" w:type="dxa"/>
            <w:vAlign w:val="bottom"/>
            <w:gridSpan w:val="3"/>
            <w:vMerge w:val="restart"/>
          </w:tcPr>
          <w:p>
            <w:pPr>
              <w:jc w:val="center"/>
              <w:ind w:left="190"/>
              <w:spacing w:after="0"/>
              <w:rPr>
                <w:sz w:val="20"/>
                <w:szCs w:val="20"/>
                <w:color w:val="auto"/>
              </w:rPr>
            </w:pPr>
            <w:r>
              <w:rPr>
                <w:rFonts w:ascii="Arial" w:cs="Arial" w:eastAsia="Arial" w:hAnsi="Arial"/>
                <w:sz w:val="18"/>
                <w:szCs w:val="18"/>
                <w:color w:val="auto"/>
                <w:w w:val="99"/>
              </w:rPr>
              <w:t>March 15, 2023</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Michelle Gloeckler</w:t>
            </w:r>
          </w:p>
        </w:tc>
        <w:tc>
          <w:tcPr>
            <w:tcW w:w="7280" w:type="dxa"/>
            <w:vAlign w:val="bottom"/>
            <w:gridSpan w:val="3"/>
            <w:vMerge w:val="continue"/>
          </w:tcPr>
          <w:p>
            <w:pPr>
              <w:spacing w:after="0"/>
              <w:rPr>
                <w:sz w:val="20"/>
                <w:szCs w:val="20"/>
                <w:color w:val="auto"/>
              </w:rPr>
            </w:pPr>
          </w:p>
        </w:tc>
        <w:tc>
          <w:tcPr>
            <w:tcW w:w="15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Jesse Weaver</w:t>
            </w:r>
          </w:p>
        </w:tc>
        <w:tc>
          <w:tcPr>
            <w:tcW w:w="7280" w:type="dxa"/>
            <w:vAlign w:val="bottom"/>
            <w:gridSpan w:val="3"/>
            <w:vMerge w:val="restart"/>
          </w:tcPr>
          <w:p>
            <w:pPr>
              <w:ind w:left="220"/>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520" w:type="dxa"/>
            <w:vAlign w:val="bottom"/>
            <w:gridSpan w:val="3"/>
            <w:vMerge w:val="restart"/>
          </w:tcPr>
          <w:p>
            <w:pPr>
              <w:jc w:val="center"/>
              <w:ind w:left="190"/>
              <w:spacing w:after="0"/>
              <w:rPr>
                <w:sz w:val="20"/>
                <w:szCs w:val="20"/>
                <w:color w:val="auto"/>
              </w:rPr>
            </w:pPr>
            <w:r>
              <w:rPr>
                <w:rFonts w:ascii="Arial" w:cs="Arial" w:eastAsia="Arial" w:hAnsi="Arial"/>
                <w:sz w:val="18"/>
                <w:szCs w:val="18"/>
                <w:color w:val="auto"/>
                <w:w w:val="99"/>
              </w:rPr>
              <w:t>March 15, 2023</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Jesse Weaver</w:t>
            </w:r>
          </w:p>
        </w:tc>
        <w:tc>
          <w:tcPr>
            <w:tcW w:w="7280" w:type="dxa"/>
            <w:vAlign w:val="bottom"/>
            <w:gridSpan w:val="3"/>
            <w:vMerge w:val="continue"/>
          </w:tcPr>
          <w:p>
            <w:pPr>
              <w:spacing w:after="0"/>
              <w:rPr>
                <w:sz w:val="20"/>
                <w:szCs w:val="20"/>
                <w:color w:val="auto"/>
              </w:rPr>
            </w:pPr>
          </w:p>
        </w:tc>
        <w:tc>
          <w:tcPr>
            <w:tcW w:w="15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James Coady</w:t>
            </w:r>
          </w:p>
        </w:tc>
        <w:tc>
          <w:tcPr>
            <w:tcW w:w="72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vMerge w:val="restart"/>
          </w:tcPr>
          <w:p>
            <w:pPr>
              <w:jc w:val="center"/>
              <w:ind w:left="190"/>
              <w:spacing w:after="0"/>
              <w:rPr>
                <w:sz w:val="20"/>
                <w:szCs w:val="20"/>
                <w:color w:val="auto"/>
              </w:rPr>
            </w:pPr>
            <w:r>
              <w:rPr>
                <w:rFonts w:ascii="Arial" w:cs="Arial" w:eastAsia="Arial" w:hAnsi="Arial"/>
                <w:sz w:val="18"/>
                <w:szCs w:val="18"/>
                <w:color w:val="auto"/>
                <w:w w:val="99"/>
              </w:rPr>
              <w:t>March 15, 2023</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James Coady</w:t>
            </w:r>
          </w:p>
        </w:tc>
        <w:tc>
          <w:tcPr>
            <w:tcW w:w="7280" w:type="dxa"/>
            <w:vAlign w:val="bottom"/>
            <w:gridSpan w:val="3"/>
            <w:vMerge w:val="continue"/>
          </w:tcPr>
          <w:p>
            <w:pPr>
              <w:spacing w:after="0"/>
              <w:rPr>
                <w:sz w:val="20"/>
                <w:szCs w:val="20"/>
                <w:color w:val="auto"/>
              </w:rPr>
            </w:pPr>
          </w:p>
        </w:tc>
        <w:tc>
          <w:tcPr>
            <w:tcW w:w="15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Owen Basham</w:t>
            </w:r>
          </w:p>
        </w:tc>
        <w:tc>
          <w:tcPr>
            <w:tcW w:w="72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vMerge w:val="restart"/>
          </w:tcPr>
          <w:p>
            <w:pPr>
              <w:jc w:val="center"/>
              <w:ind w:left="190"/>
              <w:spacing w:after="0"/>
              <w:rPr>
                <w:sz w:val="20"/>
                <w:szCs w:val="20"/>
                <w:color w:val="auto"/>
              </w:rPr>
            </w:pPr>
            <w:r>
              <w:rPr>
                <w:rFonts w:ascii="Arial" w:cs="Arial" w:eastAsia="Arial" w:hAnsi="Arial"/>
                <w:sz w:val="18"/>
                <w:szCs w:val="18"/>
                <w:color w:val="auto"/>
                <w:w w:val="99"/>
              </w:rPr>
              <w:t>March 15, 2023</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Owen Basham</w:t>
            </w:r>
          </w:p>
        </w:tc>
        <w:tc>
          <w:tcPr>
            <w:tcW w:w="7280" w:type="dxa"/>
            <w:vAlign w:val="bottom"/>
            <w:gridSpan w:val="3"/>
            <w:vMerge w:val="continue"/>
          </w:tcPr>
          <w:p>
            <w:pPr>
              <w:spacing w:after="0"/>
              <w:rPr>
                <w:sz w:val="20"/>
                <w:szCs w:val="20"/>
                <w:color w:val="auto"/>
              </w:rPr>
            </w:pPr>
          </w:p>
        </w:tc>
        <w:tc>
          <w:tcPr>
            <w:tcW w:w="15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Anita Sehgal</w:t>
            </w:r>
          </w:p>
        </w:tc>
        <w:tc>
          <w:tcPr>
            <w:tcW w:w="72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vMerge w:val="restart"/>
          </w:tcPr>
          <w:p>
            <w:pPr>
              <w:jc w:val="center"/>
              <w:ind w:left="190"/>
              <w:spacing w:after="0"/>
              <w:rPr>
                <w:sz w:val="20"/>
                <w:szCs w:val="20"/>
                <w:color w:val="auto"/>
              </w:rPr>
            </w:pPr>
            <w:r>
              <w:rPr>
                <w:rFonts w:ascii="Arial" w:cs="Arial" w:eastAsia="Arial" w:hAnsi="Arial"/>
                <w:sz w:val="18"/>
                <w:szCs w:val="18"/>
                <w:color w:val="auto"/>
                <w:w w:val="99"/>
              </w:rPr>
              <w:t>March 15, 2023</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Anita Sehgal</w:t>
            </w:r>
          </w:p>
        </w:tc>
        <w:tc>
          <w:tcPr>
            <w:tcW w:w="7280" w:type="dxa"/>
            <w:vAlign w:val="bottom"/>
            <w:gridSpan w:val="3"/>
            <w:vMerge w:val="continue"/>
          </w:tcPr>
          <w:p>
            <w:pPr>
              <w:spacing w:after="0"/>
              <w:rPr>
                <w:sz w:val="20"/>
                <w:szCs w:val="20"/>
                <w:color w:val="auto"/>
              </w:rPr>
            </w:pPr>
          </w:p>
        </w:tc>
        <w:tc>
          <w:tcPr>
            <w:tcW w:w="15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Graham Clempson</w:t>
            </w:r>
          </w:p>
        </w:tc>
        <w:tc>
          <w:tcPr>
            <w:tcW w:w="72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vMerge w:val="restart"/>
          </w:tcPr>
          <w:p>
            <w:pPr>
              <w:jc w:val="center"/>
              <w:ind w:left="190"/>
              <w:spacing w:after="0"/>
              <w:rPr>
                <w:sz w:val="20"/>
                <w:szCs w:val="20"/>
                <w:color w:val="auto"/>
              </w:rPr>
            </w:pPr>
            <w:r>
              <w:rPr>
                <w:rFonts w:ascii="Arial" w:cs="Arial" w:eastAsia="Arial" w:hAnsi="Arial"/>
                <w:sz w:val="18"/>
                <w:szCs w:val="18"/>
                <w:color w:val="auto"/>
                <w:w w:val="99"/>
              </w:rPr>
              <w:t>March 15, 2023</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Graham Clempson</w:t>
            </w:r>
          </w:p>
        </w:tc>
        <w:tc>
          <w:tcPr>
            <w:tcW w:w="7280" w:type="dxa"/>
            <w:vAlign w:val="bottom"/>
            <w:gridSpan w:val="3"/>
            <w:vMerge w:val="continue"/>
          </w:tcPr>
          <w:p>
            <w:pPr>
              <w:spacing w:after="0"/>
              <w:rPr>
                <w:sz w:val="20"/>
                <w:szCs w:val="20"/>
                <w:color w:val="auto"/>
              </w:rPr>
            </w:pPr>
          </w:p>
        </w:tc>
        <w:tc>
          <w:tcPr>
            <w:tcW w:w="15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Matthew Rubel</w:t>
            </w:r>
          </w:p>
        </w:tc>
        <w:tc>
          <w:tcPr>
            <w:tcW w:w="72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 and Executive Chairman</w:t>
            </w:r>
          </w:p>
        </w:tc>
        <w:tc>
          <w:tcPr>
            <w:tcW w:w="1520" w:type="dxa"/>
            <w:vAlign w:val="bottom"/>
            <w:gridSpan w:val="3"/>
            <w:vMerge w:val="restart"/>
          </w:tcPr>
          <w:p>
            <w:pPr>
              <w:jc w:val="center"/>
              <w:ind w:left="190"/>
              <w:spacing w:after="0"/>
              <w:rPr>
                <w:sz w:val="20"/>
                <w:szCs w:val="20"/>
                <w:color w:val="auto"/>
              </w:rPr>
            </w:pPr>
            <w:r>
              <w:rPr>
                <w:rFonts w:ascii="Arial" w:cs="Arial" w:eastAsia="Arial" w:hAnsi="Arial"/>
                <w:sz w:val="18"/>
                <w:szCs w:val="18"/>
                <w:color w:val="auto"/>
                <w:w w:val="99"/>
              </w:rPr>
              <w:t>March 15, 2023</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Matthew Rubel</w:t>
            </w:r>
          </w:p>
        </w:tc>
        <w:tc>
          <w:tcPr>
            <w:tcW w:w="7280" w:type="dxa"/>
            <w:vAlign w:val="bottom"/>
            <w:gridSpan w:val="3"/>
            <w:vMerge w:val="continue"/>
          </w:tcPr>
          <w:p>
            <w:pPr>
              <w:spacing w:after="0"/>
              <w:rPr>
                <w:sz w:val="20"/>
                <w:szCs w:val="20"/>
                <w:color w:val="auto"/>
              </w:rPr>
            </w:pPr>
          </w:p>
        </w:tc>
        <w:tc>
          <w:tcPr>
            <w:tcW w:w="15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Ginger Jones</w:t>
            </w:r>
          </w:p>
        </w:tc>
        <w:tc>
          <w:tcPr>
            <w:tcW w:w="72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520" w:type="dxa"/>
            <w:vAlign w:val="bottom"/>
            <w:gridSpan w:val="3"/>
            <w:vMerge w:val="restart"/>
          </w:tcPr>
          <w:p>
            <w:pPr>
              <w:jc w:val="center"/>
              <w:ind w:left="190"/>
              <w:spacing w:after="0"/>
              <w:rPr>
                <w:sz w:val="20"/>
                <w:szCs w:val="20"/>
                <w:color w:val="auto"/>
              </w:rPr>
            </w:pPr>
            <w:r>
              <w:rPr>
                <w:rFonts w:ascii="Arial" w:cs="Arial" w:eastAsia="Arial" w:hAnsi="Arial"/>
                <w:sz w:val="18"/>
                <w:szCs w:val="18"/>
                <w:color w:val="auto"/>
                <w:w w:val="99"/>
              </w:rPr>
              <w:t>March 15, 2023</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Ginger Jones</w:t>
            </w:r>
          </w:p>
        </w:tc>
        <w:tc>
          <w:tcPr>
            <w:tcW w:w="7280" w:type="dxa"/>
            <w:vAlign w:val="bottom"/>
            <w:gridSpan w:val="3"/>
            <w:vMerge w:val="continue"/>
          </w:tcPr>
          <w:p>
            <w:pPr>
              <w:spacing w:after="0"/>
              <w:rPr>
                <w:sz w:val="20"/>
                <w:szCs w:val="20"/>
                <w:color w:val="auto"/>
              </w:rPr>
            </w:pPr>
          </w:p>
        </w:tc>
        <w:tc>
          <w:tcPr>
            <w:tcW w:w="15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tcPr>
          <w:p>
            <w:pPr>
              <w:ind w:left="3340"/>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Exhibit 10.9</w:t>
      </w:r>
    </w:p>
    <w:p>
      <w:pPr>
        <w:spacing w:after="0" w:line="22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5" w:lineRule="exact"/>
        <w:rPr>
          <w:sz w:val="20"/>
          <w:szCs w:val="20"/>
          <w:color w:val="auto"/>
        </w:rPr>
      </w:pPr>
    </w:p>
    <w:p>
      <w:pPr>
        <w:ind w:left="80" w:right="7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EMPLOYMENT AGREEMENT </w:t>
      </w:r>
      <w:r>
        <w:rPr>
          <w:rFonts w:ascii="Times New Roman" w:cs="Times New Roman" w:eastAsia="Times New Roman" w:hAnsi="Times New Roman"/>
          <w:sz w:val="18"/>
          <w:szCs w:val="18"/>
          <w:color w:val="auto"/>
        </w:rPr>
        <w:t>(this “Agreement”) dated as of March 30, 2022, between Holley Inc.,a Delaware 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Carly Kennedy (“Executive”).</w:t>
      </w:r>
    </w:p>
    <w:p>
      <w:pPr>
        <w:spacing w:after="0" w:line="15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lef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desires to employ Executive and to enter into this Agreement embodying the terms of such employment,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desires to enter into this Agreement and to accept such employment, subject to the terms and provisions of this Agreement.</w:t>
      </w:r>
    </w:p>
    <w:p>
      <w:pPr>
        <w:spacing w:after="0" w:line="155" w:lineRule="exact"/>
        <w:rPr>
          <w:sz w:val="20"/>
          <w:szCs w:val="20"/>
          <w:color w:val="auto"/>
        </w:rPr>
      </w:pPr>
    </w:p>
    <w:p>
      <w:pPr>
        <w:ind w:left="60" w:firstLine="66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promises and mutual covenants contained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mutually acknowledged, the Company and Executive hereby agree as follows:</w:t>
      </w:r>
    </w:p>
    <w:p>
      <w:pPr>
        <w:spacing w:after="0" w:line="155" w:lineRule="exact"/>
        <w:rPr>
          <w:sz w:val="20"/>
          <w:szCs w:val="20"/>
          <w:color w:val="auto"/>
        </w:rPr>
      </w:pPr>
    </w:p>
    <w:p>
      <w:pPr>
        <w:ind w:left="1020" w:hanging="328"/>
        <w:spacing w:after="0"/>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 AND DUTIES.</w:t>
      </w:r>
    </w:p>
    <w:p>
      <w:pPr>
        <w:spacing w:after="0" w:line="229" w:lineRule="exact"/>
        <w:rPr>
          <w:sz w:val="20"/>
          <w:szCs w:val="20"/>
          <w:color w:val="auto"/>
        </w:rPr>
      </w:pPr>
    </w:p>
    <w:p>
      <w:pPr>
        <w:ind w:left="20" w:right="20" w:firstLine="672"/>
        <w:spacing w:after="0" w:line="261" w:lineRule="auto"/>
        <w:tabs>
          <w:tab w:leader="none" w:pos="106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Term (as defined in Section 2 hereof), Executive shall serve as the Executive Vice President and General Counsel of the Company. In this capacity, Executive shall have the duties, authorities and responsibilities as Executive Vice President and General Counsel as shall be determined by the Board of Directors of the Company (the “Board”) or the President and Chief Executive Officer of the Company, from time to time.</w:t>
      </w:r>
    </w:p>
    <w:p>
      <w:pPr>
        <w:spacing w:after="0" w:line="179" w:lineRule="exact"/>
        <w:rPr>
          <w:rFonts w:ascii="Times New Roman" w:cs="Times New Roman" w:eastAsia="Times New Roman" w:hAnsi="Times New Roman"/>
          <w:sz w:val="18"/>
          <w:szCs w:val="18"/>
          <w:color w:val="auto"/>
        </w:rPr>
      </w:pPr>
    </w:p>
    <w:p>
      <w:pPr>
        <w:ind w:left="20" w:right="280" w:firstLine="654"/>
        <w:spacing w:after="0" w:line="282" w:lineRule="auto"/>
        <w:tabs>
          <w:tab w:leader="none" w:pos="105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Term, Executive shall devote all of Executive's business time, energy, business judgment, knowledge and skill and Executive's best efforts to the performance of Executive's duties with the Company.</w:t>
      </w:r>
    </w:p>
    <w:p>
      <w:pPr>
        <w:spacing w:after="0" w:line="161" w:lineRule="exact"/>
        <w:rPr>
          <w:rFonts w:ascii="Times New Roman" w:cs="Times New Roman" w:eastAsia="Times New Roman" w:hAnsi="Times New Roman"/>
          <w:sz w:val="18"/>
          <w:szCs w:val="18"/>
          <w:color w:val="auto"/>
        </w:rPr>
      </w:pPr>
    </w:p>
    <w:p>
      <w:pPr>
        <w:ind w:right="80" w:firstLine="674"/>
        <w:spacing w:after="0" w:line="261" w:lineRule="auto"/>
        <w:tabs>
          <w:tab w:leader="none" w:pos="10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principal place of employment shall be in Bowling Green, Kentucky, although Executive will have the opportunity to work remotely as necessary and permitted by the Executive's duties. Further Executive understands and agrees that Executive will be required to spend sufficient time at the Company's offices and elsewhere to effectively perform Executive's duties and responsibilities, and that Executive may be required to travel from time to time for business reasons.</w:t>
      </w:r>
    </w:p>
    <w:p>
      <w:pPr>
        <w:spacing w:after="0" w:line="179" w:lineRule="exact"/>
        <w:rPr>
          <w:rFonts w:ascii="Times New Roman" w:cs="Times New Roman" w:eastAsia="Times New Roman" w:hAnsi="Times New Roman"/>
          <w:sz w:val="18"/>
          <w:szCs w:val="18"/>
          <w:color w:val="auto"/>
        </w:rPr>
      </w:pPr>
    </w:p>
    <w:p>
      <w:pPr>
        <w:ind w:right="20" w:firstLine="674"/>
        <w:spacing w:after="0" w:line="254" w:lineRule="auto"/>
        <w:tabs>
          <w:tab w:leader="none" w:pos="10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that Executive will promptly undertake to relocate to the Bowling Green, Kentucky area (inclusive of the Nashville metropolitan area) upon acceptance of employment and completion of Executive's children's current academic school year (July 2022). With respect to relocation benefits, if Executive fails to report for employment or if following commencement of employment Executive voluntarily terminates employment or Executive's employment is terminated for the commission of acts of dishonesty or immorality affecting Executive's employment, Executive agrees to reimburse the Company for 100% of such expenses which have been paid to Executive, or for which the Company is responsible, if such termination of employment occurs within twelve months following commencement of employment, and at a rate of 50% thereof if such termination of employment occurs within twenty-four months following commencement of employment but following the initial twelve months following commencement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493395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337" w:right="339" w:bottom="1440" w:gutter="0" w:footer="0" w:header="0"/>
        </w:sectPr>
      </w:pPr>
    </w:p>
    <w:bookmarkStart w:id="93" w:name="page94"/>
    <w:bookmarkEnd w:id="93"/>
    <w:p>
      <w:pPr>
        <w:ind w:left="40" w:right="180" w:firstLine="652"/>
        <w:spacing w:after="0" w:line="257" w:lineRule="auto"/>
        <w:tabs>
          <w:tab w:leader="none" w:pos="1003"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EMPLOYMENT TERM. </w:t>
      </w:r>
      <w:r>
        <w:rPr>
          <w:rFonts w:ascii="Times New Roman" w:cs="Times New Roman" w:eastAsia="Times New Roman" w:hAnsi="Times New Roman"/>
          <w:sz w:val="18"/>
          <w:szCs w:val="18"/>
          <w:color w:val="auto"/>
        </w:rPr>
        <w:t>The term of Executive's employment under this Agreement shall commence on April 4, 2022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and shall continue for a term of sixty (60) months thereafter (the “Initial Term”); provided, however, that the tenn of this Agreement shall automatically be renewed for an additional one year period commencing on the expiration date of the Initial Tenn and each renewal term, unless any party elects to terminate this Agreement by providing written notice of non-renewal to the other parties at least ninety (90)days prior to any such expiration date. The “Employment Tenn” shall mean the Initial Tenn plus any renewal terms as provided above. Notwithstanding the foregoing, Executive's employment hereunder may be earlier terminated in accordance with Section 5 hereof, subject to Section 6 hereof.</w:t>
      </w:r>
    </w:p>
    <w:p>
      <w:pPr>
        <w:spacing w:after="0" w:line="182" w:lineRule="exact"/>
        <w:rPr>
          <w:rFonts w:ascii="Times New Roman" w:cs="Times New Roman" w:eastAsia="Times New Roman" w:hAnsi="Times New Roman"/>
          <w:sz w:val="18"/>
          <w:szCs w:val="18"/>
          <w:b w:val="1"/>
          <w:bCs w:val="1"/>
          <w:color w:val="auto"/>
        </w:rPr>
      </w:pPr>
    </w:p>
    <w:p>
      <w:pPr>
        <w:ind w:left="20" w:right="220" w:firstLine="672"/>
        <w:spacing w:after="0" w:line="262" w:lineRule="auto"/>
        <w:tabs>
          <w:tab w:leader="none" w:pos="991"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COMPENSATIONBASE SALARY. </w:t>
      </w:r>
      <w:r>
        <w:rPr>
          <w:rFonts w:ascii="Times New Roman" w:cs="Times New Roman" w:eastAsia="Times New Roman" w:hAnsi="Times New Roman"/>
          <w:sz w:val="18"/>
          <w:szCs w:val="18"/>
          <w:color w:val="auto"/>
        </w:rPr>
        <w:t>The Company agrees to pay Executive a base salary at an annual rate of $320,000,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accordance with the regular payroll practices of the Company. Executive's base salary shall be subject to annual review by the Board (or a committee thereof), and may be increased, but not decreased from time to time by the Board. The base salary as determined herein and adjusted from time to time shall constitute “Base Salary” for purposes of this Agreement.</w:t>
      </w:r>
    </w:p>
    <w:p>
      <w:pPr>
        <w:spacing w:after="0" w:line="176" w:lineRule="exact"/>
        <w:rPr>
          <w:sz w:val="20"/>
          <w:szCs w:val="20"/>
          <w:color w:val="auto"/>
        </w:rPr>
      </w:pPr>
    </w:p>
    <w:p>
      <w:pPr>
        <w:ind w:right="20" w:firstLine="692"/>
        <w:spacing w:after="0" w:line="254" w:lineRule="auto"/>
        <w:tabs>
          <w:tab w:leader="none" w:pos="106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BONUS. </w:t>
      </w:r>
      <w:r>
        <w:rPr>
          <w:rFonts w:ascii="Times New Roman" w:cs="Times New Roman" w:eastAsia="Times New Roman" w:hAnsi="Times New Roman"/>
          <w:sz w:val="18"/>
          <w:szCs w:val="18"/>
          <w:color w:val="auto"/>
        </w:rPr>
        <w:t>Executive shall be eligible to participate in any bonus plan as may be in effect from time to time for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of the Company (the “Annual Bonus”), with a target bonus opportunity of 50% of Base Salary (the “Target Bonus”) upon the attainment of one or more pre-established performance goals established by the Board or any committee thereof in its sole discretion, and a maximum bonus opportunity of l00% of Base Salary upon achievement of outperformance opportunities. To receive any Annual Bonus, the Executive must have been continuously employed by the Company or any of its subsidiaries through the date the applicable Annual Bonus becomes payable and be in "active working status" at the time of bonus payment, except as provided in Section 6(c). The Annual Bonus will become payable following completion and review by the Board of the Company's audited consolidated financial statements for the applicable fiscal year, which completion and review shall not be unreasonably delayed. For purposes of this Agreement, "active working status" shall mean that Executive has not resigned (or given notice of her intention to resign) and has not been terminated (or been given notice of termination) for any reason, with or without "cause" including, without limitation, as defined in Section 5.</w:t>
      </w:r>
    </w:p>
    <w:p>
      <w:pPr>
        <w:spacing w:after="0" w:line="185" w:lineRule="exact"/>
        <w:rPr>
          <w:rFonts w:ascii="Times New Roman" w:cs="Times New Roman" w:eastAsia="Times New Roman" w:hAnsi="Times New Roman"/>
          <w:sz w:val="18"/>
          <w:szCs w:val="18"/>
          <w:color w:val="auto"/>
        </w:rPr>
      </w:pPr>
    </w:p>
    <w:p>
      <w:pPr>
        <w:ind w:firstLine="692"/>
        <w:spacing w:after="0" w:line="259" w:lineRule="auto"/>
        <w:tabs>
          <w:tab w:leader="none" w:pos="106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EQUITY AWARD. </w:t>
      </w:r>
      <w:r>
        <w:rPr>
          <w:rFonts w:ascii="Times New Roman" w:cs="Times New Roman" w:eastAsia="Times New Roman" w:hAnsi="Times New Roman"/>
          <w:sz w:val="18"/>
          <w:szCs w:val="18"/>
          <w:color w:val="auto"/>
        </w:rPr>
        <w:t>Commencing on the first date annual incentive equity awards are granted to similarly situated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Effective Date and subject to the terms of the Company's 2021 Omnibus Incentive Plan (the “Plan”) and the approval of the Compensation Committee of the Board of Directors of the Company, Executive will also be eligible to receive annual grants of equity-based incentive compensation with a grant date fair market value of 150% of Executive's Base Salary as set forth in Section 3(a). Any such equity grant will be subject to proration for 2022 based on the number of days in such year that Executive is actually employed by the Company.</w:t>
      </w:r>
    </w:p>
    <w:p>
      <w:pPr>
        <w:spacing w:after="0" w:line="179"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225" w:lineRule="exact"/>
        <w:rPr>
          <w:sz w:val="20"/>
          <w:szCs w:val="20"/>
          <w:color w:val="auto"/>
        </w:rPr>
      </w:pPr>
    </w:p>
    <w:p>
      <w:pPr>
        <w:ind w:left="20" w:right="560" w:firstLine="654"/>
        <w:spacing w:after="0" w:line="286" w:lineRule="auto"/>
        <w:tabs>
          <w:tab w:leader="none" w:pos="10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BENEFIT PLANS. </w:t>
      </w:r>
      <w:r>
        <w:rPr>
          <w:rFonts w:ascii="Times New Roman" w:cs="Times New Roman" w:eastAsia="Times New Roman" w:hAnsi="Times New Roman"/>
          <w:sz w:val="18"/>
          <w:szCs w:val="18"/>
          <w:color w:val="auto"/>
        </w:rPr>
        <w:t>During the Employment Term, Executive shall be eligible to participate in any employee benefit plan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has adopted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may adopt, maintain or</w:t>
      </w:r>
    </w:p>
    <w:p>
      <w:pPr>
        <w:spacing w:after="0" w:line="15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240030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00" w:top="576" w:right="399" w:bottom="1440" w:gutter="0" w:footer="0" w:header="0"/>
        </w:sectPr>
      </w:pPr>
    </w:p>
    <w:bookmarkStart w:id="94" w:name="page95"/>
    <w:bookmarkEnd w:id="94"/>
    <w:p>
      <w:pPr>
        <w:jc w:val="both"/>
        <w:ind w:left="40" w:firstLine="18"/>
        <w:spacing w:after="0" w:line="261" w:lineRule="auto"/>
        <w:rPr>
          <w:sz w:val="20"/>
          <w:szCs w:val="20"/>
          <w:color w:val="auto"/>
        </w:rPr>
      </w:pPr>
      <w:r>
        <w:rPr>
          <w:rFonts w:ascii="Times New Roman" w:cs="Times New Roman" w:eastAsia="Times New Roman" w:hAnsi="Times New Roman"/>
          <w:sz w:val="18"/>
          <w:szCs w:val="18"/>
          <w:color w:val="auto"/>
        </w:rPr>
        <w:t>contribute to for the benefit of its senior executive employees generally, subject to the terms and conditions of such employee benefit plans, including satisfying the applicable eligibility requirements, except to the extent that such plans are duplicative of the benefits otherwise provided for hereunder. Executive's participation will be subject to the terms of the applicable plan documents and generally applicable Company policies, as may be in effect from time to time. Notwithstanding the foregoing, the Company may modify or terminate any employee benefit plan at any time.</w:t>
      </w:r>
    </w:p>
    <w:p>
      <w:pPr>
        <w:spacing w:after="0" w:line="176" w:lineRule="exact"/>
        <w:rPr>
          <w:sz w:val="20"/>
          <w:szCs w:val="20"/>
          <w:color w:val="auto"/>
        </w:rPr>
      </w:pPr>
    </w:p>
    <w:p>
      <w:pPr>
        <w:ind w:left="40" w:right="160" w:firstLine="670"/>
        <w:spacing w:after="0" w:line="262" w:lineRule="auto"/>
        <w:tabs>
          <w:tab w:leader="none" w:pos="1096"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EXPENSES. </w:t>
      </w:r>
      <w:r>
        <w:rPr>
          <w:rFonts w:ascii="Times New Roman" w:cs="Times New Roman" w:eastAsia="Times New Roman" w:hAnsi="Times New Roman"/>
          <w:sz w:val="18"/>
          <w:szCs w:val="18"/>
          <w:color w:val="auto"/>
        </w:rPr>
        <w:t>Upon presentation of reasonable substantiation and documentation as the Company may specify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Executive shall be reimbursed in accordance with the Company's expense reimbursement policy, for all reasonable out-of-pocket business expenses incurred and paid by Executive during the Employment Term and in connection with the performance of Executive's duties hereunder, in accordance with the Company's policies with regard thereto.</w:t>
      </w:r>
    </w:p>
    <w:p>
      <w:pPr>
        <w:spacing w:after="0" w:line="176" w:lineRule="exact"/>
        <w:rPr>
          <w:rFonts w:ascii="Times New Roman" w:cs="Times New Roman" w:eastAsia="Times New Roman" w:hAnsi="Times New Roman"/>
          <w:sz w:val="18"/>
          <w:szCs w:val="18"/>
          <w:color w:val="auto"/>
        </w:rPr>
      </w:pPr>
    </w:p>
    <w:p>
      <w:pPr>
        <w:ind w:left="20" w:firstLine="672"/>
        <w:spacing w:after="0" w:line="286" w:lineRule="auto"/>
        <w:tabs>
          <w:tab w:leader="none" w:pos="106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PAID TIME OFF. </w:t>
      </w:r>
      <w:r>
        <w:rPr>
          <w:rFonts w:ascii="Times New Roman" w:cs="Times New Roman" w:eastAsia="Times New Roman" w:hAnsi="Times New Roman"/>
          <w:sz w:val="18"/>
          <w:szCs w:val="18"/>
          <w:color w:val="auto"/>
        </w:rPr>
        <w:t>During the Employment Term, Executive shall be entitled to 28 days of paid time off per calendar year (as prorated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partial years) in accordance with the Company's policy on accrual and use applicable to employees as in effect from time to time.</w:t>
      </w:r>
    </w:p>
    <w:p>
      <w:pPr>
        <w:spacing w:after="0" w:line="154" w:lineRule="exact"/>
        <w:rPr>
          <w:rFonts w:ascii="Times New Roman" w:cs="Times New Roman" w:eastAsia="Times New Roman" w:hAnsi="Times New Roman"/>
          <w:sz w:val="18"/>
          <w:szCs w:val="18"/>
          <w:color w:val="auto"/>
        </w:rPr>
      </w:pPr>
    </w:p>
    <w:p>
      <w:pPr>
        <w:ind w:left="980" w:hanging="306"/>
        <w:spacing w:after="0"/>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Executive's employment and the Employment Term shall terminate on the first of the following to occur:</w:t>
      </w:r>
    </w:p>
    <w:p>
      <w:pPr>
        <w:spacing w:after="0" w:line="225" w:lineRule="exact"/>
        <w:rPr>
          <w:sz w:val="20"/>
          <w:szCs w:val="20"/>
          <w:color w:val="auto"/>
        </w:rPr>
      </w:pPr>
    </w:p>
    <w:p>
      <w:pPr>
        <w:jc w:val="both"/>
        <w:ind w:firstLine="674"/>
        <w:spacing w:after="0" w:line="268" w:lineRule="auto"/>
        <w:tabs>
          <w:tab w:leader="none" w:pos="10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DISABILITY. </w:t>
      </w:r>
      <w:r>
        <w:rPr>
          <w:rFonts w:ascii="Times New Roman" w:cs="Times New Roman" w:eastAsia="Times New Roman" w:hAnsi="Times New Roman"/>
          <w:sz w:val="18"/>
          <w:szCs w:val="18"/>
          <w:color w:val="auto"/>
        </w:rPr>
        <w:t>Upon ten (10) days' prior written notice by the Company to Executive of termination due to Disability.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“Disability” shall mean that Executive is unable to perform the duties and responsibilities contemplated under this Agreement for ninety (90) or more days in any one-year period due to physical or mental incapacity or impairment.</w:t>
      </w:r>
    </w:p>
    <w:p>
      <w:pPr>
        <w:spacing w:after="0" w:line="170" w:lineRule="exact"/>
        <w:rPr>
          <w:rFonts w:ascii="Times New Roman" w:cs="Times New Roman" w:eastAsia="Times New Roman" w:hAnsi="Times New Roman"/>
          <w:sz w:val="18"/>
          <w:szCs w:val="18"/>
          <w:color w:val="auto"/>
        </w:rPr>
      </w:pPr>
    </w:p>
    <w:p>
      <w:pPr>
        <w:ind w:left="980" w:hanging="315"/>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Automatically upon the date of death of Executive.</w:t>
      </w:r>
    </w:p>
    <w:p>
      <w:pPr>
        <w:spacing w:after="0" w:line="225" w:lineRule="exact"/>
        <w:rPr>
          <w:rFonts w:ascii="Times New Roman" w:cs="Times New Roman" w:eastAsia="Times New Roman" w:hAnsi="Times New Roman"/>
          <w:sz w:val="18"/>
          <w:szCs w:val="18"/>
          <w:color w:val="auto"/>
        </w:rPr>
      </w:pPr>
    </w:p>
    <w:p>
      <w:pPr>
        <w:ind w:right="100" w:firstLine="674"/>
        <w:spacing w:after="0" w:line="254" w:lineRule="auto"/>
        <w:tabs>
          <w:tab w:leader="none" w:pos="106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lmmediately (or, if applicable, upon the expiration of the cure period provided below) upon written notice by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 a termination for Cause in accordance with this subsection (c). For purposes of this Agreement, “Cause” shall mean (A) Executive's commission of or indictment for a felony or a fraud or a breach of a fiduciary duty to the Company or any of its Affiliates including embezzlement from the Company or any of its Affiliates, the misappropriation of funds or misappropriation of other property of the Company or any of its Affiliates, the attempt to willfully obtain any personal profit from any transaction which is adverse to the interests of the Company or any of its Affiliates and in which the Company or any of its Affiliates has an interest or any intentional act or intentional omission aiding or abetting a competitor, supplier or customer of the Company or any of its Affiliates to the material disadvantage or detriment of the Company and its Affiliates, (B) conduct by Executive that brings or could reasonably be expected to bring the Company or any Affiliate of the Company into public disgrace or disrepute or otherwise injures the integrity, character or reputation of the Company or any of its Affiliates, (C) gross negligence or willful misconduct by Executive with respect to the Company or any Affiliate of the Company, (D) Executive's non-performance of the material duties assigned to him or failure to carry out or comply with any lawful directives (including, without limitation, Executive's failure to cooperate with the Company, or any of its Affiliates, or any</w:t>
      </w:r>
    </w:p>
    <w:p>
      <w:pPr>
        <w:spacing w:after="0" w:line="18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240030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0" w:right="339" w:bottom="1440" w:gutter="0" w:footer="0" w:header="0"/>
        </w:sectPr>
      </w:pPr>
    </w:p>
    <w:bookmarkStart w:id="95" w:name="page96"/>
    <w:bookmarkEnd w:id="95"/>
    <w:p>
      <w:pPr>
        <w:jc w:val="both"/>
        <w:ind w:left="200" w:firstLine="18"/>
        <w:spacing w:after="0" w:line="253" w:lineRule="auto"/>
        <w:rPr>
          <w:sz w:val="20"/>
          <w:szCs w:val="20"/>
          <w:color w:val="auto"/>
        </w:rPr>
      </w:pPr>
      <w:r>
        <w:rPr>
          <w:rFonts w:ascii="Times New Roman" w:cs="Times New Roman" w:eastAsia="Times New Roman" w:hAnsi="Times New Roman"/>
          <w:sz w:val="18"/>
          <w:szCs w:val="18"/>
          <w:color w:val="auto"/>
        </w:rPr>
        <w:t>governmental body's investigation, inquiry, hearing or similar proceeding and/or Executive's failure to promptly notify the Board of, or material misstatements or omissions to the Board regarding, material developments regarding the Company, its subsidiaries, customers, suppliers, employees or otherwise), (E) Executive's insubordination or willful failure to follow the directions of the Board, (F) Executive's breach of the provisions of Section 8 of this Agreement or any other applicable restrictive covenants with the Company or any of its Affiliates, (G) Executive's breach of a material employment policy of the Company, (H) any other material breach by Executive of this Agreement or any other agreement with the Company or any of its Affiliates or (I) repeatedly reporting to work under the influence of alcohol or illegal drugs or repeatedly using illegal drugs or abusing alcohol or legal drugs, whether or not at the workplace, in such a fashion as to cause the Company or any of its subsidiaries or Affiliates economic harm or to affect Executive's ability to perform her assigned duties and responsibilities; provided, however, that "Cause" will exist under (B), (C), (D), (E), (F), (G) or (H) hereof only if the action giving rise to the Cause, to the extent such action is curable, remains uncured thirty (30) days after notice from the Company specifying in reasonable detail the nature of the Cause. The existence of “Cause” hereunder shall be determined by the Board in its good faith discretion. “Affiliate” means, with respect to the Company, any entity or person that controls, is controlled by or is under common control with the Company or an Affiliate of the Company.</w:t>
      </w:r>
    </w:p>
    <w:p>
      <w:pPr>
        <w:spacing w:after="0" w:line="186" w:lineRule="exact"/>
        <w:rPr>
          <w:sz w:val="20"/>
          <w:szCs w:val="20"/>
          <w:color w:val="auto"/>
        </w:rPr>
      </w:pPr>
    </w:p>
    <w:p>
      <w:pPr>
        <w:ind w:left="160" w:right="120" w:firstLine="674"/>
        <w:spacing w:after="0" w:line="286" w:lineRule="auto"/>
        <w:tabs>
          <w:tab w:leader="none" w:pos="121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WITHOUT CAUSE. </w:t>
      </w:r>
      <w:r>
        <w:rPr>
          <w:rFonts w:ascii="Times New Roman" w:cs="Times New Roman" w:eastAsia="Times New Roman" w:hAnsi="Times New Roman"/>
          <w:sz w:val="18"/>
          <w:szCs w:val="18"/>
          <w:color w:val="auto"/>
        </w:rPr>
        <w:t>Immediately upon written notice by the Company to Executive or, if provided in the written notice, such later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the written notice, of an involuntary termination without Cause (other than for death or Disability).</w:t>
      </w:r>
    </w:p>
    <w:p>
      <w:pPr>
        <w:spacing w:after="0" w:line="154" w:lineRule="exact"/>
        <w:rPr>
          <w:rFonts w:ascii="Times New Roman" w:cs="Times New Roman" w:eastAsia="Times New Roman" w:hAnsi="Times New Roman"/>
          <w:sz w:val="18"/>
          <w:szCs w:val="18"/>
          <w:color w:val="auto"/>
        </w:rPr>
      </w:pPr>
    </w:p>
    <w:p>
      <w:pPr>
        <w:ind w:left="160" w:right="40" w:firstLine="674"/>
        <w:spacing w:after="0" w:line="268" w:lineRule="auto"/>
        <w:tabs>
          <w:tab w:leader="none" w:pos="12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EXECUTIVE WITHOUT GOOD REASON. </w:t>
      </w:r>
      <w:r>
        <w:rPr>
          <w:rFonts w:ascii="Times New Roman" w:cs="Times New Roman" w:eastAsia="Times New Roman" w:hAnsi="Times New Roman"/>
          <w:sz w:val="18"/>
          <w:szCs w:val="18"/>
          <w:color w:val="auto"/>
        </w:rPr>
        <w:t>Upon ninety (90) days' prior written notice by Executive to the Company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voluntary termination of employment for any reason other than Good Reason (which the Company may, in its sole discretion, make effective earlier than any notice date).</w:t>
      </w:r>
    </w:p>
    <w:p>
      <w:pPr>
        <w:spacing w:after="0" w:line="170" w:lineRule="exact"/>
        <w:rPr>
          <w:rFonts w:ascii="Times New Roman" w:cs="Times New Roman" w:eastAsia="Times New Roman" w:hAnsi="Times New Roman"/>
          <w:sz w:val="18"/>
          <w:szCs w:val="18"/>
          <w:color w:val="auto"/>
        </w:rPr>
      </w:pPr>
    </w:p>
    <w:p>
      <w:pPr>
        <w:ind w:left="160" w:right="40" w:firstLine="674"/>
        <w:spacing w:after="0" w:line="254" w:lineRule="auto"/>
        <w:tabs>
          <w:tab w:leader="none" w:pos="118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EXECUTIVE WITH GOOD REASON. </w:t>
      </w:r>
      <w:r>
        <w:rPr>
          <w:rFonts w:ascii="Times New Roman" w:cs="Times New Roman" w:eastAsia="Times New Roman" w:hAnsi="Times New Roman"/>
          <w:sz w:val="18"/>
          <w:szCs w:val="18"/>
          <w:color w:val="auto"/>
        </w:rPr>
        <w:t>By written notice as set forth in this subsection (f) by Executive to the Company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for Good Reason. For purposes of this Agreement, “Good Reason” shall mean the occurrence of any of the following events without Executive's consent: (i) a material diminution of Base Salary (other than a reduction that generally affects all senior executives of the Company), or (ii) a material change of more than 60 miles in the geographic location at which Executive principally performs her services hereunder; provided, however, that any such event shall constitute Good Reason only if (x) Executive provides the Company with written notice describing in reasonable detail the conditions or action for which Executive believes she may resign for Good Reason within thirty (30) days of the initial occurrence (or Executive's knowledge thereof) of such condition or action, (y) the Company fails to cure the condition or action giving rise to Executive's assertion of “Good Reason” within thirty (30) days after receipt from Executive of written notice of the event which constitutes Good Reason; and (z) Executive actually terminates her employment for such uncured Good Reason event within ninety (90) days following the expiration of such thirty (30) day period referred to in clause (y) above.</w:t>
      </w:r>
    </w:p>
    <w:p>
      <w:pPr>
        <w:spacing w:after="0" w:line="185" w:lineRule="exact"/>
        <w:rPr>
          <w:sz w:val="20"/>
          <w:szCs w:val="20"/>
          <w:color w:val="auto"/>
        </w:rPr>
      </w:pPr>
    </w:p>
    <w:p>
      <w:pPr>
        <w:ind w:left="1140" w:hanging="329"/>
        <w:spacing w:after="0"/>
        <w:tabs>
          <w:tab w:leader="none" w:pos="11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CONSEQUENCES OF TERMINATION.</w:t>
      </w:r>
    </w:p>
    <w:p>
      <w:pPr>
        <w:spacing w:after="0" w:line="225" w:lineRule="exact"/>
        <w:rPr>
          <w:sz w:val="20"/>
          <w:szCs w:val="20"/>
          <w:color w:val="auto"/>
        </w:rPr>
      </w:pPr>
    </w:p>
    <w:p>
      <w:pPr>
        <w:ind w:left="-20" w:right="100" w:firstLine="818"/>
        <w:spacing w:after="0" w:line="286" w:lineRule="auto"/>
        <w:tabs>
          <w:tab w:leader="none" w:pos="116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FOR CAUSE OR RESIGNATION BY EXECUTIVE WITHOUT GOOD REASON. </w:t>
      </w:r>
      <w:r>
        <w:rPr>
          <w:rFonts w:ascii="Times New Roman" w:cs="Times New Roman" w:eastAsia="Times New Roman" w:hAnsi="Times New Roman"/>
          <w:sz w:val="18"/>
          <w:szCs w:val="18"/>
          <w:color w:val="auto"/>
        </w:rPr>
        <w:t>If Executive's employment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(1) by the Company for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96" w:name="page97"/>
    <w:bookmarkEnd w:id="96"/>
    <w:p>
      <w:pPr>
        <w:ind w:left="180"/>
        <w:spacing w:after="0"/>
        <w:rPr>
          <w:sz w:val="20"/>
          <w:szCs w:val="20"/>
          <w:color w:val="auto"/>
        </w:rPr>
      </w:pPr>
      <w:r>
        <w:rPr>
          <w:rFonts w:ascii="Times New Roman" w:cs="Times New Roman" w:eastAsia="Times New Roman" w:hAnsi="Times New Roman"/>
          <w:sz w:val="18"/>
          <w:szCs w:val="18"/>
          <w:color w:val="auto"/>
        </w:rPr>
        <w:t>Cause, or (2) by Executive for any reason other than Good Reason, then the Company shall pay to Executive the following:</w:t>
      </w:r>
    </w:p>
    <w:p>
      <w:pPr>
        <w:spacing w:after="0" w:line="225" w:lineRule="exact"/>
        <w:rPr>
          <w:sz w:val="20"/>
          <w:szCs w:val="20"/>
          <w:color w:val="auto"/>
        </w:rPr>
      </w:pPr>
    </w:p>
    <w:p>
      <w:pPr>
        <w:ind w:left="1820" w:hanging="320"/>
        <w:spacing w:after="0"/>
        <w:tabs>
          <w:tab w:leader="none" w:pos="182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Base Salary through the date of termination;</w:t>
      </w:r>
    </w:p>
    <w:p>
      <w:pPr>
        <w:spacing w:after="0" w:line="225" w:lineRule="exact"/>
        <w:rPr>
          <w:rFonts w:ascii="Times New Roman" w:cs="Times New Roman" w:eastAsia="Times New Roman" w:hAnsi="Times New Roman"/>
          <w:sz w:val="18"/>
          <w:szCs w:val="18"/>
          <w:color w:val="auto"/>
        </w:rPr>
      </w:pPr>
    </w:p>
    <w:p>
      <w:pPr>
        <w:ind w:left="1900" w:hanging="355"/>
        <w:spacing w:after="0"/>
        <w:tabs>
          <w:tab w:leader="none" w:pos="1900" w:val="left"/>
        </w:tabs>
        <w:numPr>
          <w:ilvl w:val="3"/>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any unreimbursed business expenses incurred through the date of termination;</w:t>
      </w:r>
    </w:p>
    <w:p>
      <w:pPr>
        <w:spacing w:after="0" w:line="225" w:lineRule="exact"/>
        <w:rPr>
          <w:rFonts w:ascii="Times New Roman" w:cs="Times New Roman" w:eastAsia="Times New Roman" w:hAnsi="Times New Roman"/>
          <w:sz w:val="18"/>
          <w:szCs w:val="18"/>
          <w:color w:val="auto"/>
        </w:rPr>
      </w:pPr>
    </w:p>
    <w:p>
      <w:pPr>
        <w:ind w:left="1800" w:hanging="327"/>
        <w:spacing w:after="0"/>
        <w:tabs>
          <w:tab w:leader="none" w:pos="18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unused vacation time in accordance with Company policy; and</w:t>
      </w:r>
    </w:p>
    <w:p>
      <w:pPr>
        <w:spacing w:after="0" w:line="225" w:lineRule="exact"/>
        <w:rPr>
          <w:rFonts w:ascii="Times New Roman" w:cs="Times New Roman" w:eastAsia="Times New Roman" w:hAnsi="Times New Roman"/>
          <w:sz w:val="18"/>
          <w:szCs w:val="18"/>
          <w:color w:val="auto"/>
        </w:rPr>
      </w:pPr>
    </w:p>
    <w:p>
      <w:pPr>
        <w:jc w:val="both"/>
        <w:ind w:left="800" w:firstLine="818"/>
        <w:spacing w:after="0" w:line="266" w:lineRule="auto"/>
        <w:tabs>
          <w:tab w:leader="none" w:pos="2138" w:val="left"/>
        </w:tabs>
        <w:numPr>
          <w:ilvl w:val="4"/>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payments, benefits or fringe benefits to which Executive shall be entitled under the terms of any applicable compensation arrangement or benefit, equity or fringe benefit plan or program or grant, in each case in accordance with their terms (collectively, Sections 6(a)(i) through 6(a)(iv) hereof shall be hereafter referred to as the “Accrued Benefits”).</w:t>
      </w:r>
    </w:p>
    <w:p>
      <w:pPr>
        <w:spacing w:after="0" w:line="171" w:lineRule="exact"/>
        <w:rPr>
          <w:rFonts w:ascii="Times New Roman" w:cs="Times New Roman" w:eastAsia="Times New Roman" w:hAnsi="Times New Roman"/>
          <w:sz w:val="18"/>
          <w:szCs w:val="18"/>
          <w:color w:val="auto"/>
        </w:rPr>
      </w:pPr>
    </w:p>
    <w:p>
      <w:pPr>
        <w:ind w:left="-20" w:right="320" w:firstLine="818"/>
        <w:spacing w:after="0" w:line="262" w:lineRule="auto"/>
        <w:tabs>
          <w:tab w:leader="none" w:pos="117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WITHOUT CAUSE BY THE COMPANY OR WITH GOOD REASON BY EXECUTIVE. </w:t>
      </w:r>
      <w:r>
        <w:rPr>
          <w:rFonts w:ascii="Times New Roman" w:cs="Times New Roman" w:eastAsia="Times New Roman" w:hAnsi="Times New Roman"/>
          <w:sz w:val="18"/>
          <w:szCs w:val="18"/>
          <w:color w:val="auto"/>
        </w:rPr>
        <w:t>If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is terminated (1) by the Company other than for Cause (other than for death or Disability), or (2) by Executive for Good Reason, then the Company shall pay or provide Executive with the following, subject to the provisions of Section 19 hereof, (with the amounts due under Section 6(b)(i) hereof to be paid within sixty (60) days following termination of employment, or such earlier date as may be required by applicable law):</w:t>
      </w:r>
    </w:p>
    <w:p>
      <w:pPr>
        <w:spacing w:after="0" w:line="180" w:lineRule="exact"/>
        <w:rPr>
          <w:rFonts w:ascii="Times New Roman" w:cs="Times New Roman" w:eastAsia="Times New Roman" w:hAnsi="Times New Roman"/>
          <w:sz w:val="18"/>
          <w:szCs w:val="18"/>
          <w:color w:val="auto"/>
        </w:rPr>
      </w:pPr>
    </w:p>
    <w:p>
      <w:pPr>
        <w:ind w:left="1800" w:hanging="327"/>
        <w:spacing w:after="0"/>
        <w:tabs>
          <w:tab w:leader="none" w:pos="18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Benefits; and</w:t>
      </w:r>
    </w:p>
    <w:p>
      <w:pPr>
        <w:spacing w:after="0" w:line="225" w:lineRule="exact"/>
        <w:rPr>
          <w:rFonts w:ascii="Times New Roman" w:cs="Times New Roman" w:eastAsia="Times New Roman" w:hAnsi="Times New Roman"/>
          <w:sz w:val="18"/>
          <w:szCs w:val="18"/>
          <w:color w:val="auto"/>
        </w:rPr>
      </w:pPr>
    </w:p>
    <w:p>
      <w:pPr>
        <w:ind w:left="1900" w:hanging="400"/>
        <w:spacing w:after="0"/>
        <w:tabs>
          <w:tab w:leader="none" w:pos="190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Executive's continued compliance with the obligations in Sections 7, 8 and 9 hereof,</w:t>
      </w:r>
    </w:p>
    <w:p>
      <w:pPr>
        <w:spacing w:after="0" w:line="225" w:lineRule="exact"/>
        <w:rPr>
          <w:rFonts w:ascii="Times New Roman" w:cs="Times New Roman" w:eastAsia="Times New Roman" w:hAnsi="Times New Roman"/>
          <w:sz w:val="18"/>
          <w:szCs w:val="18"/>
          <w:color w:val="auto"/>
        </w:rPr>
      </w:pPr>
    </w:p>
    <w:p>
      <w:pPr>
        <w:ind w:left="820" w:right="60" w:firstLine="1328"/>
        <w:spacing w:after="0" w:line="253" w:lineRule="auto"/>
        <w:tabs>
          <w:tab w:leader="none" w:pos="2581" w:val="left"/>
        </w:tabs>
        <w:numPr>
          <w:ilvl w:val="5"/>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 Executive's monthly Base Salary rate as in effect on the date of termination, paid in accordance with the Company's regular payroll processes in effect on the date of such termination of employment for a period of six (6) months following such termination and (2) the Annual Bonus, if any, Executive would have been entitled to receive for the year in which termination occurs (on a pro-rated basis for any partial year), based on actual financial results for such year and on an assumed target-level achievement by Executive of any personal performance objectives, paid on the same date as the payment of annual bonuses to other senior executives of the Company following completion and review by the Board of the Company's audited consolidated financial statements for the applicable fiscal year, which completion and review shall not be unreasonably delayed, but in no event later than the date that is 2½ months following the last day of the fiscal year of the Company in which such termination occurred; provided that to the extent that the payment of any amount constitutes "nonqualified deferred compensation" for purposes of Code Section 409A (as defined in Section 19 hereof) or as otherwise required to avoid any additional taxes or penalties under Code Section 409A, any such payment scheduled to occur during the first sixty (60) days following the termination of employment shall not be paid until the first regularly scheduled pay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97" w:name="page98"/>
    <w:bookmarkEnd w:id="97"/>
    <w:p>
      <w:pPr>
        <w:ind w:left="700" w:right="120" w:firstLine="18"/>
        <w:spacing w:after="0" w:line="282" w:lineRule="auto"/>
        <w:rPr>
          <w:sz w:val="20"/>
          <w:szCs w:val="20"/>
          <w:color w:val="auto"/>
        </w:rPr>
      </w:pPr>
      <w:r>
        <w:rPr>
          <w:rFonts w:ascii="Times New Roman" w:cs="Times New Roman" w:eastAsia="Times New Roman" w:hAnsi="Times New Roman"/>
          <w:sz w:val="18"/>
          <w:szCs w:val="18"/>
          <w:color w:val="auto"/>
        </w:rPr>
        <w:t>following the sixtieth (60th) day following such termination and shall include payment of any amount that was otherwise scheduled to be paid prior thereto.</w:t>
      </w:r>
    </w:p>
    <w:p>
      <w:pPr>
        <w:spacing w:after="0" w:line="158" w:lineRule="exact"/>
        <w:rPr>
          <w:sz w:val="20"/>
          <w:szCs w:val="20"/>
          <w:color w:val="auto"/>
        </w:rPr>
      </w:pPr>
    </w:p>
    <w:p>
      <w:pPr>
        <w:ind w:left="20" w:right="120" w:firstLine="690"/>
        <w:spacing w:after="0" w:line="262" w:lineRule="auto"/>
        <w:tabs>
          <w:tab w:leader="none" w:pos="1083"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UPON DEATH OR DISABILITY. </w:t>
      </w:r>
      <w:r>
        <w:rPr>
          <w:rFonts w:ascii="Times New Roman" w:cs="Times New Roman" w:eastAsia="Times New Roman" w:hAnsi="Times New Roman"/>
          <w:sz w:val="18"/>
          <w:szCs w:val="18"/>
          <w:color w:val="auto"/>
        </w:rPr>
        <w:t>If Executive's employment is terminated (1) on account of Executive's Disability then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pay or provide Executive with the following, subject to the provisions of Section 19 hereof, or (2) on account of Executive's death, Executive or Executive's estate, as the case may be, shall be entitled to the following (with the amounts due under Section 6(c)(i) hereof to be paid within sixty (60) days following termination of employment, or such earlier date as may be required by applicable law):</w:t>
      </w:r>
    </w:p>
    <w:p>
      <w:pPr>
        <w:spacing w:after="0" w:line="180" w:lineRule="exact"/>
        <w:rPr>
          <w:rFonts w:ascii="Times New Roman" w:cs="Times New Roman" w:eastAsia="Times New Roman" w:hAnsi="Times New Roman"/>
          <w:sz w:val="18"/>
          <w:szCs w:val="18"/>
          <w:color w:val="auto"/>
        </w:rPr>
      </w:pPr>
    </w:p>
    <w:p>
      <w:pPr>
        <w:ind w:left="1660" w:hanging="320"/>
        <w:spacing w:after="0"/>
        <w:tabs>
          <w:tab w:leader="none" w:pos="1660" w:val="left"/>
        </w:tabs>
        <w:numPr>
          <w:ilvl w:val="3"/>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Benefits; and</w:t>
      </w:r>
    </w:p>
    <w:p>
      <w:pPr>
        <w:spacing w:after="0" w:line="225" w:lineRule="exact"/>
        <w:rPr>
          <w:rFonts w:ascii="Times New Roman" w:cs="Times New Roman" w:eastAsia="Times New Roman" w:hAnsi="Times New Roman"/>
          <w:sz w:val="18"/>
          <w:szCs w:val="18"/>
          <w:color w:val="auto"/>
        </w:rPr>
      </w:pPr>
    </w:p>
    <w:p>
      <w:pPr>
        <w:ind w:left="680" w:right="60" w:firstLine="660"/>
        <w:spacing w:after="0" w:line="253" w:lineRule="auto"/>
        <w:tabs>
          <w:tab w:leader="none" w:pos="1746" w:val="left"/>
        </w:tabs>
        <w:numPr>
          <w:ilvl w:val="3"/>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if any, Executive would have been entitled to receive for the year in which such termination occurs (on a pro-rated basis for any partial year), based on actual financial results for such year and on an assumed target-level achievement by Executive of any personal performance objectives, paid on the same date as the payment of annual bonuses to other senior executives of the Company following completion and review by the Board of the Company's audited consolidated financial statements for the applicable fiscal year, which completion and review shall not be unreasonably delayed, but in no event later than the date that is 2½ months following the last day of the fiscal year of the Company in which such termination occurred; provided that to the extent that the payment of any amount constitutes "nonqualified deferred compensation" for purposes of Code Section 409A (as defined in Section 19 hereof) or as otherwise required to avoid any additional taxes or penalties under Code Section 409A, any such payment scheduled to occur during the first sixty (60) days following the termination of employment shall not be paid until the first regularly scheduled pay period following the sixtieth (60th) day following such termination and shall include payment of any amount that was otherwise scheduled to be paid prior thereto.</w:t>
      </w:r>
    </w:p>
    <w:p>
      <w:pPr>
        <w:spacing w:after="0" w:line="190" w:lineRule="exact"/>
        <w:rPr>
          <w:rFonts w:ascii="Times New Roman" w:cs="Times New Roman" w:eastAsia="Times New Roman" w:hAnsi="Times New Roman"/>
          <w:sz w:val="18"/>
          <w:szCs w:val="18"/>
          <w:color w:val="auto"/>
        </w:rPr>
      </w:pPr>
    </w:p>
    <w:p>
      <w:pPr>
        <w:ind w:left="20" w:right="400" w:firstLine="672"/>
        <w:spacing w:after="0" w:line="286" w:lineRule="auto"/>
        <w:tabs>
          <w:tab w:leader="none" w:pos="1076"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OBLIGATIONS. </w:t>
      </w:r>
      <w:r>
        <w:rPr>
          <w:rFonts w:ascii="Times New Roman" w:cs="Times New Roman" w:eastAsia="Times New Roman" w:hAnsi="Times New Roman"/>
          <w:sz w:val="18"/>
          <w:szCs w:val="18"/>
          <w:color w:val="auto"/>
        </w:rPr>
        <w:t>Upon any termination of Executive's employment with the Company, Executive shall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resigned from any other position as an officer, director or fiduciary of any Company-related entity.</w:t>
      </w:r>
    </w:p>
    <w:p>
      <w:pPr>
        <w:spacing w:after="0" w:line="154" w:lineRule="exact"/>
        <w:rPr>
          <w:rFonts w:ascii="Times New Roman" w:cs="Times New Roman" w:eastAsia="Times New Roman" w:hAnsi="Times New Roman"/>
          <w:sz w:val="18"/>
          <w:szCs w:val="18"/>
          <w:color w:val="auto"/>
        </w:rPr>
      </w:pPr>
    </w:p>
    <w:p>
      <w:pPr>
        <w:ind w:firstLine="692"/>
        <w:spacing w:after="0" w:line="256" w:lineRule="auto"/>
        <w:tabs>
          <w:tab w:leader="none" w:pos="106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EXCLUSIVE REMEDY. </w:t>
      </w:r>
      <w:r>
        <w:rPr>
          <w:rFonts w:ascii="Times New Roman" w:cs="Times New Roman" w:eastAsia="Times New Roman" w:hAnsi="Times New Roman"/>
          <w:sz w:val="18"/>
          <w:szCs w:val="18"/>
          <w:color w:val="auto"/>
        </w:rPr>
        <w:t>The amounts payable to Executive following termination of employment hereunder pursuant to Section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shall be in full and complete satisfaction of Executive's rights under this Agreement and any other claims that Executive may have in respect of Executive's employment with the Company or any of its Affiliates, and Executive acknowledges that such amounts are fair and reasonable, and are Executive's sole and exclusive remedy, in lieu of all other remedies at Jaw or in equity, with respect to the termination of Executive's employment hereunder or any breach of this Agreement. Without limiting the foregoing, payments and benefits provided in this Section 6 shall be in lieu of any termination or severance payments or benefits for which Executive may be eligible under any of the plans, policies or programs of the Company or under the Worker Adjustment Retraining Notification Act of 1988 or any similar state statute or regulation.</w:t>
      </w:r>
    </w:p>
    <w:p>
      <w:pPr>
        <w:spacing w:after="0" w:line="182" w:lineRule="exact"/>
        <w:rPr>
          <w:rFonts w:ascii="Times New Roman" w:cs="Times New Roman" w:eastAsia="Times New Roman" w:hAnsi="Times New Roman"/>
          <w:sz w:val="18"/>
          <w:szCs w:val="18"/>
          <w:color w:val="auto"/>
        </w:rPr>
      </w:pPr>
    </w:p>
    <w:p>
      <w:pPr>
        <w:ind w:left="20" w:right="420" w:firstLine="654"/>
        <w:spacing w:after="0" w:line="286" w:lineRule="auto"/>
        <w:tabs>
          <w:tab w:leader="none" w:pos="9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RELEASE. </w:t>
      </w:r>
      <w:r>
        <w:rPr>
          <w:rFonts w:ascii="Times New Roman" w:cs="Times New Roman" w:eastAsia="Times New Roman" w:hAnsi="Times New Roman"/>
          <w:sz w:val="18"/>
          <w:szCs w:val="18"/>
          <w:color w:val="auto"/>
        </w:rPr>
        <w:t>Any and all amounts payable and benefits (other than the Accrued Benefits) or additional rights provided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on termination of Executive's</w:t>
      </w:r>
    </w:p>
    <w:p>
      <w:pPr>
        <w:spacing w:after="0" w:line="15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240030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0" w:right="339" w:bottom="1440" w:gutter="0" w:footer="0" w:header="0"/>
        </w:sectPr>
      </w:pPr>
    </w:p>
    <w:bookmarkStart w:id="98" w:name="page99"/>
    <w:bookmarkEnd w:id="98"/>
    <w:p>
      <w:pPr>
        <w:ind w:left="30" w:firstLine="18"/>
        <w:spacing w:after="0" w:line="282" w:lineRule="auto"/>
        <w:rPr>
          <w:sz w:val="20"/>
          <w:szCs w:val="20"/>
          <w:color w:val="auto"/>
        </w:rPr>
      </w:pPr>
      <w:r>
        <w:rPr>
          <w:rFonts w:ascii="Times New Roman" w:cs="Times New Roman" w:eastAsia="Times New Roman" w:hAnsi="Times New Roman"/>
          <w:sz w:val="18"/>
          <w:szCs w:val="18"/>
          <w:color w:val="auto"/>
        </w:rPr>
        <w:t>employment, shall only be payable if Executive delivers to the Company and does not revoke a general release of claims in favor of the Company in the form attached as Exhibit A hereto (the “Release”) within sixty (60) days following Executive's termination of employment.</w:t>
      </w:r>
    </w:p>
    <w:p>
      <w:pPr>
        <w:spacing w:after="0" w:line="158" w:lineRule="exact"/>
        <w:rPr>
          <w:sz w:val="20"/>
          <w:szCs w:val="20"/>
          <w:color w:val="auto"/>
        </w:rPr>
      </w:pPr>
    </w:p>
    <w:p>
      <w:pPr>
        <w:ind w:left="1030" w:hanging="328"/>
        <w:spacing w:after="0"/>
        <w:tabs>
          <w:tab w:leader="none" w:pos="103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RESTRICTIVE COVENANTS.</w:t>
      </w:r>
    </w:p>
    <w:p>
      <w:pPr>
        <w:spacing w:after="0" w:line="225" w:lineRule="exact"/>
        <w:rPr>
          <w:rFonts w:ascii="Times New Roman" w:cs="Times New Roman" w:eastAsia="Times New Roman" w:hAnsi="Times New Roman"/>
          <w:sz w:val="18"/>
          <w:szCs w:val="18"/>
          <w:b w:val="1"/>
          <w:bCs w:val="1"/>
          <w:color w:val="auto"/>
        </w:rPr>
      </w:pPr>
    </w:p>
    <w:p>
      <w:pPr>
        <w:ind w:left="30" w:firstLine="690"/>
        <w:spacing w:after="0" w:line="252" w:lineRule="auto"/>
        <w:tabs>
          <w:tab w:leader="none" w:pos="109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CONFIDENTIALITY. </w:t>
      </w:r>
      <w:r>
        <w:rPr>
          <w:rFonts w:ascii="Times New Roman" w:cs="Times New Roman" w:eastAsia="Times New Roman" w:hAnsi="Times New Roman"/>
          <w:sz w:val="18"/>
          <w:szCs w:val="18"/>
          <w:color w:val="auto"/>
        </w:rPr>
        <w:t>During the course of Executive's employment with the Company, Executive has had and will have access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For purposes of this Agreement, “Confidential Information” means all non-public, confidential, or proprietary materials, data, information, ideas, concepts, discoveries, trade secrets, inventions (whether or not patentable or reduced to practice), innovations, improvements, know-how, developments, techniques, methods, processes, treatments, drawings, sketches, specifications, designs, plans, patterns, models, plans and strategies, and all other confidential or proprietary information or trade secrets all of the foregoing in any form or medium (whether merely remembered or embodied in a tangible or intangible form or medium) whether now or hereafter existing, relating to or arising from the past, current or potential business, activities and/or operations of the Company or any of its Affiliates (or any of their respective predecessors, successors or permitted assigns), including, without limitation, any such information relating to or concerning finances, sales, marketing, advertising, transition, promotions, pricing, personnel, customers, suppliers, vendors, partners and/or competitors, and any Inventions. Executive agrees that Executive shall not, directly or indirectly, use, make available, sell, disclose or otherwise communicate to any person, other than in the course of Executive's assigned duties and for the benefit of the Company, either during the period of Executive's employment or at any time thereafter, any Confidential Information or other confidential or proprietary information received from third parties subject to a duty on the Company's or its subsidiaries' or Affiliates' part to maintain the confidentiality of such information, and to use such information only for certain limited purposes strictly for the benefit of the Company or any of its Affiliates. The terms and conditions of this Agreement shall remain strictly confidential, and Executive hereby agrees not to disclose the terms and conditions hereof to any person or entity, other than immediate family members, legal advisors or personal tax or financial advisors, or, solely for the purpose of disclosing the limitations on Executive's conduct imposed by the provisions of this Section 8, prospective future employers who, in each case, agree in writing to keep such information confidential consistent with the terms of this Agreement.</w:t>
      </w:r>
    </w:p>
    <w:p>
      <w:pPr>
        <w:spacing w:after="0" w:line="193" w:lineRule="exact"/>
        <w:rPr>
          <w:sz w:val="20"/>
          <w:szCs w:val="20"/>
          <w:color w:val="auto"/>
        </w:rPr>
      </w:pPr>
    </w:p>
    <w:p>
      <w:pPr>
        <w:ind w:left="10" w:right="80" w:firstLine="674"/>
        <w:spacing w:after="0" w:line="269" w:lineRule="auto"/>
        <w:tabs>
          <w:tab w:leader="none" w:pos="1083"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NONCOMPETITION. </w:t>
      </w:r>
      <w:r>
        <w:rPr>
          <w:rFonts w:ascii="Times New Roman" w:cs="Times New Roman" w:eastAsia="Times New Roman" w:hAnsi="Times New Roman"/>
          <w:sz w:val="17"/>
          <w:szCs w:val="17"/>
          <w:color w:val="auto"/>
        </w:rPr>
        <w:t>Executive acknowledges that (i) Executive performs services of a unique nature for the Company that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irreplaceable, and that Executive's performance of such services to a competing business will result in irreparable harm to the Company, (ii) Executive has had and will continue to have access to Confidential Information, which, if disclosed, would unfairly and inappropriately assist in competition against the Company or any of its subsidiaries, (iii) in the course of Executive's employment by a competitor, Executive would inevitably use or disclose such Confidential Information, (iv) the Company and its subsidiaries have substantial relationships with their customers and Executive has had and will continue to have access to these customers, (v) Executive has received and will receive specialized training from the Company and its subsidiaries, and</w:t>
      </w:r>
    </w:p>
    <w:p>
      <w:pPr>
        <w:spacing w:after="0" w:line="3" w:lineRule="exact"/>
        <w:rPr>
          <w:rFonts w:ascii="Times New Roman" w:cs="Times New Roman" w:eastAsia="Times New Roman" w:hAnsi="Times New Roman"/>
          <w:sz w:val="17"/>
          <w:szCs w:val="17"/>
          <w:color w:val="auto"/>
        </w:rPr>
      </w:pPr>
    </w:p>
    <w:p>
      <w:pPr>
        <w:ind w:left="10" w:right="120" w:hanging="10"/>
        <w:spacing w:after="0" w:line="255" w:lineRule="auto"/>
        <w:tabs>
          <w:tab w:leader="none" w:pos="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generated and will continue to generate goodwill for the Company and its subsidiaries in the course of Executive's employment. Accordingly, during the Employment Term and for one (1) year thereafter, Executive agrees that Executive will not, directly or indirectly, own, manage, operate, control, be employed by (whether as an employee, consultant, independent contractor or otherwise, and</w:t>
      </w:r>
    </w:p>
    <w:p>
      <w:pPr>
        <w:spacing w:after="0" w:line="18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240030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80" w:right="339" w:bottom="1440" w:gutter="0" w:footer="0" w:header="0"/>
        </w:sectPr>
      </w:pPr>
    </w:p>
    <w:bookmarkStart w:id="99" w:name="page100"/>
    <w:bookmarkEnd w:id="99"/>
    <w:p>
      <w:pPr>
        <w:jc w:val="both"/>
        <w:ind w:firstLine="36"/>
        <w:spacing w:after="0" w:line="254" w:lineRule="auto"/>
        <w:rPr>
          <w:sz w:val="20"/>
          <w:szCs w:val="20"/>
          <w:color w:val="auto"/>
        </w:rPr>
      </w:pPr>
      <w:r>
        <w:rPr>
          <w:rFonts w:ascii="Times New Roman" w:cs="Times New Roman" w:eastAsia="Times New Roman" w:hAnsi="Times New Roman"/>
          <w:sz w:val="18"/>
          <w:szCs w:val="18"/>
          <w:color w:val="auto"/>
        </w:rPr>
        <w:t>whether or not for compensation) or render services to any person, firm, corporation or other entity, in whatever form, engaged in competition with the Company or any of its subsidiaries or in any other material business in which the Company or any of its subsidiaries is engaged on the date of termination or in which they have actively planned, on or prior to such date, to be engaged in on or after such date, in any locale of any country in which the Company conducts business or plans to conduct business. Notwithstanding the foregoing, nothing herein shall prohibit Executive from being a passive owner of not more than two percent (2%) of the equity securities of a publicly traded corporation engaged in a business that is in competition with the Company or any of its subsidiaries, so long as Executive has no active participation in the business of such corporation. For purposes of this Agreement, "control" means the possession, directly or indirectly, of the power to direct, or cause the direction of, the management and policies of any entity or person, whether through ownership of voting securities, contract or otherwise, and "controlled" and "controlling" shall have correlative meanings.</w:t>
      </w:r>
    </w:p>
    <w:p>
      <w:pPr>
        <w:spacing w:after="0" w:line="184" w:lineRule="exact"/>
        <w:rPr>
          <w:sz w:val="20"/>
          <w:szCs w:val="20"/>
          <w:color w:val="auto"/>
        </w:rPr>
      </w:pPr>
    </w:p>
    <w:p>
      <w:pPr>
        <w:ind w:left="1000" w:hanging="328"/>
        <w:spacing w:after="0"/>
        <w:tabs>
          <w:tab w:leader="none" w:pos="10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NONSOLICITATION; NONINTERFERENCE.</w:t>
      </w:r>
    </w:p>
    <w:p>
      <w:pPr>
        <w:spacing w:after="0" w:line="229" w:lineRule="exact"/>
        <w:rPr>
          <w:rFonts w:ascii="Times New Roman" w:cs="Times New Roman" w:eastAsia="Times New Roman" w:hAnsi="Times New Roman"/>
          <w:sz w:val="18"/>
          <w:szCs w:val="18"/>
          <w:color w:val="auto"/>
        </w:rPr>
      </w:pPr>
    </w:p>
    <w:p>
      <w:pPr>
        <w:ind w:left="660" w:right="220" w:firstLine="12"/>
        <w:spacing w:after="0" w:line="255" w:lineRule="auto"/>
        <w:tabs>
          <w:tab w:leader="none" w:pos="102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Term and for one year thereafter, Executive agrees that Executive shall not, except in the furtherance of Executive's duties hereunder, directly or indirectly, individually or on behalf of any other person, firm, corporation or other entity, (A) solicit, aid or induce any individual or entity that is, or was during the twelve-month period immediately prior to the termination of Executive's employment for any reason, a customer of the Company or any of its subsidiaries to purchase goods or services then sold by the Company or any of its subsidiaries from another person, firm, corporation or other entity or assist or aid any other persons or entity in identifying or soliciting any such customer or (B) interfere, or aid or induce any other person or entity in interfering, with the relationship between the Company or any of its subsidiaries and any of their respective vendors, or licensors.</w:t>
      </w:r>
    </w:p>
    <w:p>
      <w:pPr>
        <w:spacing w:after="0" w:line="188" w:lineRule="exact"/>
        <w:rPr>
          <w:rFonts w:ascii="Times New Roman" w:cs="Times New Roman" w:eastAsia="Times New Roman" w:hAnsi="Times New Roman"/>
          <w:sz w:val="18"/>
          <w:szCs w:val="18"/>
          <w:color w:val="auto"/>
        </w:rPr>
      </w:pPr>
    </w:p>
    <w:p>
      <w:pPr>
        <w:ind w:left="660" w:firstLine="660"/>
        <w:spacing w:after="0" w:line="253" w:lineRule="auto"/>
        <w:tabs>
          <w:tab w:leader="none" w:pos="172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Term and for two years thereafter, Executive agrees that Executive shall not, except in the furtherance of Executive's duties hereunder, directly or indirectly, individually or on behalf of any other person, firm, corporation or other entity, (A) solicit, aid or induce any employee of the Company or any of its subsidiaries to leave such employment or to accept employment with any other person, firm, corporation or other entity unaffiliated with the Company or hire or retain any such employee, or take any action to materially assist or aid any other person, firm, corporation or other entity in identifying, hiring or soliciting any such employee, or (B) interfere, or aid or induce any other person or entity in interfering, with the relationship between the Company or any of its subsidiaries and any of their joint ventures: provided, however, that this Section 8(c)(ii) shall not preclude Executive from (x) making generalized solicitations for employees of the Company through advertisements or search firms, (or hiring any such persons through such solicitation), provided that such solicitations are not specifically targeted at any such employee of the Company, or (y) soliciting or hiring any former employee of the Company, whose employment with the Company was terminated by such party at least three (3) months prior to such solicitation or hiring and whose termination was not encouraged, solicited or induced by Executive.</w:t>
      </w:r>
    </w:p>
    <w:p>
      <w:pPr>
        <w:spacing w:after="0" w:line="19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240030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20" w:top="580" w:right="339" w:bottom="1440" w:gutter="0" w:footer="0" w:header="0"/>
        </w:sectPr>
      </w:pPr>
    </w:p>
    <w:bookmarkStart w:id="100" w:name="page101"/>
    <w:bookmarkEnd w:id="100"/>
    <w:p>
      <w:pPr>
        <w:ind w:left="20" w:firstLine="670"/>
        <w:spacing w:after="0" w:line="254" w:lineRule="auto"/>
        <w:tabs>
          <w:tab w:leader="none" w:pos="107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PERMITTED USES OF TRADE SECRETS. </w:t>
      </w:r>
      <w:r>
        <w:rPr>
          <w:rFonts w:ascii="Times New Roman" w:cs="Times New Roman" w:eastAsia="Times New Roman" w:hAnsi="Times New Roman"/>
          <w:sz w:val="18"/>
          <w:szCs w:val="18"/>
          <w:color w:val="auto"/>
        </w:rPr>
        <w:t>Misappropriation of a trade secret of the Company or any Affiliate in breach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may subject Executive to liability under the Defend Trade Secrets Actof2016 (the “DTSA”), entitle such parties to injunctive relief, and require Executive to pay compensatory damages, double damages, and attorneys' fees. Notwithstanding any other provision of this Agreement, Executive hereby is notified in accordance with the DTSA that Executive will not be held criminally or civilly liable under any federal or state trade secret law for the disclosure of a trade secret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other proceeding, if such filing is made under seal. Executive is further notified that if Executive files a lawsuit for retaliation by the Company or any Affiliate for reporting a suspected violation of law, Executive may disclose such entity's trade secrets to Executive's attorney and use the trade secret information in the court proceeding if Executive files any document containing the trade secret under seal and does not disclose the trade secret except pursuant to court order.</w:t>
      </w:r>
    </w:p>
    <w:p>
      <w:pPr>
        <w:spacing w:after="0" w:line="185"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DISCLOSURE TO GOVERNMENTAL AND QUASI-</w:t>
      </w:r>
    </w:p>
    <w:p>
      <w:pPr>
        <w:spacing w:after="0" w:line="225" w:lineRule="exact"/>
        <w:rPr>
          <w:sz w:val="20"/>
          <w:szCs w:val="20"/>
          <w:color w:val="auto"/>
        </w:rPr>
      </w:pPr>
    </w:p>
    <w:p>
      <w:pPr>
        <w:jc w:val="both"/>
        <w:ind w:firstLine="1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GOVERNMENTAL ENTITIES. </w:t>
      </w:r>
      <w:r>
        <w:rPr>
          <w:rFonts w:ascii="Times New Roman" w:cs="Times New Roman" w:eastAsia="Times New Roman" w:hAnsi="Times New Roman"/>
          <w:sz w:val="18"/>
          <w:szCs w:val="18"/>
          <w:color w:val="auto"/>
        </w:rPr>
        <w:t>Nothing in this Agreement prohibits or restricts Executive from reporting possible violations of federal, state, or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or regulation to, or discussing any such possible violations with, any governmental agency or entity or self-regulatory organization, including by initiating communications directly with, responding to any inquiry from, or providing testimony before any federal, state, or local regulatory authority or agency or self-regulatory organization, including without limitation the Securities and Exchange Commission, the Equal Employment Opportunity Commission, FINRA, and the Occupational Safety and Health Administration, or making any other disclosures that are protected by the whistleblower provisions of any federal, state, or local law or regulation.</w:t>
      </w:r>
    </w:p>
    <w:p>
      <w:pPr>
        <w:spacing w:after="0" w:line="182" w:lineRule="exact"/>
        <w:rPr>
          <w:sz w:val="20"/>
          <w:szCs w:val="20"/>
          <w:color w:val="auto"/>
        </w:rPr>
      </w:pPr>
    </w:p>
    <w:p>
      <w:pPr>
        <w:jc w:val="both"/>
        <w:ind w:right="140" w:firstLine="654"/>
        <w:spacing w:after="0" w:line="268" w:lineRule="auto"/>
        <w:tabs>
          <w:tab w:leader="none" w:pos="100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EXTENSION OPTION. </w:t>
      </w:r>
      <w:r>
        <w:rPr>
          <w:rFonts w:ascii="Times New Roman" w:cs="Times New Roman" w:eastAsia="Times New Roman" w:hAnsi="Times New Roman"/>
          <w:sz w:val="18"/>
          <w:szCs w:val="18"/>
          <w:color w:val="auto"/>
        </w:rPr>
        <w:t>By notice given to Executive at least nine months before the end of the one-year periods referred to in Sections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8(b) and (c)(i), Company may extend such periods for up to an additional year, as long as the Company pays the monthly Base Salary, as referred to in Section 6(b)(ii)(A)(l) whether employment was terminated pursuant to any of Sections 5(c). 5(d) or 5(e).</w:t>
      </w:r>
    </w:p>
    <w:p>
      <w:pPr>
        <w:spacing w:after="0" w:line="170" w:lineRule="exact"/>
        <w:rPr>
          <w:rFonts w:ascii="Times New Roman" w:cs="Times New Roman" w:eastAsia="Times New Roman" w:hAnsi="Times New Roman"/>
          <w:sz w:val="18"/>
          <w:szCs w:val="18"/>
          <w:color w:val="auto"/>
        </w:rPr>
      </w:pPr>
    </w:p>
    <w:p>
      <w:pPr>
        <w:ind w:left="960" w:hanging="329"/>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INVENTIONS.</w:t>
      </w:r>
    </w:p>
    <w:p>
      <w:pPr>
        <w:spacing w:after="0" w:line="229" w:lineRule="exact"/>
        <w:rPr>
          <w:rFonts w:ascii="Times New Roman" w:cs="Times New Roman" w:eastAsia="Times New Roman" w:hAnsi="Times New Roman"/>
          <w:sz w:val="18"/>
          <w:szCs w:val="18"/>
          <w:color w:val="auto"/>
        </w:rPr>
      </w:pPr>
    </w:p>
    <w:p>
      <w:pPr>
        <w:ind w:left="640" w:right="80" w:firstLine="662"/>
        <w:spacing w:after="0" w:line="254" w:lineRule="auto"/>
        <w:tabs>
          <w:tab w:leader="none" w:pos="165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all ideas, designs, methods, inventions, discoveries, improvements, developments, technology, works of authorship, and all work product of any kind or nature whatsoever, whether patentable or unpatentable, (A) that relate to the business, products, activities, research, or development of the Company or Executive's work with the Company, made or conceived or developed by Executive, solely or jointly with others, during the Employment Term, or (B) that arise from any work that Executive performs in connection with the Company, either while performing Executive's duties with the Company or on Executive's own time, and all rights therein including without limitation in claims related thereto (all of the foregoing “Inventions”) shall belong exclusively to the Company (or its designee), whether or not patent applications are filed thereon. Executive hereby irrevocably conveys, transfers and assigns to the Company the Inventions and all intellectual property, proprietary, and other</w:t>
      </w:r>
    </w:p>
    <w:p>
      <w:pPr>
        <w:spacing w:after="0" w:line="19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240030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20" w:top="576" w:right="339" w:bottom="1440" w:gutter="0" w:footer="0" w:header="0"/>
        </w:sectPr>
      </w:pPr>
    </w:p>
    <w:bookmarkStart w:id="101" w:name="page102"/>
    <w:bookmarkEnd w:id="101"/>
    <w:p>
      <w:pPr>
        <w:jc w:val="both"/>
        <w:ind w:left="24" w:firstLine="18"/>
        <w:spacing w:after="0" w:line="253" w:lineRule="auto"/>
        <w:rPr>
          <w:sz w:val="20"/>
          <w:szCs w:val="20"/>
          <w:color w:val="auto"/>
        </w:rPr>
      </w:pPr>
      <w:r>
        <w:rPr>
          <w:rFonts w:ascii="Times New Roman" w:cs="Times New Roman" w:eastAsia="Times New Roman" w:hAnsi="Times New Roman"/>
          <w:sz w:val="18"/>
          <w:szCs w:val="18"/>
          <w:color w:val="auto"/>
        </w:rPr>
        <w:t>rights therein, including without limitation all rights in and to any patents, copyright registrations, trademark registrations, or other forms of protection that may issue thereon in any and all countries, whether during or subsequent to the Employment Term, together with the right to file, in Executive's name or in the name of the Company (or its designee), applications for patents and other rights and registrations (the “Applications”). Executive will, at the Company's sole cost and expense and at any time during and subsequent to the Employment Term, make such applications, sign such papers, take all rightful oaths, and perform all acts as may be requested from time to time by the Company with respect to the Inventions including without limitation to the perfection, registration, maintenance, or enforcement of any rights therein. Executive will also execute assignments to the Company (or its designee) of the Applications, and give the Company and its attorneys all reasonable assistance (including the giving of testimony) to obtain the Inventions and all intellectual property, proprietary, and other rights therein for the Company's benefit, all without additional compensation to Executive from the Company, but entirely at the Company's expense. Executive hereby irrevocably designates and appoints the Company and its duly authorized officers and agents as Executive's agent and attorney in fact, to act for and in Executive's behalf and stead to execute any documents and to do all other lawfully permitted acts in connection with the foregoing, if the Company is unable for any other reason to secure Executive's signature on any document for this purpose.</w:t>
      </w:r>
    </w:p>
    <w:p>
      <w:pPr>
        <w:spacing w:after="0" w:line="190" w:lineRule="exact"/>
        <w:rPr>
          <w:sz w:val="20"/>
          <w:szCs w:val="20"/>
          <w:color w:val="auto"/>
        </w:rPr>
      </w:pPr>
    </w:p>
    <w:p>
      <w:pPr>
        <w:ind w:left="-16" w:right="20" w:firstLine="16"/>
        <w:spacing w:after="0" w:line="252" w:lineRule="auto"/>
        <w:tabs>
          <w:tab w:leader="none" w:pos="40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Executive acknowledges that the Inventions are and will be deemed "work made for hire", as such term is defined under the copyright laws of the United States, on behalf of the Company and Executive agrees that the Company will be the sole owner of the Inventions, and all underlying rights therein, in all media now known or hereinafter devised, throughout the universe and in perpetuity without any further obligations to Executive. If the Inventions, or any portion thereof, are not or are deemed not to be "works made for hire", Executive hereby irrevocably conveys, transfers and assigns to the Company, all rights, in all media now known or hereinafter devised, throughout the universe and in perpetuity, in and to the Inventions, including, without limitation, all of Executive's right, title and interest in the copyrights, trademarks, and other intellectual property and proprietary rights (and all renewals, revivals and extensions thereof) in or to the Inventions, including, without limitation, all rights of any kind or any nature now or hereafter recognized, including, without limitation, the unrestricted right to make modifications, adaptations and revisions to the Inventions, to exploit and allow others to exploit the Inventions and all rights to sue at law or in equity for any infringement, or other unauthorized use or conduct in derogation of the Inventions or any intellectual property or other proprietary rights therein, known or unknown, including without limitation prior to the date hereof, including, without limitation, the right to receive all proceeds and damages therefrom. In addition, Executive hereby waives any so-called "moral rights" with respect to the Inventions. To the extent that Executive has any rights in the results and proceeds of Executive's service to the Company that cannot be assigned in the manner described herein, Executive agrees to and hereby does unconditionally waive the enforcement of such rights. Executive hereby waives any and all currently existing and future monetary rights in and to the Inventions and all patents, copyright registrations, trademark registrations, and other forms of protection that may issue thereon, including, without limitation, any rights that would otherwise accrue to Executive's benefit by virtue of Executive being an employee of or other service provider to the Company. Nothing</w:t>
      </w:r>
    </w:p>
    <w:p>
      <w:pPr>
        <w:spacing w:after="0" w:line="193" w:lineRule="exact"/>
        <w:rPr>
          <w:sz w:val="20"/>
          <w:szCs w:val="20"/>
          <w:color w:val="auto"/>
        </w:rPr>
      </w:pPr>
    </w:p>
    <w:p>
      <w:pPr>
        <w:ind w:left="470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240030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4"/>
          </w:cols>
          <w:pgMar w:left="1156" w:top="580" w:right="339" w:bottom="1440" w:gutter="0" w:footer="0" w:header="0"/>
        </w:sectPr>
      </w:pPr>
    </w:p>
    <w:bookmarkStart w:id="102" w:name="page103"/>
    <w:bookmarkEnd w:id="102"/>
    <w:p>
      <w:pPr>
        <w:jc w:val="both"/>
        <w:ind w:left="720" w:hanging="17"/>
        <w:spacing w:after="0" w:line="267" w:lineRule="auto"/>
        <w:rPr>
          <w:sz w:val="20"/>
          <w:szCs w:val="20"/>
          <w:color w:val="auto"/>
        </w:rPr>
      </w:pPr>
      <w:r>
        <w:rPr>
          <w:rFonts w:ascii="Times New Roman" w:cs="Times New Roman" w:eastAsia="Times New Roman" w:hAnsi="Times New Roman"/>
          <w:sz w:val="18"/>
          <w:szCs w:val="18"/>
          <w:color w:val="auto"/>
        </w:rPr>
        <w:t xml:space="preserve">contained in this Section 8(g)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otherwise this Agreement shall be construed to reduce or limit the Company's right, title, or interest .in any Inventions or any intellectual property, proprietary, or other rights therein so as to be less in any respect than the Company would have had in the absence of this Agreement.</w:t>
      </w:r>
    </w:p>
    <w:p>
      <w:pPr>
        <w:spacing w:after="0" w:line="175" w:lineRule="exact"/>
        <w:rPr>
          <w:sz w:val="20"/>
          <w:szCs w:val="20"/>
          <w:color w:val="auto"/>
        </w:rPr>
      </w:pPr>
    </w:p>
    <w:p>
      <w:pPr>
        <w:ind w:left="700" w:right="60" w:firstLine="658"/>
        <w:spacing w:after="0" w:line="274" w:lineRule="auto"/>
        <w:tabs>
          <w:tab w:leader="none" w:pos="1816" w:val="left"/>
        </w:tabs>
        <w:numPr>
          <w:ilvl w:val="3"/>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to the extent that Executive (i) was or is an employee of the Company and (ii) was or is based in the state of Washington or any other state that has enacted laws concerning employee non-assignability of inventions, or otherwise entitled to the benefits of the state statutes of Washington or any other state that has enacted Jaws concerning employee non-assignability of inventions, during the Employment Term, then, to the extent the assignment of Inventions to the Company in this Section 8(g) can be construed to cover inventions excluded under the appropriate state statutes (including, but not limited to, Revised Code of Washington Section 49.44.140(1), the full terms of which is set forth on Exhibit B attached hereto and which is incorporated herein by reference), Sections 8(g)(i) and (ii) shall not apply to such inventions.</w:t>
      </w:r>
    </w:p>
    <w:p>
      <w:pPr>
        <w:spacing w:after="0" w:line="172" w:lineRule="exact"/>
        <w:rPr>
          <w:rFonts w:ascii="Times New Roman" w:cs="Times New Roman" w:eastAsia="Times New Roman" w:hAnsi="Times New Roman"/>
          <w:sz w:val="17"/>
          <w:szCs w:val="17"/>
          <w:color w:val="auto"/>
        </w:rPr>
      </w:pPr>
    </w:p>
    <w:p>
      <w:pPr>
        <w:ind w:left="680" w:right="20" w:firstLine="660"/>
        <w:spacing w:after="0" w:line="254" w:lineRule="auto"/>
        <w:tabs>
          <w:tab w:leader="none" w:pos="1786"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improperly use for the benefit of, bring to any premises of, divulge, disclose, communicate, reveal, transfer or provide access to, integrate into or use for or to create any Inventions, or share with the Company, any confidential, proprietary or non-public information or intellectual property relating to a former employer or other third party without the prior written permission of such third party and any other necessary rights. Executive represents and warrants that she does not possess or own any rights in or to any confidential, proprietary or non-public information or intellectual property related to the business of the Company. Executive shall comply with all relevant agreements, policies and guidelines of the Company regarding the protection of confidential information and intellectual property and potential conflicts of interest, provided the same are consistent with the terms of this Agreement and Executive's duties to the Company and its Affiliates. Executive acknowledges that the Company may amend any such policies and guidelines from time to time, and that Executive remains at all times bound by their most current version.</w:t>
      </w:r>
    </w:p>
    <w:p>
      <w:pPr>
        <w:spacing w:after="0" w:line="184" w:lineRule="exact"/>
        <w:rPr>
          <w:rFonts w:ascii="Times New Roman" w:cs="Times New Roman" w:eastAsia="Times New Roman" w:hAnsi="Times New Roman"/>
          <w:sz w:val="18"/>
          <w:szCs w:val="18"/>
          <w:color w:val="auto"/>
        </w:rPr>
      </w:pPr>
    </w:p>
    <w:p>
      <w:pPr>
        <w:jc w:val="both"/>
        <w:ind w:firstLine="692"/>
        <w:spacing w:after="0" w:line="262" w:lineRule="auto"/>
        <w:tabs>
          <w:tab w:leader="none" w:pos="107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RETURN OF COMPANY PROPERTY. </w:t>
      </w:r>
      <w:r>
        <w:rPr>
          <w:rFonts w:ascii="Times New Roman" w:cs="Times New Roman" w:eastAsia="Times New Roman" w:hAnsi="Times New Roman"/>
          <w:sz w:val="18"/>
          <w:szCs w:val="18"/>
          <w:color w:val="auto"/>
        </w:rPr>
        <w:t>On the date of Executive's termination of employment with the Company for any reason (or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prior thereto at the Company's request), Executive shall return all Confidential Information and other property belonging to the Company or any of its Affiliates (including, but not limited to, any Company-provided wireless electronic mail devices or other equipment, or documents and property belonging to the Company).</w:t>
      </w:r>
    </w:p>
    <w:p>
      <w:pPr>
        <w:spacing w:after="0" w:line="176" w:lineRule="exact"/>
        <w:rPr>
          <w:rFonts w:ascii="Times New Roman" w:cs="Times New Roman" w:eastAsia="Times New Roman" w:hAnsi="Times New Roman"/>
          <w:sz w:val="18"/>
          <w:szCs w:val="18"/>
          <w:color w:val="auto"/>
        </w:rPr>
      </w:pPr>
    </w:p>
    <w:p>
      <w:pPr>
        <w:ind w:right="80" w:firstLine="674"/>
        <w:spacing w:after="0" w:line="256" w:lineRule="auto"/>
        <w:tabs>
          <w:tab w:leader="none" w:pos="101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REASONABLENESS OF COVENANTS. </w:t>
      </w:r>
      <w:r>
        <w:rPr>
          <w:rFonts w:ascii="Times New Roman" w:cs="Times New Roman" w:eastAsia="Times New Roman" w:hAnsi="Times New Roman"/>
          <w:sz w:val="18"/>
          <w:szCs w:val="18"/>
          <w:color w:val="auto"/>
        </w:rPr>
        <w:t>In signing this Agreement, Executive gives the Company assurance that Executive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carefully read and considered all of the terms and conditions of this Agreement, including the restraints imposed under this Section 8. Executive agrees that these restraints are necessary for the reasonable and proper protection of the Company and its Affiliates and their trade secrets and confidential information and that each and every one of the restraints is reasonable in respect to subject matter, length of time and geographic area, and that these restraints, individually or in the aggregate, will not prevent Executive from obtaining other suitable employment during the period in which Executive is bound by the restraints. Executive agrees that, before providing services, whether as an employee or consultant, to any entity during the period of time that Executive is subject to the constraints in Section 8(b) hereof,</w:t>
      </w:r>
    </w:p>
    <w:p>
      <w:pPr>
        <w:spacing w:after="0" w:line="18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240030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78" w:right="339" w:bottom="1440" w:gutter="0" w:footer="0" w:header="0"/>
        </w:sectPr>
      </w:pPr>
    </w:p>
    <w:bookmarkStart w:id="103" w:name="page104"/>
    <w:bookmarkEnd w:id="103"/>
    <w:p>
      <w:pPr>
        <w:jc w:val="both"/>
        <w:ind w:left="60" w:firstLine="36"/>
        <w:spacing w:after="0" w:line="254" w:lineRule="auto"/>
        <w:rPr>
          <w:sz w:val="20"/>
          <w:szCs w:val="20"/>
          <w:color w:val="auto"/>
        </w:rPr>
      </w:pPr>
      <w:r>
        <w:rPr>
          <w:rFonts w:ascii="Times New Roman" w:cs="Times New Roman" w:eastAsia="Times New Roman" w:hAnsi="Times New Roman"/>
          <w:sz w:val="18"/>
          <w:szCs w:val="18"/>
          <w:color w:val="auto"/>
        </w:rPr>
        <w:t>Executive will provide a copy of this Agreement (including, without limitation, this Section 8) to such entity, and the Company shall be entitled to share a copy of this Agreement (including, without limitation, this Section 8) with such entity or any other entity to which Executive performs services. Executive acknowledges that each of these covenants has a unique, very substantial and immeasurable value to the Company and its Affiliates and that Executive has sufficient assets and skills to provide a livelihood while such covenants remain in force. Executive further covenants that Executive will not challenge the reasonableness or enforceability of any of the covenants set forth in this Section 8, and that Executive will reimburse the Company and its Affiliates for all costs (including reasonable attorneys' fees) incurred in connection with any action to enforce any of the provisions of this Section 8 if either the Company and/or any of its Affiliates prevails on any material issue involved in such dispute. It is also agreed that each of the Company's Affiliates will have the right to enforce all of Executive's obligations to that Affiliate under this Agreement and shall be third party beneficiaries hereunder, including without limitation pursuant to this Section 8.</w:t>
      </w:r>
    </w:p>
    <w:p>
      <w:pPr>
        <w:spacing w:after="0" w:line="184" w:lineRule="exact"/>
        <w:rPr>
          <w:sz w:val="20"/>
          <w:szCs w:val="20"/>
          <w:color w:val="auto"/>
        </w:rPr>
      </w:pPr>
    </w:p>
    <w:p>
      <w:pPr>
        <w:ind w:left="60" w:right="140" w:firstLine="656"/>
        <w:spacing w:after="0" w:line="268" w:lineRule="auto"/>
        <w:tabs>
          <w:tab w:leader="none" w:pos="107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REFORMATION. </w:t>
      </w:r>
      <w:r>
        <w:rPr>
          <w:rFonts w:ascii="Times New Roman" w:cs="Times New Roman" w:eastAsia="Times New Roman" w:hAnsi="Times New Roman"/>
          <w:sz w:val="18"/>
          <w:szCs w:val="18"/>
          <w:color w:val="auto"/>
        </w:rPr>
        <w:t>If it is determined by a court of competent jurisdiction in any state that any restriction in this Section 8 is excessive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duration or scope or is unreasonable or unenforceable under applicable law, it is the intention of the parties that such restriction may be modified or amended by the court to render it enforceable to the maximum extent permitted by the laws of that state.</w:t>
      </w:r>
    </w:p>
    <w:p>
      <w:pPr>
        <w:spacing w:after="0" w:line="171" w:lineRule="exact"/>
        <w:rPr>
          <w:sz w:val="20"/>
          <w:szCs w:val="20"/>
          <w:color w:val="auto"/>
        </w:rPr>
      </w:pPr>
    </w:p>
    <w:p>
      <w:pPr>
        <w:ind w:left="40" w:right="100" w:firstLine="658"/>
        <w:spacing w:after="0" w:line="268" w:lineRule="auto"/>
        <w:tabs>
          <w:tab w:leader="none" w:pos="109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TOLLING. </w:t>
      </w:r>
      <w:r>
        <w:rPr>
          <w:rFonts w:ascii="Times New Roman" w:cs="Times New Roman" w:eastAsia="Times New Roman" w:hAnsi="Times New Roman"/>
          <w:sz w:val="18"/>
          <w:szCs w:val="18"/>
          <w:color w:val="auto"/>
        </w:rPr>
        <w:t>In the event of any violation of the provisions of this Section 8, Executive acknowledges and agrees that the post-termination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contained in this Section 8 shall be extended by a period of time equal to the period of such violation, it being the intention of the parties hereto that the running of the applicable post-termination restriction period shall be tolled during any period of such violation.</w:t>
      </w:r>
    </w:p>
    <w:p>
      <w:pPr>
        <w:spacing w:after="0" w:line="171" w:lineRule="exact"/>
        <w:rPr>
          <w:sz w:val="20"/>
          <w:szCs w:val="20"/>
          <w:color w:val="auto"/>
        </w:rPr>
      </w:pPr>
    </w:p>
    <w:p>
      <w:pPr>
        <w:ind w:left="40" w:firstLine="658"/>
        <w:spacing w:after="0" w:line="286" w:lineRule="auto"/>
        <w:tabs>
          <w:tab w:leader="none" w:pos="978"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SURVIVAL OF PROVISIONS. </w:t>
      </w:r>
      <w:r>
        <w:rPr>
          <w:rFonts w:ascii="Times New Roman" w:cs="Times New Roman" w:eastAsia="Times New Roman" w:hAnsi="Times New Roman"/>
          <w:sz w:val="18"/>
          <w:szCs w:val="18"/>
          <w:color w:val="auto"/>
        </w:rPr>
        <w:t>The obligations contained in Sections 8 and 9. hereof shall survive the termination of the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the non-renewal of this Agreement and Executive's employment with the Company and shall be fully enforceable thereafter.</w:t>
      </w:r>
    </w:p>
    <w:p>
      <w:pPr>
        <w:spacing w:after="0" w:line="154" w:lineRule="exact"/>
        <w:rPr>
          <w:rFonts w:ascii="Times New Roman" w:cs="Times New Roman" w:eastAsia="Times New Roman" w:hAnsi="Times New Roman"/>
          <w:sz w:val="18"/>
          <w:szCs w:val="18"/>
          <w:b w:val="1"/>
          <w:bCs w:val="1"/>
          <w:color w:val="auto"/>
        </w:rPr>
      </w:pPr>
    </w:p>
    <w:p>
      <w:pPr>
        <w:ind w:right="40" w:firstLine="680"/>
        <w:spacing w:after="0" w:line="254" w:lineRule="auto"/>
        <w:tabs>
          <w:tab w:leader="none" w:pos="999"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COOPERATION. </w:t>
      </w:r>
      <w:r>
        <w:rPr>
          <w:rFonts w:ascii="Times New Roman" w:cs="Times New Roman" w:eastAsia="Times New Roman" w:hAnsi="Times New Roman"/>
          <w:sz w:val="18"/>
          <w:szCs w:val="18"/>
          <w:color w:val="auto"/>
        </w:rPr>
        <w:t>Upon the receipt of reasonable notice from the Company (including outside counsel), Executive agrees that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employed by the Company and thereafter, Executive will respond and provide information with regard to matters in which Executive has knowledge as a result of Executive's employment with the Company, and will provide reasonable assistance to the Company, its Affiliates and their respective representatives in defense of any claims that may be made against the Company or its Affiliates, and will assist the Company and its Affiliates in the prosecution of any claims that may be made by the Company or its Affiliates, to the extent that such claims may relate to the period of Executive's employment with the Company (collectively, the “Claims”), all at the Company's sole cost and expense. Executive agrees to promptly inform the Board if Executive becomes aware of any lawsuits involving Claims that may be filed or threatened against the Company or its Affiliates. Executive also agrees to promptly inform the Board (to the extent that Executive is legally permitted to do so) if Executive is asked to assist in any investigation of the Company or its Affiliates (or their actions) or another party attempts to obtain information or documents from Executive (other than in connection with any litigation or other proceeding in which Executive is a party-in-opposition) with respect to matters Executive believes io good faith to relate to any investigation of the Company or its</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240030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580" w:right="339" w:bottom="1440" w:gutter="0" w:footer="0" w:header="0"/>
        </w:sectPr>
      </w:pPr>
    </w:p>
    <w:bookmarkStart w:id="104" w:name="page105"/>
    <w:bookmarkEnd w:id="104"/>
    <w:p>
      <w:pPr>
        <w:jc w:val="both"/>
        <w:spacing w:after="0" w:line="256" w:lineRule="auto"/>
        <w:rPr>
          <w:sz w:val="20"/>
          <w:szCs w:val="20"/>
          <w:color w:val="auto"/>
        </w:rPr>
      </w:pPr>
      <w:r>
        <w:rPr>
          <w:rFonts w:ascii="Times New Roman" w:cs="Times New Roman" w:eastAsia="Times New Roman" w:hAnsi="Times New Roman"/>
          <w:sz w:val="18"/>
          <w:szCs w:val="18"/>
          <w:color w:val="auto"/>
        </w:rPr>
        <w:t>Affiliates, in each case, regardless of whether a lawsuit or other proceeding has then been filed against the Company or its Affiliates with respect to such investigation, and shall not do so unless legally required. During the pendency of any litigation or other proceeding involving Claims, Executive shall not communicate with anyone (other than Executive's attorneys and tax and/or financial advisors and except to the extent that Executive determines in good faith is necessary in connection with the performance of Executive's duties hereunder) with respect to the facts or subject matter of any pending or potential litigation or regulatory or administrative proceeding involving the Company or any of its Affiliates without giving prior written notice to the Board or the Company's counsel.</w:t>
      </w:r>
    </w:p>
    <w:p>
      <w:pPr>
        <w:spacing w:after="0" w:line="183" w:lineRule="exact"/>
        <w:rPr>
          <w:sz w:val="20"/>
          <w:szCs w:val="20"/>
          <w:color w:val="auto"/>
        </w:rPr>
      </w:pPr>
    </w:p>
    <w:p>
      <w:pPr>
        <w:ind w:right="40" w:firstLine="656"/>
        <w:spacing w:after="0" w:line="256" w:lineRule="auto"/>
        <w:tabs>
          <w:tab w:leader="none" w:pos="1071"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EQUITABLE RELIEF AND OTHER REMEDIES. </w:t>
      </w:r>
      <w:r>
        <w:rPr>
          <w:rFonts w:ascii="Times New Roman" w:cs="Times New Roman" w:eastAsia="Times New Roman" w:hAnsi="Times New Roman"/>
          <w:sz w:val="18"/>
          <w:szCs w:val="18"/>
          <w:color w:val="auto"/>
        </w:rPr>
        <w:t>Executive acknowledges and agrees that the Company's remedies at law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 or threatened breach of any of the provisions of Section 8 or Section 9 hereof would be inadequate and, in recognition of this fact, Executive agrees that, in the event of such a breach or threatened breach, in addition to any remedies at law, the Company, shall be entitled to obtain equitable relief in the form of specific performance, a temporary restraining order, a temporary or permanent injunction or any other equitable remedy which may then be available. In the event of a violation by Executive of Section 8 or Section 9 hereof, any severance or other benefits being paid or provided to Executive and/or Executive's dependents pursuant to this Agreement or otherwise shall immediately cease, and any severance previously paid to Executive shall be immediately repaid to the Company.</w:t>
      </w:r>
    </w:p>
    <w:p>
      <w:pPr>
        <w:spacing w:after="0" w:line="182" w:lineRule="exact"/>
        <w:rPr>
          <w:rFonts w:ascii="Times New Roman" w:cs="Times New Roman" w:eastAsia="Times New Roman" w:hAnsi="Times New Roman"/>
          <w:sz w:val="18"/>
          <w:szCs w:val="18"/>
          <w:b w:val="1"/>
          <w:bCs w:val="1"/>
          <w:color w:val="auto"/>
        </w:rPr>
      </w:pPr>
    </w:p>
    <w:p>
      <w:pPr>
        <w:ind w:right="60" w:firstLine="656"/>
        <w:spacing w:after="0" w:line="256" w:lineRule="auto"/>
        <w:tabs>
          <w:tab w:leader="none" w:pos="1061"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ASSIGNMENTS. </w:t>
      </w:r>
      <w:r>
        <w:rPr>
          <w:rFonts w:ascii="Times New Roman" w:cs="Times New Roman" w:eastAsia="Times New Roman" w:hAnsi="Times New Roman"/>
          <w:sz w:val="18"/>
          <w:szCs w:val="18"/>
          <w:color w:val="auto"/>
        </w:rPr>
        <w:t>This Agreement shall be binding on and inure to the benefit of the parties hereto and their respective heirs,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executors and administrators, successors and assigns, except that the rights and obligations of Executive hereunder are personal and may not be assigned without the Company's prior written consent. In addition, the Company may assign this Agreement and its rights and obligations to any successor to all of substantially all of the business and/or assets of the Company, provided that the Company shall require such successor to expressly assume and agree to perform this Agreement in the same manner and to the same extent that the Company would be required to perform it if no such succession had taken place. As used in this Agreement, “Company” shall mean the Company and any assignee set forth above or successor to its business and/or assets, which assumes and agrees to perform the duties and obligations of the Company under this Agreement by operation of law or otherwise.</w:t>
      </w:r>
    </w:p>
    <w:p>
      <w:pPr>
        <w:spacing w:after="0" w:line="182" w:lineRule="exact"/>
        <w:rPr>
          <w:rFonts w:ascii="Times New Roman" w:cs="Times New Roman" w:eastAsia="Times New Roman" w:hAnsi="Times New Roman"/>
          <w:sz w:val="18"/>
          <w:szCs w:val="18"/>
          <w:b w:val="1"/>
          <w:bCs w:val="1"/>
          <w:color w:val="auto"/>
        </w:rPr>
      </w:pPr>
    </w:p>
    <w:p>
      <w:pPr>
        <w:ind w:right="20" w:firstLine="656"/>
        <w:spacing w:after="0" w:line="256" w:lineRule="auto"/>
        <w:tabs>
          <w:tab w:leader="none" w:pos="1071"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For purposes of this Agreement, notices and all other communications provided for in this Agreement shall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have been duly given (a) on the date of delivery, if delivered by hand, (b) on the date of transmission, if delivered by confirmed facsimile or electronic mail, (c) on the first business day following the date of deposit, if delivered by guaranteed overnight delivery service, or (d) on the fourth business day following the date delivered or mailed by United States registered or certified mail, return receipt requested, postage prepaid, addressed, if to Executive at the address (or to the facsimile number) shown in the books and records of the Company, and if to the Company at its principal executive office, or to such other address as either party may have furnished to the other in writing in accordance herewith, except that notices of change of address shall be effective only upon receipt.</w:t>
      </w:r>
    </w:p>
    <w:p>
      <w:pPr>
        <w:spacing w:after="0" w:line="182" w:lineRule="exact"/>
        <w:rPr>
          <w:rFonts w:ascii="Times New Roman" w:cs="Times New Roman" w:eastAsia="Times New Roman" w:hAnsi="Times New Roman"/>
          <w:sz w:val="18"/>
          <w:szCs w:val="18"/>
          <w:b w:val="1"/>
          <w:bCs w:val="1"/>
          <w:color w:val="auto"/>
        </w:rPr>
      </w:pPr>
    </w:p>
    <w:p>
      <w:pPr>
        <w:ind w:firstLine="638"/>
        <w:spacing w:after="0" w:line="286" w:lineRule="auto"/>
        <w:tabs>
          <w:tab w:leader="none" w:pos="1053"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HEADINGS; INCONSISTENCY. </w:t>
      </w:r>
      <w:r>
        <w:rPr>
          <w:rFonts w:ascii="Times New Roman" w:cs="Times New Roman" w:eastAsia="Times New Roman" w:hAnsi="Times New Roman"/>
          <w:sz w:val="18"/>
          <w:szCs w:val="18"/>
          <w:color w:val="auto"/>
        </w:rPr>
        <w:t>The section headings used in this Agreement are included solely for convenience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or be used in connection with, the interpretation of this Agreement. In the event of any inconsistency between the terms of this</w:t>
      </w:r>
    </w:p>
    <w:p>
      <w:pPr>
        <w:spacing w:after="0" w:line="15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240030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0" w:right="339" w:bottom="1440" w:gutter="0" w:footer="0" w:header="0"/>
        </w:sectPr>
      </w:pPr>
    </w:p>
    <w:bookmarkStart w:id="105" w:name="page106"/>
    <w:bookmarkEnd w:id="105"/>
    <w:p>
      <w:pPr>
        <w:ind w:left="40"/>
        <w:spacing w:after="0"/>
        <w:rPr>
          <w:sz w:val="20"/>
          <w:szCs w:val="20"/>
          <w:color w:val="auto"/>
        </w:rPr>
      </w:pPr>
      <w:r>
        <w:rPr>
          <w:rFonts w:ascii="Times New Roman" w:cs="Times New Roman" w:eastAsia="Times New Roman" w:hAnsi="Times New Roman"/>
          <w:sz w:val="18"/>
          <w:szCs w:val="18"/>
          <w:color w:val="auto"/>
        </w:rPr>
        <w:t>Agreement and any form, award, plan or policy of the Company, the terms of this Agreement shall govern and control.</w:t>
      </w:r>
    </w:p>
    <w:p>
      <w:pPr>
        <w:spacing w:after="0" w:line="221" w:lineRule="exact"/>
        <w:rPr>
          <w:sz w:val="20"/>
          <w:szCs w:val="20"/>
          <w:color w:val="auto"/>
        </w:rPr>
      </w:pPr>
    </w:p>
    <w:p>
      <w:pPr>
        <w:ind w:left="20" w:right="240" w:firstLine="638"/>
        <w:spacing w:after="0" w:line="286" w:lineRule="auto"/>
        <w:tabs>
          <w:tab w:leader="none" w:pos="1073"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provisions of this Agreement shall be deemed severable and the invalidity or unenforceability of any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affect the validity or enforceability of the other provisions hereof</w:t>
      </w:r>
    </w:p>
    <w:p>
      <w:pPr>
        <w:spacing w:after="0" w:line="154" w:lineRule="exact"/>
        <w:rPr>
          <w:rFonts w:ascii="Times New Roman" w:cs="Times New Roman" w:eastAsia="Times New Roman" w:hAnsi="Times New Roman"/>
          <w:sz w:val="18"/>
          <w:szCs w:val="18"/>
          <w:b w:val="1"/>
          <w:bCs w:val="1"/>
          <w:color w:val="auto"/>
        </w:rPr>
      </w:pPr>
    </w:p>
    <w:p>
      <w:pPr>
        <w:ind w:left="20" w:right="60" w:firstLine="638"/>
        <w:spacing w:after="0" w:line="286" w:lineRule="auto"/>
        <w:tabs>
          <w:tab w:leader="none" w:pos="1073"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several cow1terparts, each of which shall be deemed to be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will constitute one and the same instrument.</w:t>
      </w:r>
    </w:p>
    <w:p>
      <w:pPr>
        <w:spacing w:after="0" w:line="154" w:lineRule="exact"/>
        <w:rPr>
          <w:rFonts w:ascii="Times New Roman" w:cs="Times New Roman" w:eastAsia="Times New Roman" w:hAnsi="Times New Roman"/>
          <w:sz w:val="18"/>
          <w:szCs w:val="18"/>
          <w:b w:val="1"/>
          <w:bCs w:val="1"/>
          <w:color w:val="auto"/>
        </w:rPr>
      </w:pPr>
    </w:p>
    <w:p>
      <w:pPr>
        <w:ind w:left="20" w:firstLine="638"/>
        <w:spacing w:after="0" w:line="252" w:lineRule="auto"/>
        <w:tabs>
          <w:tab w:leader="none" w:pos="1073"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JURISDICTION. </w:t>
      </w:r>
      <w:r>
        <w:rPr>
          <w:rFonts w:ascii="Times New Roman" w:cs="Times New Roman" w:eastAsia="Times New Roman" w:hAnsi="Times New Roman"/>
          <w:sz w:val="18"/>
          <w:szCs w:val="18"/>
          <w:color w:val="auto"/>
        </w:rPr>
        <w:t>This Agreement, the rights and obligations of the parties hereto, and any claims or disputes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thereto, shall be governed by and construed in accordance with the laws of the State of Delaware without regard to its choice of law provisions. Each of the parties agrees that any dispute between the parties shall be resolved only in the courts of the State of Delaware or the United States District Court for the District of Delaware and the appellate courts having jurisdiction of appeals in such courts. In that context, and without limiting the generality of the foregoing, each of the parties hereto irrevocably and unconditionally (a) submits in any proceeding relating to this Agreement or Executive's employment by the Company or any Affiliate, or for the recognition and enforcement of any judgment in respect thereof (a “Proceeding”), to the exclusive jurisdiction of the courts of the State of Delaware, the court of the United States of America for the District of Delaware, and appellate courts having jurisdiction of appeals from any of the foregoing, and agrees that all claims in respect of any such Proceeding shall be heard and determined in such Delaware State court or, to the extent permitted by law, in such federal court, (b) consents that any such Proceeding may and shall be brought in such courts and waives any objection that Executive or the Company may now or thereafter have to the venue or jurisdiction of any such Proceeding in any such court or that such Proceeding was brought in an inconvenient court and agrees not to plead or claim the same, (c) WAIVES ALL RIGHTTOTRIAL BY JURY TN ANY PROCEEDING (WHETHER BASED ON CONTRACT, TORT OR OTHERWISE) ARISING OUT OF OR RELATING TO THIS AGREEMENT OR EXECUTIVE'S EMPLOYMENT BY THE COMPANY OR ANY AFFILIATE OF THE COMPANY, OR EXECUTIVE'S OR THE COMPANY'S PERFORMANCE UNDER, OR THE ENFORCEMENT OF, THIS AGREEMENT, (d) agrees that service of process in any such Proceeding may be effected by mailing a copy of such process by registered or certified mail (or any substantially similar form of mail), postage prepaid, to such party at Executive's or the Company's address as provided in Section 12 hereof, and (e) agrees that nothing in this Agreement shall affect the right to effect service of process in any other manner permitted by the laws of the State of Delaware.</w:t>
      </w:r>
    </w:p>
    <w:p>
      <w:pPr>
        <w:spacing w:after="0" w:line="193" w:lineRule="exact"/>
        <w:rPr>
          <w:rFonts w:ascii="Times New Roman" w:cs="Times New Roman" w:eastAsia="Times New Roman" w:hAnsi="Times New Roman"/>
          <w:sz w:val="18"/>
          <w:szCs w:val="18"/>
          <w:b w:val="1"/>
          <w:bCs w:val="1"/>
          <w:color w:val="auto"/>
        </w:rPr>
      </w:pPr>
    </w:p>
    <w:p>
      <w:pPr>
        <w:ind w:right="120" w:firstLine="676"/>
        <w:spacing w:after="0" w:line="257" w:lineRule="auto"/>
        <w:tabs>
          <w:tab w:leader="none" w:pos="1089"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No provision of this Agreement may be modified, waived or discharged unless such waiver, modification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discharge is agreed to in writing and signed by Executive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at any prior or subsequent time. This Agreement together with all exhibits hereto sets forth the entire agreement of the parties hereto in respect of the subject matter contained herein and supersedes any and all prior agreements</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240030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80" w:top="580" w:right="379" w:bottom="1440" w:gutter="0" w:footer="0" w:header="0"/>
        </w:sectPr>
      </w:pPr>
    </w:p>
    <w:bookmarkStart w:id="106" w:name="page107"/>
    <w:bookmarkEnd w:id="106"/>
    <w:p>
      <w:pPr>
        <w:jc w:val="both"/>
        <w:ind w:firstLine="18"/>
        <w:spacing w:after="0" w:line="258" w:lineRule="auto"/>
        <w:rPr>
          <w:sz w:val="20"/>
          <w:szCs w:val="20"/>
          <w:color w:val="auto"/>
        </w:rPr>
      </w:pPr>
      <w:r>
        <w:rPr>
          <w:rFonts w:ascii="Times New Roman" w:cs="Times New Roman" w:eastAsia="Times New Roman" w:hAnsi="Times New Roman"/>
          <w:sz w:val="18"/>
          <w:szCs w:val="18"/>
          <w:color w:val="auto"/>
        </w:rPr>
        <w:t>or understandings (including, without limitation, the offer letter dated February 15, 2022 (the “Former Agreement”) and the Company and its subsidiaries shall have no liability with respect to the Former Agreement) between Executive and the Company and its subsidiaries with respect to the subject matter hereof; provided that in the event that Executive becomes a party to any other agreement providing for restrictive covenants similar to Section 8, such agreement shall also apply pursuant to its terms. No agreements or representations, oral or otherwise, express or implied, with respect to the subject matter hereof have been made by either party which are not expressly set forth in this Agreement.</w:t>
      </w:r>
    </w:p>
    <w:p>
      <w:pPr>
        <w:spacing w:after="0" w:line="179" w:lineRule="exact"/>
        <w:rPr>
          <w:sz w:val="20"/>
          <w:szCs w:val="20"/>
          <w:color w:val="auto"/>
        </w:rPr>
      </w:pPr>
    </w:p>
    <w:p>
      <w:pPr>
        <w:ind w:right="40" w:firstLine="638"/>
        <w:spacing w:after="0" w:line="262" w:lineRule="auto"/>
        <w:tabs>
          <w:tab w:leader="none" w:pos="1053"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w:t>
      </w:r>
      <w:r>
        <w:rPr>
          <w:rFonts w:ascii="Times New Roman" w:cs="Times New Roman" w:eastAsia="Times New Roman" w:hAnsi="Times New Roman"/>
          <w:sz w:val="18"/>
          <w:szCs w:val="18"/>
          <w:color w:val="auto"/>
        </w:rPr>
        <w:t>Executive represents and warrants to the Company that (a) Executive has the legal right to enter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to perform all of the obligations on Executive's part to be performed hereunder in accordance with its terms, and (b) Executive is not a party toany agreement or understanding, written or oral, and is not subject to any restriction, which, in either case, could prevent Executive from entering into this Agreement or impede Executive from performing all of Executive's duties and obligations hereunder.</w:t>
      </w:r>
    </w:p>
    <w:p>
      <w:pPr>
        <w:spacing w:after="0" w:line="176" w:lineRule="exact"/>
        <w:rPr>
          <w:rFonts w:ascii="Times New Roman" w:cs="Times New Roman" w:eastAsia="Times New Roman" w:hAnsi="Times New Roman"/>
          <w:sz w:val="18"/>
          <w:szCs w:val="18"/>
          <w:b w:val="1"/>
          <w:bCs w:val="1"/>
          <w:color w:val="auto"/>
        </w:rPr>
      </w:pPr>
    </w:p>
    <w:p>
      <w:pPr>
        <w:ind w:left="980" w:hanging="329"/>
        <w:spacing w:after="0"/>
        <w:tabs>
          <w:tab w:leader="none" w:pos="980"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MATTERS.</w:t>
      </w:r>
    </w:p>
    <w:p>
      <w:pPr>
        <w:spacing w:after="0" w:line="225" w:lineRule="exact"/>
        <w:rPr>
          <w:sz w:val="20"/>
          <w:szCs w:val="20"/>
          <w:color w:val="auto"/>
        </w:rPr>
      </w:pPr>
    </w:p>
    <w:p>
      <w:pPr>
        <w:jc w:val="both"/>
        <w:ind w:right="60" w:firstLine="674"/>
        <w:spacing w:after="0" w:line="262" w:lineRule="auto"/>
        <w:tabs>
          <w:tab w:leader="none" w:pos="104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WITHHOLDING. </w:t>
      </w:r>
      <w:r>
        <w:rPr>
          <w:rFonts w:ascii="Times New Roman" w:cs="Times New Roman" w:eastAsia="Times New Roman" w:hAnsi="Times New Roman"/>
          <w:sz w:val="18"/>
          <w:szCs w:val="18"/>
          <w:color w:val="auto"/>
        </w:rPr>
        <w:t>The Company may withhold from any and all amounts payable under this Agreement or otherwise such federal,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local taxes as may be required to be withheld pursuant to any applicable law or regulation. In the event that the Company fails to withhold any taxes required to be withheld by applicable law or regulation, Executive agrees to indemnify the Company for any amount paid with respect to any such taxes, together with any interest, penalty and/or expense related thereto.</w:t>
      </w:r>
    </w:p>
    <w:p>
      <w:pPr>
        <w:spacing w:after="0" w:line="17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 COMPLIANCE.</w:t>
      </w:r>
    </w:p>
    <w:p>
      <w:pPr>
        <w:spacing w:after="0" w:line="229" w:lineRule="exact"/>
        <w:rPr>
          <w:rFonts w:ascii="Times New Roman" w:cs="Times New Roman" w:eastAsia="Times New Roman" w:hAnsi="Times New Roman"/>
          <w:sz w:val="18"/>
          <w:szCs w:val="18"/>
          <w:color w:val="auto"/>
        </w:rPr>
      </w:pPr>
    </w:p>
    <w:p>
      <w:pPr>
        <w:ind w:left="640" w:right="60" w:firstLine="664"/>
        <w:spacing w:after="0" w:line="258" w:lineRule="auto"/>
        <w:tabs>
          <w:tab w:leader="none" w:pos="1652"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 of the parties is that payments and benefits under this Agreement comply with Intemal Revenue Code Section 409A and the regulations and guidance promulgated thereunder (collectively “Code Section 409A”) and, accordingly, to the maximum extent permitted, this Agreement shall be interpreted to be in compliance therewith. In no event whatsoever shall the Company be liable for any additional tax, interest or penalty that may be imposed on Executive by Code Section 409A or damages for failing to comply with Code Section 409A.</w:t>
      </w:r>
    </w:p>
    <w:p>
      <w:pPr>
        <w:spacing w:after="0" w:line="183" w:lineRule="exact"/>
        <w:rPr>
          <w:sz w:val="20"/>
          <w:szCs w:val="20"/>
          <w:color w:val="auto"/>
        </w:rPr>
      </w:pPr>
    </w:p>
    <w:p>
      <w:pPr>
        <w:ind w:left="620" w:right="20" w:firstLine="666"/>
        <w:spacing w:after="0" w:line="254" w:lineRule="auto"/>
        <w:tabs>
          <w:tab w:leader="none" w:pos="167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Notwithstanding anything to the contrary in this Agreement, if Executive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not be made or provided until the date which is the earlier of (A) the expiration of the six (6)-month period measured</w:t>
      </w:r>
    </w:p>
    <w:p>
      <w:pPr>
        <w:spacing w:after="0" w:line="19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240030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580" w:right="339" w:bottom="1440" w:gutter="0" w:footer="0" w:header="0"/>
        </w:sectPr>
      </w:pPr>
    </w:p>
    <w:bookmarkStart w:id="107" w:name="page108"/>
    <w:bookmarkEnd w:id="107"/>
    <w:p>
      <w:pPr>
        <w:jc w:val="both"/>
        <w:ind w:firstLine="18"/>
        <w:spacing w:after="0" w:line="258" w:lineRule="auto"/>
        <w:rPr>
          <w:sz w:val="20"/>
          <w:szCs w:val="20"/>
          <w:color w:val="auto"/>
        </w:rPr>
      </w:pPr>
      <w:r>
        <w:rPr>
          <w:rFonts w:ascii="Times New Roman" w:cs="Times New Roman" w:eastAsia="Times New Roman" w:hAnsi="Times New Roman"/>
          <w:sz w:val="18"/>
          <w:szCs w:val="18"/>
          <w:color w:val="auto"/>
        </w:rPr>
        <w:t>from the date of such "separation from service" of Executive, and (B) the date of Executive's death, to the extent required under Code Section 409A. Upon the expiration of the foregoing delay period, all payments and benefits delayed pursuant to this Section I9(b)(ii) (whether they would have otherwise been payable in a single sum or in installments in the absence of such delay) shall be paid or reimbursed to Executive in a lump sum, and any remaining payments and benefits due under this Agreement shall be paid or provided in accordance with the normal payment dates specified for them herein.</w:t>
      </w:r>
    </w:p>
    <w:p>
      <w:pPr>
        <w:spacing w:after="0" w:line="183" w:lineRule="exact"/>
        <w:rPr>
          <w:sz w:val="20"/>
          <w:szCs w:val="20"/>
          <w:color w:val="auto"/>
        </w:rPr>
      </w:pPr>
    </w:p>
    <w:p>
      <w:pPr>
        <w:ind w:right="80" w:firstLine="662"/>
        <w:spacing w:after="0" w:line="256" w:lineRule="auto"/>
        <w:tabs>
          <w:tab w:leader="none" w:pos="111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reimbursements or other in-kind benefits under this Agreement constitute "nonqualified deferred compensation" for purposes of Code Section 409A, (A) all such expenses or other reimbursements hereunder shall be made on or prior to the last day of the taxable year following the taxable year in which such expenses were incurred by Executive, (B) any right to such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87" w:lineRule="exact"/>
        <w:rPr>
          <w:rFonts w:ascii="Times New Roman" w:cs="Times New Roman" w:eastAsia="Times New Roman" w:hAnsi="Times New Roman"/>
          <w:sz w:val="18"/>
          <w:szCs w:val="18"/>
          <w:color w:val="auto"/>
        </w:rPr>
      </w:pPr>
    </w:p>
    <w:p>
      <w:pPr>
        <w:jc w:val="both"/>
        <w:ind w:left="-20" w:right="200" w:firstLine="664"/>
        <w:spacing w:after="0" w:line="289" w:lineRule="auto"/>
        <w:tabs>
          <w:tab w:leader="none" w:pos="108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Code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w:t>
      </w:r>
    </w:p>
    <w:p>
      <w:pPr>
        <w:spacing w:after="0" w:line="157" w:lineRule="exact"/>
        <w:rPr>
          <w:rFonts w:ascii="Times New Roman" w:cs="Times New Roman" w:eastAsia="Times New Roman" w:hAnsi="Times New Roman"/>
          <w:sz w:val="17"/>
          <w:szCs w:val="17"/>
          <w:color w:val="auto"/>
        </w:rPr>
      </w:pPr>
    </w:p>
    <w:p>
      <w:pPr>
        <w:jc w:val="both"/>
        <w:ind w:left="-20" w:right="100" w:firstLine="664"/>
        <w:spacing w:after="0" w:line="266" w:lineRule="auto"/>
        <w:tabs>
          <w:tab w:leader="none" w:pos="10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6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8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240030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160" w:top="580" w:right="339" w:bottom="1440" w:gutter="0" w:footer="0" w:header="0"/>
        </w:sectPr>
      </w:pPr>
    </w:p>
    <w:bookmarkStart w:id="108" w:name="page109"/>
    <w:bookmarkEnd w:id="108"/>
    <w:p>
      <w:pPr>
        <w:ind w:right="2819" w:firstLine="66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3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HOLLEY INC.</w:t>
      </w:r>
    </w:p>
    <w:p>
      <w:pPr>
        <w:spacing w:after="0" w:line="212" w:lineRule="exact"/>
        <w:rPr>
          <w:sz w:val="20"/>
          <w:szCs w:val="20"/>
          <w:color w:val="auto"/>
        </w:rPr>
      </w:pPr>
    </w:p>
    <w:tbl>
      <w:tblPr>
        <w:tblLayout w:type="fixed"/>
        <w:tblInd w:w="388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17"/>
                <w:szCs w:val="17"/>
                <w:color w:val="auto"/>
              </w:rPr>
            </w:pP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/s/Thomas W. Tomlinson</w:t>
            </w:r>
          </w:p>
        </w:tc>
      </w:tr>
      <w:tr>
        <w:trPr>
          <w:trHeight w:val="218"/>
        </w:trPr>
        <w:tc>
          <w:tcPr>
            <w:tcW w:w="42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 Thomas W. Tomlinson</w:t>
            </w:r>
          </w:p>
        </w:tc>
      </w:tr>
      <w:tr>
        <w:trPr>
          <w:trHeight w:val="234"/>
        </w:trPr>
        <w:tc>
          <w:tcPr>
            <w:tcW w:w="420" w:type="dxa"/>
            <w:vAlign w:val="bottom"/>
          </w:tcPr>
          <w:p>
            <w:pPr>
              <w:spacing w:after="0"/>
              <w:rPr>
                <w:sz w:val="20"/>
                <w:szCs w:val="20"/>
                <w:color w:val="auto"/>
              </w:rPr>
            </w:pPr>
          </w:p>
        </w:tc>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2499"/>
        <w:spacing w:after="0"/>
        <w:rPr>
          <w:sz w:val="20"/>
          <w:szCs w:val="20"/>
          <w:color w:val="auto"/>
        </w:rPr>
      </w:pPr>
      <w:r>
        <w:rPr>
          <w:rFonts w:ascii="Times New Roman" w:cs="Times New Roman" w:eastAsia="Times New Roman" w:hAnsi="Times New Roman"/>
          <w:sz w:val="18"/>
          <w:szCs w:val="18"/>
          <w:color w:val="auto"/>
        </w:rPr>
        <w:t>[Signature Page to Employment Agreement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377190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19"/>
          </w:cols>
          <w:pgMar w:left="540" w:top="580" w:right="1440" w:bottom="1440" w:gutter="0" w:footer="0" w:header="0"/>
        </w:sectPr>
      </w:pPr>
    </w:p>
    <w:bookmarkStart w:id="109" w:name="page110"/>
    <w:bookmarkEnd w:id="109"/>
    <w:p>
      <w:pPr>
        <w:ind w:left="358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 Carly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-7620</wp:posOffset>
            </wp:positionV>
            <wp:extent cx="13455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Carly Kennedy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Employment Agreement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Release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11" w:name="page112"/>
    <w:bookmarkEnd w:id="111"/>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GENERAL RELEASE</w:t>
      </w:r>
    </w:p>
    <w:p>
      <w:pPr>
        <w:spacing w:after="0" w:line="229" w:lineRule="exact"/>
        <w:rPr>
          <w:sz w:val="20"/>
          <w:szCs w:val="20"/>
          <w:color w:val="auto"/>
        </w:rPr>
      </w:pPr>
    </w:p>
    <w:p>
      <w:pPr>
        <w:jc w:val="both"/>
        <w:ind w:left="40" w:firstLine="1314"/>
        <w:spacing w:after="0" w:line="258" w:lineRule="auto"/>
        <w:rPr>
          <w:sz w:val="20"/>
          <w:szCs w:val="20"/>
          <w:color w:val="auto"/>
        </w:rPr>
      </w:pPr>
      <w:r>
        <w:rPr>
          <w:rFonts w:ascii="Times New Roman" w:cs="Times New Roman" w:eastAsia="Times New Roman" w:hAnsi="Times New Roman"/>
          <w:sz w:val="18"/>
          <w:szCs w:val="18"/>
          <w:color w:val="auto"/>
        </w:rPr>
        <w:t>I, Carly Kennedy. on behalf of myself and my heirs, successors and assigns, in consideration of the performance by Holley Inc. (“Employer”), of its material obligations W1der the Employment Agreement (the “Agreement”), do hereby release and forever discharge as of the date hereof Employer (together with its Subsidiaries, the “Company”), their respective Affiliates, each such Person's respective successors and assigns and each of the foregoing Persons' respective present and former directors, officers, partners, stockholders, members, managers, agents, representatives, employees (and each such Person's respective successors and assigns) (collectively, the “Released Parties”) to the extent provided below.</w:t>
      </w:r>
    </w:p>
    <w:p>
      <w:pPr>
        <w:spacing w:after="0" w:line="183" w:lineRule="exact"/>
        <w:rPr>
          <w:sz w:val="20"/>
          <w:szCs w:val="20"/>
          <w:color w:val="auto"/>
        </w:rPr>
      </w:pPr>
    </w:p>
    <w:p>
      <w:pPr>
        <w:ind w:left="20" w:right="180" w:firstLine="674"/>
        <w:spacing w:after="0" w:line="261" w:lineRule="auto"/>
        <w:tabs>
          <w:tab w:leader="none" w:pos="1001"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 understand that any payments or benefits paid or granted to me under Section 6 of the Agreement represent, in part, consideration for signing th.is General Release and are not salary, wages or benefits to which I was already entitled. I understand and agree that I will not receive the payments and benefits specified in Section 6 of the Agreement unless I execute this General Release and do not revoke this General Release within the time period permitted hereafter or breach this General Release.</w:t>
      </w:r>
    </w:p>
    <w:p>
      <w:pPr>
        <w:spacing w:after="0" w:line="179" w:lineRule="exact"/>
        <w:rPr>
          <w:rFonts w:ascii="Times New Roman" w:cs="Times New Roman" w:eastAsia="Times New Roman" w:hAnsi="Times New Roman"/>
          <w:sz w:val="18"/>
          <w:szCs w:val="18"/>
          <w:color w:val="auto"/>
        </w:rPr>
      </w:pPr>
    </w:p>
    <w:p>
      <w:pPr>
        <w:ind w:firstLine="676"/>
        <w:spacing w:after="0" w:line="252" w:lineRule="auto"/>
        <w:tabs>
          <w:tab w:leader="none" w:pos="99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knowingly and voluntarily release and forever discharge the Company and the other Released Parties from any and all claims, controversies, actions, causes of action, cross­claims, counter-claims, demands, debts, compensatory damages, liquidated da1uages, punitive or exemplary damages, other damages, claims for costs and attorneys’ fees, or liabilities of any nature whatsoever in law and in equity, both past and present (through the date of this General Release), whether under the laws of the United States or another jurisdiction and whether known or unknown, suspected or claimed against the Company or any of the Released Parties which I, my spouse, or any of my heirs, executors, administrators or assigns, have or may have, including, but not limited to, which arise out of or are connected with my employment with, or my separation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Civil Rights Act of 1866, as amended;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or defamation; or any claim for costs, fees, or other expenses, including attorneys' fees incurred in these matters) (all of the foregoing collectively referred to herein as the “Claims”); provided, however, that nothing contained in this General Release shall apply to, or release the Company from, any obligation of the Company (i) contained in the Agreement to be performed after the date hereof or (ii) with respect to Accrued Benefits (as defined in the Agreement).</w:t>
      </w:r>
    </w:p>
    <w:p>
      <w:pPr>
        <w:spacing w:after="0" w:line="194"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that I have made no assignment or transfer of any right, claim, demand, cause of action, or other matter covered by paragraph 2</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240030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76" w:right="339" w:bottom="1440" w:gutter="0" w:footer="0" w:header="0"/>
        </w:sectPr>
      </w:pPr>
    </w:p>
    <w:bookmarkStart w:id="112" w:name="page113"/>
    <w:bookmarkEnd w:id="112"/>
    <w:p>
      <w:pPr>
        <w:ind w:left="60" w:right="40" w:firstLine="690"/>
        <w:spacing w:after="0" w:line="261" w:lineRule="auto"/>
        <w:tabs>
          <w:tab w:leader="none" w:pos="1059" w:val="left"/>
        </w:tabs>
        <w:numPr>
          <w:ilvl w:val="3"/>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395" w:lineRule="exact"/>
        <w:rPr>
          <w:rFonts w:ascii="Times New Roman" w:cs="Times New Roman" w:eastAsia="Times New Roman" w:hAnsi="Times New Roman"/>
          <w:sz w:val="18"/>
          <w:szCs w:val="18"/>
          <w:color w:val="auto"/>
        </w:rPr>
      </w:pPr>
    </w:p>
    <w:p>
      <w:pPr>
        <w:ind w:left="40" w:firstLine="692"/>
        <w:spacing w:after="0" w:line="253" w:lineRule="auto"/>
        <w:tabs>
          <w:tab w:leader="none" w:pos="1039"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covenant that I shall not directly or indirectly, commence, maintain or prosecute or sue any of the Released Parties either affirmatively or by way of cross-complaint, indemnity claim, defense or counterclaim or in any other manner or at all on any Claim covered by this General Release.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I further agree that I am not aware of any pending charge or complaint of the type described in paragraph 2 as of the execution of this General Release.</w:t>
      </w:r>
    </w:p>
    <w:p>
      <w:pPr>
        <w:spacing w:after="0" w:line="191" w:lineRule="exact"/>
        <w:rPr>
          <w:rFonts w:ascii="Times New Roman" w:cs="Times New Roman" w:eastAsia="Times New Roman" w:hAnsi="Times New Roman"/>
          <w:sz w:val="18"/>
          <w:szCs w:val="18"/>
          <w:color w:val="auto"/>
        </w:rPr>
      </w:pPr>
    </w:p>
    <w:p>
      <w:pPr>
        <w:ind w:left="40" w:right="220" w:firstLine="656"/>
        <w:spacing w:after="0" w:line="282" w:lineRule="auto"/>
        <w:tabs>
          <w:tab w:leader="none" w:pos="100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neither this General Release, nor the furnishing of the consideration for this General Release, shall be deemed or construed at any time to bean admission by the Company, any Released Party or myself of any improper or unlawful conduct.</w:t>
      </w:r>
    </w:p>
    <w:p>
      <w:pPr>
        <w:spacing w:after="0" w:line="161" w:lineRule="exact"/>
        <w:rPr>
          <w:rFonts w:ascii="Times New Roman" w:cs="Times New Roman" w:eastAsia="Times New Roman" w:hAnsi="Times New Roman"/>
          <w:sz w:val="18"/>
          <w:szCs w:val="18"/>
          <w:color w:val="auto"/>
        </w:rPr>
      </w:pPr>
    </w:p>
    <w:p>
      <w:pPr>
        <w:ind w:left="40" w:right="260" w:firstLine="638"/>
        <w:spacing w:after="0" w:line="266" w:lineRule="auto"/>
        <w:tabs>
          <w:tab w:leader="none" w:pos="100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this General Release is confidential and agree not to disclose any information regarding the terms of this General Release, except to my immediate family and any tax, legal or other counsel I have consulted regarding the meaning or effect hereof or as required by law, and I will instruct each of the foregoing not to disclose the same to anyone.</w:t>
      </w:r>
    </w:p>
    <w:p>
      <w:pPr>
        <w:spacing w:after="0" w:line="175" w:lineRule="exact"/>
        <w:rPr>
          <w:rFonts w:ascii="Times New Roman" w:cs="Times New Roman" w:eastAsia="Times New Roman" w:hAnsi="Times New Roman"/>
          <w:sz w:val="18"/>
          <w:szCs w:val="18"/>
          <w:color w:val="auto"/>
        </w:rPr>
      </w:pPr>
    </w:p>
    <w:p>
      <w:pPr>
        <w:jc w:val="both"/>
        <w:ind w:left="20" w:right="40" w:firstLine="658"/>
        <w:spacing w:after="0" w:line="266" w:lineRule="auto"/>
        <w:tabs>
          <w:tab w:leader="none" w:pos="99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non-disclosure provision in this General Release does not prohibit or restrict me (or my attorney) from responding to any inquiry about this General Release or its underlying facts and circumstances by the Securities and Exchange Commission (SEC), the National Association of Securities Dealers, Inc. (NASD), any other self-regulatory organization or governmental entity.</w:t>
      </w:r>
    </w:p>
    <w:p>
      <w:pPr>
        <w:spacing w:after="0" w:line="175" w:lineRule="exact"/>
        <w:rPr>
          <w:rFonts w:ascii="Times New Roman" w:cs="Times New Roman" w:eastAsia="Times New Roman" w:hAnsi="Times New Roman"/>
          <w:sz w:val="18"/>
          <w:szCs w:val="18"/>
          <w:color w:val="auto"/>
        </w:rPr>
      </w:pPr>
    </w:p>
    <w:p>
      <w:pPr>
        <w:ind w:left="1000" w:hanging="304"/>
        <w:spacing w:after="0"/>
        <w:tabs>
          <w:tab w:leader="none" w:pos="10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any provision of the Agreement, I hereby expressly re-affirm my obligations under Sections 8 and 9 of the</w:t>
      </w:r>
    </w:p>
    <w:p>
      <w:pPr>
        <w:spacing w:after="0" w:line="27"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right="20" w:firstLine="660"/>
        <w:spacing w:after="0" w:line="266" w:lineRule="auto"/>
        <w:tabs>
          <w:tab w:leader="none" w:pos="1067" w:val="left"/>
        </w:tabs>
        <w:numPr>
          <w:ilvl w:val="3"/>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possible, each provision of this General Release shall be interpreted in such manner as to be effective and valid under applicable Jaw, but if any provision of this General Release is held to be invalid, illegal or unenforceable in any respect under any applicable law or rule in any jurisdiction, such invalidity, illegality or unenforceability shall not affect any other</w:t>
      </w:r>
    </w:p>
    <w:p>
      <w:pPr>
        <w:spacing w:after="0" w:line="1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240030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60" w:top="580" w:right="339" w:bottom="1440" w:gutter="0" w:footer="0" w:header="0"/>
        </w:sectPr>
      </w:pPr>
    </w:p>
    <w:bookmarkStart w:id="113" w:name="page114"/>
    <w:bookmarkEnd w:id="113"/>
    <w:p>
      <w:pPr>
        <w:ind w:left="80" w:firstLine="18"/>
        <w:spacing w:after="0" w:line="282" w:lineRule="auto"/>
        <w:rPr>
          <w:sz w:val="20"/>
          <w:szCs w:val="20"/>
          <w:color w:val="auto"/>
        </w:rPr>
      </w:pPr>
      <w:r>
        <w:rPr>
          <w:rFonts w:ascii="Times New Roman" w:cs="Times New Roman" w:eastAsia="Times New Roman" w:hAnsi="Times New Roman"/>
          <w:sz w:val="18"/>
          <w:szCs w:val="18"/>
          <w:color w:val="auto"/>
        </w:rPr>
        <w:t>provision or any other jurisdiction, but this General Release shall be refom1ed, construed and enforced in such jurisdiction as if such invalid, illegal or unenforceable provision had never been contained herein.</w:t>
      </w:r>
    </w:p>
    <w:p>
      <w:pPr>
        <w:spacing w:after="0" w:line="162" w:lineRule="exact"/>
        <w:rPr>
          <w:sz w:val="20"/>
          <w:szCs w:val="20"/>
          <w:color w:val="auto"/>
        </w:rPr>
      </w:pPr>
    </w:p>
    <w:p>
      <w:pPr>
        <w:ind w:left="60" w:firstLine="692"/>
        <w:spacing w:after="0" w:line="254" w:lineRule="auto"/>
        <w:tabs>
          <w:tab w:leader="none" w:pos="114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nothing herein or in any Company policy or agreement shall prevent me from (i) speaking with law enforcement, the Equal Employment Opportunity Commission, any state or local division of human rights or fair employment agency, or my attorney; (ii) filing a charge or complaint with, participating in an investigation or proceeding conducted by, or reporting possible violations of law or regulation to any federal, state or local government agency; (iii) truthfully responding to or complying with a subpoena, court order, or other legal process; (iv) filing or disclosing any facts necessary to receive unemployment insurance, Medicaid, or other public benefits to which I may be entitled; or</w:t>
      </w:r>
    </w:p>
    <w:p>
      <w:pPr>
        <w:spacing w:after="0" w:line="3" w:lineRule="exact"/>
        <w:rPr>
          <w:rFonts w:ascii="Times New Roman" w:cs="Times New Roman" w:eastAsia="Times New Roman" w:hAnsi="Times New Roman"/>
          <w:sz w:val="18"/>
          <w:szCs w:val="18"/>
          <w:color w:val="auto"/>
        </w:rPr>
      </w:pPr>
    </w:p>
    <w:p>
      <w:pPr>
        <w:ind w:left="60" w:right="100" w:firstLine="8"/>
        <w:spacing w:after="0" w:line="255" w:lineRule="auto"/>
        <w:tabs>
          <w:tab w:leader="none" w:pos="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exercising any right I may have under applicable labor laws to engage in protected concerted activity with other employees;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agree to forgo any monetary benefit from the filing of a charge or complaint with a government agency except pursuant to a whistleblower program or where my right to receive such a monetary benefit is otherwise not waivable by law.</w:t>
      </w:r>
    </w:p>
    <w:p>
      <w:pPr>
        <w:spacing w:after="0" w:line="185" w:lineRule="exact"/>
        <w:rPr>
          <w:rFonts w:ascii="Times New Roman" w:cs="Times New Roman" w:eastAsia="Times New Roman" w:hAnsi="Times New Roman"/>
          <w:sz w:val="18"/>
          <w:szCs w:val="18"/>
          <w:color w:val="auto"/>
        </w:rPr>
      </w:pPr>
    </w:p>
    <w:p>
      <w:pPr>
        <w:ind w:left="60" w:right="160" w:firstLine="692"/>
        <w:spacing w:after="0" w:line="282" w:lineRule="auto"/>
        <w:tabs>
          <w:tab w:leader="none" w:pos="114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with respect to any Person, any Person that controls, Is controlled by or is under common control with such Person or an Affiliate of such Person.</w:t>
      </w:r>
    </w:p>
    <w:p>
      <w:pPr>
        <w:spacing w:after="0" w:line="162" w:lineRule="exact"/>
        <w:rPr>
          <w:sz w:val="20"/>
          <w:szCs w:val="20"/>
          <w:color w:val="auto"/>
        </w:rPr>
      </w:pPr>
    </w:p>
    <w:p>
      <w:pPr>
        <w:jc w:val="both"/>
        <w:ind w:left="60" w:hanging="17"/>
        <w:spacing w:after="0" w:line="266" w:lineRule="auto"/>
        <w:rPr>
          <w:sz w:val="20"/>
          <w:szCs w:val="20"/>
          <w:color w:val="auto"/>
        </w:rPr>
      </w:pPr>
      <w:r>
        <w:rPr>
          <w:rFonts w:ascii="Times New Roman" w:cs="Times New Roman" w:eastAsia="Times New Roman" w:hAnsi="Times New Roman"/>
          <w:sz w:val="18"/>
          <w:szCs w:val="18"/>
          <w:color w:val="auto"/>
        </w:rPr>
        <w:t>"Person"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176" w:lineRule="exact"/>
        <w:rPr>
          <w:sz w:val="20"/>
          <w:szCs w:val="20"/>
          <w:color w:val="auto"/>
        </w:rPr>
      </w:pPr>
    </w:p>
    <w:p>
      <w:pPr>
        <w:jc w:val="both"/>
        <w:ind w:left="40" w:firstLine="36"/>
        <w:spacing w:after="0" w:line="254" w:lineRule="auto"/>
        <w:rPr>
          <w:sz w:val="20"/>
          <w:szCs w:val="20"/>
          <w:color w:val="auto"/>
        </w:rPr>
      </w:pPr>
      <w:r>
        <w:rPr>
          <w:rFonts w:ascii="Times New Roman" w:cs="Times New Roman" w:eastAsia="Times New Roman" w:hAnsi="Times New Roman"/>
          <w:sz w:val="18"/>
          <w:szCs w:val="18"/>
          <w:color w:val="auto"/>
        </w:rPr>
        <w:t>"Subsidiary"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 SIGNING THIS GENERAL RELEASE, I REPRESENT AND AGREE THAT:</w:t>
      </w:r>
    </w:p>
    <w:p>
      <w:pPr>
        <w:spacing w:after="0" w:line="225" w:lineRule="exact"/>
        <w:rPr>
          <w:sz w:val="20"/>
          <w:szCs w:val="20"/>
          <w:color w:val="auto"/>
        </w:rPr>
      </w:pPr>
    </w:p>
    <w:p>
      <w:pPr>
        <w:ind w:left="340" w:hanging="331"/>
        <w:spacing w:after="0"/>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IT CAREFULLY;</w:t>
      </w:r>
    </w:p>
    <w:p>
      <w:pPr>
        <w:spacing w:after="0" w:line="225" w:lineRule="exact"/>
        <w:rPr>
          <w:rFonts w:ascii="Times New Roman" w:cs="Times New Roman" w:eastAsia="Times New Roman" w:hAnsi="Times New Roman"/>
          <w:sz w:val="18"/>
          <w:szCs w:val="18"/>
          <w:color w:val="auto"/>
        </w:rPr>
      </w:pPr>
    </w:p>
    <w:p>
      <w:pPr>
        <w:ind w:left="340" w:right="120" w:hanging="331"/>
        <w:spacing w:after="0" w:line="282"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ALL OF ITS TERMS AND KNOW THAT I AM GIVING UP IMPORTANT RIGHTS, INCLUDING BUT NOT LIMITED TO, RIGHTS UNDER THE AGE DISCRIMINATION IN EMPLOYMENT ACT OF 1967, AS AMENDED, TITLE VII OF THE</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240030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580" w:right="339" w:bottom="1440" w:gutter="0" w:footer="0" w:header="0"/>
        </w:sectPr>
      </w:pPr>
    </w:p>
    <w:bookmarkStart w:id="114" w:name="page115"/>
    <w:bookmarkEnd w:id="114"/>
    <w:p>
      <w:pPr>
        <w:ind w:left="20" w:hanging="17"/>
        <w:spacing w:after="0" w:line="282" w:lineRule="auto"/>
        <w:rPr>
          <w:sz w:val="20"/>
          <w:szCs w:val="20"/>
          <w:color w:val="auto"/>
        </w:rPr>
      </w:pPr>
      <w:r>
        <w:rPr>
          <w:rFonts w:ascii="Times New Roman" w:cs="Times New Roman" w:eastAsia="Times New Roman" w:hAnsi="Times New Roman"/>
          <w:sz w:val="18"/>
          <w:szCs w:val="18"/>
          <w:color w:val="auto"/>
        </w:rPr>
        <w:t>CIVIL RIGHTS ACT OF 1964, AS AMENDED; THE EQUAL PAY ACT OF 1963, THE AMERICANS WITH DISABILITIES ACT OF 1990; AND THE EMPLOYEE RETIREMENT INCOME SECURITY ACT OF 1974, AS AMENDED;</w:t>
      </w:r>
    </w:p>
    <w:p>
      <w:pPr>
        <w:spacing w:after="0" w:line="162" w:lineRule="exact"/>
        <w:rPr>
          <w:sz w:val="20"/>
          <w:szCs w:val="20"/>
          <w:color w:val="auto"/>
        </w:rPr>
      </w:pPr>
    </w:p>
    <w:p>
      <w:pPr>
        <w:ind w:left="340" w:hanging="323"/>
        <w:spacing w:after="0"/>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VOLUNTARILY CONSENT TO EVERYTHING IN IT;</w:t>
      </w:r>
    </w:p>
    <w:p>
      <w:pPr>
        <w:spacing w:after="0" w:line="225" w:lineRule="exact"/>
        <w:rPr>
          <w:rFonts w:ascii="Times New Roman" w:cs="Times New Roman" w:eastAsia="Times New Roman" w:hAnsi="Times New Roman"/>
          <w:sz w:val="18"/>
          <w:szCs w:val="18"/>
          <w:color w:val="auto"/>
        </w:rPr>
      </w:pPr>
    </w:p>
    <w:p>
      <w:pPr>
        <w:ind w:left="20" w:right="180" w:firstLine="24"/>
        <w:spacing w:after="0" w:line="266" w:lineRule="auto"/>
        <w:tabs>
          <w:tab w:leader="none" w:pos="428"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BEEN ADVISED TO CONSULT WITH AN ATTORNEY (VIA THE AGREEMENT AND THIS RELEASE) BEFORE EXECUTING IT AND I HAVE DONE SO OR, AFTER CAREFUL READING AND CONSIDERATION, I HAVE CHOSEN NOT TO DO SO OF MY OWN VOLITION;</w:t>
      </w:r>
    </w:p>
    <w:p>
      <w:pPr>
        <w:spacing w:after="0" w:line="175" w:lineRule="exact"/>
        <w:rPr>
          <w:rFonts w:ascii="Times New Roman" w:cs="Times New Roman" w:eastAsia="Times New Roman" w:hAnsi="Times New Roman"/>
          <w:sz w:val="18"/>
          <w:szCs w:val="18"/>
          <w:color w:val="auto"/>
        </w:rPr>
      </w:pPr>
    </w:p>
    <w:p>
      <w:pPr>
        <w:ind w:right="180" w:firstLine="26"/>
        <w:spacing w:after="0" w:line="266" w:lineRule="auto"/>
        <w:tabs>
          <w:tab w:leader="none" w:pos="39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HAD AT LEAST 21 DAYS FROM THE DATE OF MY RECEIPT OF THIS RELEASE SUBSTANTIALLY IN ITS FINAL FORM TO CONSIDER IT AND THE CHANGES MADE SINCE THE LATEST VERSION OF THIS RELEASE ARE NOT MATERIAL AND WILL NOT RESTART THE REQUIRED 21-DAY PERIOD;</w:t>
      </w:r>
    </w:p>
    <w:p>
      <w:pPr>
        <w:spacing w:after="0" w:line="175" w:lineRule="exact"/>
        <w:rPr>
          <w:rFonts w:ascii="Times New Roman" w:cs="Times New Roman" w:eastAsia="Times New Roman" w:hAnsi="Times New Roman"/>
          <w:sz w:val="18"/>
          <w:szCs w:val="18"/>
          <w:color w:val="auto"/>
        </w:rPr>
      </w:pPr>
    </w:p>
    <w:p>
      <w:pPr>
        <w:ind w:right="100" w:firstLine="26"/>
        <w:spacing w:after="0" w:line="312" w:lineRule="auto"/>
        <w:tabs>
          <w:tab w:leader="none" w:pos="378"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UNDERSTAND THAT I HAVE SEVEN DAYS AFTER THE EXECUTION OF THIS RELEASE TO REVOKE IT ANDTHATTHISRELEASE SHALL NOT BECOME EFFECTIVE OR ENFORCEABLE UNTIL THE EIGHTH DAY FOLLOWING EXECUTION OF THE AGREEMENT;</w:t>
      </w:r>
    </w:p>
    <w:p>
      <w:pPr>
        <w:spacing w:after="0" w:line="140" w:lineRule="exact"/>
        <w:rPr>
          <w:sz w:val="20"/>
          <w:szCs w:val="20"/>
          <w:color w:val="auto"/>
        </w:rPr>
      </w:pPr>
    </w:p>
    <w:p>
      <w:pPr>
        <w:ind w:right="660" w:firstLine="8"/>
        <w:spacing w:after="0" w:line="282" w:lineRule="auto"/>
        <w:tabs>
          <w:tab w:leader="none" w:pos="40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SIGNED TH1S GENERAL RELEASE KNOWINGLY AND VOLUNTARlLY AND WITH THE ADVICE OF ANY COUNSEL RETAlNED TO ADVISE ME WITH RESPECT TO IT; AND</w:t>
      </w:r>
    </w:p>
    <w:p>
      <w:pPr>
        <w:spacing w:after="0" w:line="161" w:lineRule="exact"/>
        <w:rPr>
          <w:rFonts w:ascii="Times New Roman" w:cs="Times New Roman" w:eastAsia="Times New Roman" w:hAnsi="Times New Roman"/>
          <w:sz w:val="18"/>
          <w:szCs w:val="18"/>
          <w:color w:val="auto"/>
        </w:rPr>
      </w:pPr>
    </w:p>
    <w:p>
      <w:pPr>
        <w:ind w:right="440" w:firstLine="8"/>
        <w:spacing w:after="0" w:line="312" w:lineRule="auto"/>
        <w:tabs>
          <w:tab w:leader="none" w:pos="408"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AGREE THAT THE PROVISIONS OF THIS GENERAL RELEASE MAY NOT BE AMENDED, WAIVED, CHANGED OR MODIFIED EXCEPT BY AN INSTRUMENT IN WRITING SIGNED BY AN AUTHORIZED REPRESENTATIVE OF THE COMPANY AND BYME.</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-7620</wp:posOffset>
            </wp:positionV>
            <wp:extent cx="10852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108521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266065</wp:posOffset>
            </wp:positionV>
            <wp:extent cx="10852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10852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Carly Kennedy</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500" w:top="580" w:right="339" w:bottom="1440" w:gutter="0" w:footer="0" w:header="0"/>
        </w:sectPr>
      </w:pPr>
    </w:p>
    <w:bookmarkStart w:id="115" w:name="page116"/>
    <w:bookmarkEnd w:id="115"/>
    <w:p>
      <w:pPr>
        <w:jc w:val="right"/>
        <w:ind w:right="300"/>
        <w:spacing w:after="0"/>
        <w:rPr>
          <w:sz w:val="20"/>
          <w:szCs w:val="20"/>
          <w:color w:val="auto"/>
        </w:rPr>
      </w:pPr>
      <w:r>
        <w:rPr>
          <w:rFonts w:ascii="Times New Roman" w:cs="Times New Roman" w:eastAsia="Times New Roman" w:hAnsi="Times New Roman"/>
          <w:sz w:val="18"/>
          <w:szCs w:val="18"/>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25625" cy="6254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182562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Products,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Russellville Rd., Bowling Green, KY 42101</w:t>
      </w:r>
    </w:p>
    <w:p>
      <w:pPr>
        <w:spacing w:after="0" w:line="225" w:lineRule="exact"/>
        <w:rPr>
          <w:sz w:val="20"/>
          <w:szCs w:val="20"/>
          <w:color w:val="auto"/>
        </w:rPr>
      </w:pPr>
    </w:p>
    <w:p>
      <w:pPr>
        <w:ind w:left="740" w:right="3160" w:hanging="732"/>
        <w:spacing w:after="0" w:line="500" w:lineRule="auto"/>
        <w:tabs>
          <w:tab w:leader="none" w:pos="43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780-1812 Fax (270) 495-3832 11/8/2022</w:t>
      </w:r>
    </w:p>
    <w:p>
      <w:pPr>
        <w:spacing w:after="0" w:line="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Brian Appelgate</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Dear Brian,</w:t>
      </w:r>
    </w:p>
    <w:p>
      <w:pPr>
        <w:spacing w:after="0" w:line="200" w:lineRule="exact"/>
        <w:rPr>
          <w:sz w:val="20"/>
          <w:szCs w:val="20"/>
          <w:color w:val="auto"/>
        </w:rPr>
      </w:pPr>
    </w:p>
    <w:p>
      <w:pPr>
        <w:spacing w:after="0" w:line="241" w:lineRule="exact"/>
        <w:rPr>
          <w:sz w:val="20"/>
          <w:szCs w:val="20"/>
          <w:color w:val="auto"/>
        </w:rPr>
      </w:pPr>
    </w:p>
    <w:p>
      <w:pPr>
        <w:jc w:val="both"/>
        <w:ind w:left="740" w:right="300"/>
        <w:spacing w:after="0" w:line="261" w:lineRule="auto"/>
        <w:rPr>
          <w:sz w:val="20"/>
          <w:szCs w:val="20"/>
          <w:color w:val="auto"/>
        </w:rPr>
      </w:pPr>
      <w:r>
        <w:rPr>
          <w:rFonts w:ascii="Times New Roman" w:cs="Times New Roman" w:eastAsia="Times New Roman" w:hAnsi="Times New Roman"/>
          <w:sz w:val="18"/>
          <w:szCs w:val="18"/>
          <w:color w:val="auto"/>
        </w:rPr>
        <w:t>On behalf of Holley Performance Products, Inc., we are pleased to extend this assignment. We are excited for your expertise and look forward to the contributions you will make to the Company. Please carefully review the details below.</w:t>
      </w:r>
    </w:p>
    <w:p>
      <w:pPr>
        <w:spacing w:after="0" w:line="180" w:lineRule="exact"/>
        <w:rPr>
          <w:sz w:val="20"/>
          <w:szCs w:val="20"/>
          <w:color w:val="auto"/>
        </w:rPr>
      </w:pPr>
    </w:p>
    <w:p>
      <w:pPr>
        <w:jc w:val="both"/>
        <w:ind w:left="740" w:right="300"/>
        <w:spacing w:after="0" w:line="282" w:lineRule="auto"/>
        <w:rPr>
          <w:sz w:val="20"/>
          <w:szCs w:val="20"/>
          <w:color w:val="auto"/>
        </w:rPr>
      </w:pPr>
      <w:r>
        <w:rPr>
          <w:rFonts w:ascii="Times New Roman" w:cs="Times New Roman" w:eastAsia="Times New Roman" w:hAnsi="Times New Roman"/>
          <w:sz w:val="18"/>
          <w:szCs w:val="18"/>
          <w:color w:val="auto"/>
        </w:rPr>
        <w:t>Holley is thrilled to offer you the position of Interim Chief Operations Officer:</w:t>
      </w:r>
    </w:p>
    <w:p>
      <w:pPr>
        <w:spacing w:after="0" w:line="162" w:lineRule="exact"/>
        <w:rPr>
          <w:sz w:val="20"/>
          <w:szCs w:val="20"/>
          <w:color w:val="auto"/>
        </w:rPr>
      </w:pPr>
    </w:p>
    <w:p>
      <w:pPr>
        <w:ind w:left="1800" w:right="400" w:hanging="334"/>
        <w:spacing w:after="0" w:line="254"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assignment will be approximately 12-months and may be extended in 1-month increments up to 24-months total or assignment may be terminated by either you or the Company in writing with a 30-day notice</w:t>
      </w:r>
    </w:p>
    <w:p>
      <w:pPr>
        <w:spacing w:after="0" w:line="3" w:lineRule="exact"/>
        <w:rPr>
          <w:rFonts w:ascii="Times New Roman" w:cs="Times New Roman" w:eastAsia="Times New Roman" w:hAnsi="Times New Roman"/>
          <w:sz w:val="18"/>
          <w:szCs w:val="18"/>
          <w:color w:val="auto"/>
        </w:rPr>
      </w:pPr>
    </w:p>
    <w:p>
      <w:pPr>
        <w:ind w:left="1800" w:right="320" w:hanging="334"/>
        <w:spacing w:after="0" w:line="250"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pay remains unchanged at an annual salary of $200,000.06, for this exempt position</w:t>
      </w:r>
    </w:p>
    <w:p>
      <w:pPr>
        <w:ind w:left="1800" w:right="1040" w:hanging="334"/>
        <w:spacing w:after="0" w:line="250"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long-term incentive plan remains unchanged at 100% of base pay</w:t>
      </w:r>
    </w:p>
    <w:p>
      <w:pPr>
        <w:ind w:left="1800" w:right="340" w:hanging="334"/>
        <w:spacing w:after="0" w:line="250"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equity grant as outlined and acknowledged separately</w:t>
      </w:r>
    </w:p>
    <w:p>
      <w:pPr>
        <w:ind w:left="1800" w:right="460" w:hanging="334"/>
        <w:spacing w:after="0" w:line="250"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housing in Bowling Green, Kentucky for the duration of your assignment</w:t>
      </w:r>
    </w:p>
    <w:p>
      <w:pPr>
        <w:ind w:left="1800" w:right="580" w:hanging="334"/>
        <w:spacing w:after="0" w:line="265" w:lineRule="auto"/>
        <w:tabs>
          <w:tab w:leader="none" w:pos="18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Reasonable travel expenses will be reimbursed, consistent with Holley’s Travel Policy</w:t>
      </w:r>
    </w:p>
    <w:p>
      <w:pPr>
        <w:ind w:left="1800" w:right="380" w:hanging="334"/>
        <w:spacing w:after="0" w:line="250"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eligible for group health benefit programs and 401(k) Retirement Savings Plan</w:t>
      </w:r>
    </w:p>
    <w:p>
      <w:pPr>
        <w:ind w:left="1800" w:hanging="334"/>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remains at will</w:t>
      </w:r>
    </w:p>
    <w:p>
      <w:pPr>
        <w:spacing w:after="0" w:line="207" w:lineRule="exact"/>
        <w:rPr>
          <w:sz w:val="20"/>
          <w:szCs w:val="20"/>
          <w:color w:val="auto"/>
        </w:rPr>
      </w:pPr>
    </w:p>
    <w:p>
      <w:pPr>
        <w:jc w:val="both"/>
        <w:ind w:left="740" w:right="300"/>
        <w:spacing w:after="0" w:line="261" w:lineRule="auto"/>
        <w:rPr>
          <w:sz w:val="20"/>
          <w:szCs w:val="20"/>
          <w:color w:val="auto"/>
        </w:rPr>
      </w:pPr>
      <w:r>
        <w:rPr>
          <w:rFonts w:ascii="Times New Roman" w:cs="Times New Roman" w:eastAsia="Times New Roman" w:hAnsi="Times New Roman"/>
          <w:sz w:val="18"/>
          <w:szCs w:val="18"/>
          <w:color w:val="auto"/>
        </w:rPr>
        <w:t>As your role is Interim, we will continue our search for a permanent executive to lead the supply chain and operations functions. You may be asked to participate in the search and onboard any hire.</w:t>
      </w:r>
    </w:p>
    <w:p>
      <w:pPr>
        <w:spacing w:after="0" w:line="180" w:lineRule="exact"/>
        <w:rPr>
          <w:sz w:val="20"/>
          <w:szCs w:val="20"/>
          <w:color w:val="auto"/>
        </w:rPr>
      </w:pPr>
    </w:p>
    <w:p>
      <w:pPr>
        <w:jc w:val="both"/>
        <w:ind w:left="740" w:right="300"/>
        <w:spacing w:after="0" w:line="266" w:lineRule="auto"/>
        <w:rPr>
          <w:sz w:val="20"/>
          <w:szCs w:val="20"/>
          <w:color w:val="auto"/>
        </w:rPr>
      </w:pPr>
      <w:r>
        <w:rPr>
          <w:rFonts w:ascii="Times New Roman" w:cs="Times New Roman" w:eastAsia="Times New Roman" w:hAnsi="Times New Roman"/>
          <w:sz w:val="18"/>
          <w:szCs w:val="18"/>
          <w:color w:val="auto"/>
        </w:rPr>
        <w:t>Congratulations, Brian! We look forward to working with you and are confident that you will play a key role in the Company’s success!</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If you have any questions, please let me know.</w:t>
      </w:r>
    </w:p>
    <w:p>
      <w:pPr>
        <w:spacing w:after="0" w:line="200" w:lineRule="exact"/>
        <w:rPr>
          <w:sz w:val="20"/>
          <w:szCs w:val="20"/>
          <w:color w:val="auto"/>
        </w:rPr>
      </w:pPr>
    </w:p>
    <w:p>
      <w:pPr>
        <w:spacing w:after="0" w:line="2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/s/Thomas W.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9170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19170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/s/Brian Appelgate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-7620</wp:posOffset>
            </wp:positionV>
            <wp:extent cx="14306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1430655"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11/8/2022</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Holley</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1801</w:t>
      </w:r>
    </w:p>
    <w:p>
      <w:pPr>
        <w:spacing w:after="0" w:line="22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http://www.holley.com,</w:t>
      </w:r>
    </w:p>
    <w:p>
      <w:pPr>
        <w:sectPr>
          <w:pgSz w:w="11900" w:h="16838" w:orient="portrait"/>
          <w:cols w:equalWidth="0" w:num="2">
            <w:col w:w="5780" w:space="720"/>
            <w:col w:w="3800"/>
          </w:cols>
          <w:pgMar w:left="320" w:top="121" w:right="127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color w:val="auto"/>
        </w:rPr>
        <w:t>Exhibit 10.23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STOCK UNIT GRANT NOTICE AND AGREEMENT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Holley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2021 Omnibus Incentive Plan (as may be amended, restated or otherwise modified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grants to Holder the number of performance-vesting Restricted Stock Units set forth below, each performance-vesting Restricted Stock Unit being a notional unit representing the right to receive one share of Stock, subject to adjustment as provided in the Plan (the “</w:t>
      </w:r>
      <w:r>
        <w:rPr>
          <w:rFonts w:ascii="Times New Roman" w:cs="Times New Roman" w:eastAsia="Times New Roman" w:hAnsi="Times New Roman"/>
          <w:sz w:val="18"/>
          <w:szCs w:val="18"/>
          <w:b w:val="1"/>
          <w:bCs w:val="1"/>
          <w:i w:val="1"/>
          <w:iCs w:val="1"/>
          <w:color w:val="auto"/>
        </w:rPr>
        <w:t>Performance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The Performance Stock Units are subject to all of the terms and conditions set forth in this Performance Stock Unit Grant Notice and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as well as all of the terms and conditions of the Plan, all of which are incorporated herein in their entirety. To the extent that any provisions herein (or portion thereof) conflicts with any provision of the Plan, the Plan shall prevail and control. Capitalized terms not otherwise defined herein shall have the same meaning as set forth in the Plan.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w:t>
            </w: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20[●]</w:t>
            </w:r>
          </w:p>
        </w:tc>
      </w:tr>
      <w:tr>
        <w:trPr>
          <w:trHeight w:val="432"/>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Commencement Date</w:t>
            </w: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20[●]</w:t>
            </w:r>
          </w:p>
        </w:tc>
      </w:tr>
      <w:tr>
        <w:trPr>
          <w:trHeight w:val="410"/>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Target Number of Performance</w:t>
            </w:r>
          </w:p>
        </w:tc>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38"/>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Units</w:t>
            </w:r>
            <w:r>
              <w:rPr>
                <w:rFonts w:ascii="Times New Roman" w:cs="Times New Roman" w:eastAsia="Times New Roman" w:hAnsi="Times New Roman"/>
                <w:sz w:val="18"/>
                <w:szCs w:val="18"/>
                <w:color w:val="auto"/>
              </w:rPr>
              <w:t>:</w:t>
            </w: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Performance Stock Units will be one hundred percent (100%) unvested as of the Date of Grant. Subject to the</w:t>
            </w:r>
          </w:p>
        </w:tc>
      </w:tr>
      <w:tr>
        <w:trPr>
          <w:trHeight w:val="216"/>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Holder’s continued Service Relationship (as defined below) with the Company through the Vesting Date (as defined on</w:t>
            </w:r>
          </w:p>
        </w:tc>
      </w:tr>
      <w:tr>
        <w:trPr>
          <w:trHeight w:val="194"/>
        </w:trPr>
        <w:tc>
          <w:tcPr>
            <w:tcW w:w="2580" w:type="dxa"/>
            <w:vAlign w:val="bottom"/>
          </w:tcPr>
          <w:p>
            <w:pPr>
              <w:spacing w:after="0"/>
              <w:rPr>
                <w:sz w:val="16"/>
                <w:szCs w:val="16"/>
                <w:color w:val="auto"/>
              </w:rPr>
            </w:pPr>
          </w:p>
        </w:tc>
        <w:tc>
          <w:tcPr>
            <w:tcW w:w="86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Exhibit A attached hereto), the Performance Stock Units shall vest on the Vesting Date based on the Company’s</w:t>
            </w:r>
          </w:p>
        </w:tc>
      </w:tr>
      <w:tr>
        <w:trPr>
          <w:trHeight w:val="20"/>
        </w:trPr>
        <w:tc>
          <w:tcPr>
            <w:tcW w:w="2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2580" w:type="dxa"/>
            <w:vAlign w:val="bottom"/>
          </w:tcPr>
          <w:p>
            <w:pPr>
              <w:spacing w:after="0"/>
              <w:rPr>
                <w:sz w:val="17"/>
                <w:szCs w:val="17"/>
                <w:color w:val="auto"/>
              </w:rPr>
            </w:pPr>
          </w:p>
        </w:tc>
        <w:tc>
          <w:tcPr>
            <w:tcW w:w="8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achievement of the performance goal(s) set forth and described on Exhibit A hereto. For purposes of this Award</w:t>
            </w:r>
          </w:p>
        </w:tc>
      </w:tr>
      <w:tr>
        <w:trPr>
          <w:trHeight w:val="20"/>
        </w:trPr>
        <w:tc>
          <w:tcPr>
            <w:tcW w:w="258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16"/>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Agreement, the term “</w:t>
            </w:r>
            <w:r>
              <w:rPr>
                <w:rFonts w:ascii="Times New Roman" w:cs="Times New Roman" w:eastAsia="Times New Roman" w:hAnsi="Times New Roman"/>
                <w:sz w:val="18"/>
                <w:szCs w:val="18"/>
                <w:b w:val="1"/>
                <w:bCs w:val="1"/>
                <w:i w:val="1"/>
                <w:iCs w:val="1"/>
                <w:color w:val="auto"/>
              </w:rPr>
              <w:t>Service Relationship</w:t>
            </w:r>
            <w:r>
              <w:rPr>
                <w:rFonts w:ascii="Times New Roman" w:cs="Times New Roman" w:eastAsia="Times New Roman" w:hAnsi="Times New Roman"/>
                <w:sz w:val="18"/>
                <w:szCs w:val="18"/>
                <w:color w:val="auto"/>
              </w:rPr>
              <w:t>” means any relationship as a full-time or part-time employee, officer, non-</w:t>
            </w:r>
          </w:p>
        </w:tc>
      </w:tr>
      <w:tr>
        <w:trPr>
          <w:trHeight w:val="218"/>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employee director, consultant or advisor of the Company or any successor entity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Service Relationship shall be</w:t>
            </w:r>
          </w:p>
        </w:tc>
      </w:tr>
      <w:tr>
        <w:trPr>
          <w:trHeight w:val="216"/>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deemed to continue without interruption in the event an individual’s status changes from full-time employee to part-</w:t>
            </w:r>
          </w:p>
        </w:tc>
      </w:tr>
      <w:tr>
        <w:trPr>
          <w:trHeight w:val="234"/>
        </w:trPr>
        <w:tc>
          <w:tcPr>
            <w:tcW w:w="2580" w:type="dxa"/>
            <w:vAlign w:val="bottom"/>
          </w:tcPr>
          <w:p>
            <w:pPr>
              <w:spacing w:after="0"/>
              <w:rPr>
                <w:sz w:val="20"/>
                <w:szCs w:val="20"/>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time employee or consultant).</w:t>
            </w:r>
          </w:p>
        </w:tc>
      </w:tr>
      <w:tr>
        <w:trPr>
          <w:trHeight w:val="414"/>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Upon vesting of a Performance Stock Unit, the Company shall settle each Performance Stock Unit by delivering to</w:t>
            </w:r>
          </w:p>
        </w:tc>
      </w:tr>
      <w:tr>
        <w:trPr>
          <w:trHeight w:val="212"/>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Holder one share of Stock for each Performance Stock Unit that vested as soon as practicable (but not more than thirty</w:t>
            </w:r>
          </w:p>
        </w:tc>
      </w:tr>
      <w:tr>
        <w:trPr>
          <w:trHeight w:val="220"/>
        </w:trPr>
        <w:tc>
          <w:tcPr>
            <w:tcW w:w="2580" w:type="dxa"/>
            <w:vAlign w:val="bottom"/>
          </w:tcPr>
          <w:p>
            <w:pPr>
              <w:spacing w:after="0"/>
              <w:rPr>
                <w:sz w:val="19"/>
                <w:szCs w:val="19"/>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(30) days) following each vesting date (the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 The shares of Stock issued in respect of the</w:t>
            </w:r>
          </w:p>
        </w:tc>
      </w:tr>
      <w:tr>
        <w:trPr>
          <w:trHeight w:val="216"/>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Performance Stock Units may be evidenced in such manner as the Committee shall determine. Notwithstanding the</w:t>
            </w:r>
          </w:p>
        </w:tc>
      </w:tr>
      <w:tr>
        <w:trPr>
          <w:trHeight w:val="216"/>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foregoing, if the Original Issuance Date does not occur (i) during an “open window period” applicable to Holder, (ii) on</w:t>
            </w:r>
          </w:p>
        </w:tc>
      </w:tr>
      <w:tr>
        <w:trPr>
          <w:trHeight w:val="216"/>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date when Holder is permitted to sell shares of Stock pursuant to a written plan that meets the requirements of Rule</w:t>
            </w:r>
          </w:p>
        </w:tc>
      </w:tr>
      <w:tr>
        <w:trPr>
          <w:trHeight w:val="212"/>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10b5-1 under the Exchange Act, as determined by the Company in accordance with the Company’s then-effective</w:t>
            </w:r>
          </w:p>
        </w:tc>
      </w:tr>
      <w:tr>
        <w:trPr>
          <w:trHeight w:val="220"/>
        </w:trPr>
        <w:tc>
          <w:tcPr>
            <w:tcW w:w="2580" w:type="dxa"/>
            <w:vAlign w:val="bottom"/>
          </w:tcPr>
          <w:p>
            <w:pPr>
              <w:spacing w:after="0"/>
              <w:rPr>
                <w:sz w:val="19"/>
                <w:szCs w:val="19"/>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policy on trading in Company securities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or (iii) on a date when Holder is otherwise permitted to sell</w:t>
            </w:r>
          </w:p>
        </w:tc>
      </w:tr>
      <w:tr>
        <w:trPr>
          <w:trHeight w:val="216"/>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of Stock on an established stock exchange or stock market, then such shares will not be delivered on such</w:t>
            </w:r>
          </w:p>
        </w:tc>
      </w:tr>
      <w:tr>
        <w:trPr>
          <w:trHeight w:val="216"/>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Original Issuance Date and will instead be delivered on the first business day of the next occurring “open</w:t>
            </w:r>
          </w:p>
        </w:tc>
      </w:tr>
      <w:tr>
        <w:trPr>
          <w:trHeight w:val="216"/>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window” period applicable to Holder pursuant to such Policy (regardless of whether Holder has experienced a</w:t>
            </w:r>
          </w:p>
        </w:tc>
      </w:tr>
      <w:tr>
        <w:trPr>
          <w:trHeight w:val="216"/>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Termination at such time) or the next business day when Holder is not prohibited from selling shares of Stock on the</w:t>
            </w:r>
          </w:p>
        </w:tc>
      </w:tr>
      <w:tr>
        <w:trPr>
          <w:trHeight w:val="216"/>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open market, but in no event later than the later of (x) December 31st of the calendar year in which the Original</w:t>
            </w:r>
          </w:p>
        </w:tc>
      </w:tr>
      <w:tr>
        <w:trPr>
          <w:trHeight w:val="216"/>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Issuance Date occurs (that is, the last day of Holder’s taxable year in which the Original Issuance Date occurs), or (y) to</w:t>
            </w:r>
          </w:p>
        </w:tc>
      </w:tr>
      <w:tr>
        <w:trPr>
          <w:trHeight w:val="216"/>
        </w:trPr>
        <w:tc>
          <w:tcPr>
            <w:tcW w:w="258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extent permitted by Treasury Regulations Section 1.409A-1(b)(4) without penalty, the fifteenth (15th) day of the</w:t>
            </w:r>
          </w:p>
        </w:tc>
      </w:tr>
      <w:tr>
        <w:trPr>
          <w:trHeight w:val="234"/>
        </w:trPr>
        <w:tc>
          <w:tcPr>
            <w:tcW w:w="2580" w:type="dxa"/>
            <w:vAlign w:val="bottom"/>
          </w:tcPr>
          <w:p>
            <w:pPr>
              <w:spacing w:after="0"/>
              <w:rPr>
                <w:sz w:val="20"/>
                <w:szCs w:val="20"/>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third calendar month of the calendar year following the calendar year in which the Original Issuance Date occurs.</w:t>
            </w:r>
          </w:p>
        </w:tc>
      </w:tr>
      <w:tr>
        <w:trPr>
          <w:trHeight w:val="574"/>
        </w:trPr>
        <w:tc>
          <w:tcPr>
            <w:tcW w:w="2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7(d) of the Plan regarding treatment of Performance Stock Units upon Termination is incorporated herein by</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reference and made a part hereof. In the event of Holder’s Termination for any reason, all unvested Performance</w:t>
            </w:r>
          </w:p>
        </w:tc>
      </w:tr>
      <w:tr>
        <w:trPr>
          <w:trHeight w:val="234"/>
        </w:trPr>
        <w:tc>
          <w:tcPr>
            <w:tcW w:w="2780" w:type="dxa"/>
            <w:vAlign w:val="bottom"/>
          </w:tcPr>
          <w:p>
            <w:pPr>
              <w:spacing w:after="0"/>
              <w:rPr>
                <w:sz w:val="20"/>
                <w:szCs w:val="20"/>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 Units shall be cancelled and forfeited as of the date of such Termination for no consideration.</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Unsecured Creditor:</w:t>
            </w: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 shall have only the rights of a general unsecured creditor of the Company until shares of Stock are issued in</w:t>
            </w:r>
          </w:p>
        </w:tc>
      </w:tr>
      <w:tr>
        <w:trPr>
          <w:trHeight w:val="234"/>
        </w:trPr>
        <w:tc>
          <w:tcPr>
            <w:tcW w:w="2780" w:type="dxa"/>
            <w:vAlign w:val="bottom"/>
          </w:tcPr>
          <w:p>
            <w:pPr>
              <w:spacing w:after="0"/>
              <w:rPr>
                <w:sz w:val="20"/>
                <w:szCs w:val="20"/>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respect of the Performance Stock Units.</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Transfer Restrictions:</w:t>
            </w: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 shall not be permitted to sell, transfer, pledge, or otherwise encumber the Performance Stock Units before</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they vest and are settled, and any attempt to sell, transfer, pledge, or otherwise encumber the Performance Stock</w:t>
            </w:r>
          </w:p>
        </w:tc>
      </w:tr>
      <w:tr>
        <w:trPr>
          <w:trHeight w:val="234"/>
        </w:trPr>
        <w:tc>
          <w:tcPr>
            <w:tcW w:w="2780" w:type="dxa"/>
            <w:vAlign w:val="bottom"/>
          </w:tcPr>
          <w:p>
            <w:pPr>
              <w:spacing w:after="0"/>
              <w:rPr>
                <w:sz w:val="20"/>
                <w:szCs w:val="20"/>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Units in violation of the foregoing shall be null and void.</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 Rights as a Stockholder:</w:t>
            </w: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Neither the Performance Stock Units nor this Award Agreement shall entitle Holder to any voting rights or other</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rights as a stockholder of the Company unless and until the shares of Stock in respect of the Performance Stock</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Units have been issued in settlement thereof. Without limiting the generality of the foregoing, no dividends (whether</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cash or shares of Stock) or dividend equivalents shall accrue or be paid with respect to any Performance Stock</w:t>
            </w:r>
          </w:p>
        </w:tc>
      </w:tr>
      <w:tr>
        <w:trPr>
          <w:trHeight w:val="234"/>
        </w:trPr>
        <w:tc>
          <w:tcPr>
            <w:tcW w:w="2780" w:type="dxa"/>
            <w:vAlign w:val="bottom"/>
          </w:tcPr>
          <w:p>
            <w:pPr>
              <w:spacing w:after="0"/>
              <w:rPr>
                <w:sz w:val="20"/>
                <w:szCs w:val="20"/>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Units.</w:t>
            </w: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Restrictive Covenants:</w:t>
            </w: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Confidential Information. </w:t>
            </w:r>
            <w:r>
              <w:rPr>
                <w:rFonts w:ascii="Times New Roman" w:cs="Times New Roman" w:eastAsia="Times New Roman" w:hAnsi="Times New Roman"/>
                <w:sz w:val="18"/>
                <w:szCs w:val="18"/>
                <w:color w:val="auto"/>
              </w:rPr>
              <w:t>Holder acknowledges and agrees that the information, observations and data obtained by</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 while employed by the Company or its Affiliates (or by the Person(s) which operated the Company’s</w:t>
            </w:r>
          </w:p>
        </w:tc>
      </w:tr>
      <w:tr>
        <w:trPr>
          <w:trHeight w:val="212"/>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business prior to the acquisition thereof by the Company and its Affiliates, if applicable) concerning the business or</w:t>
            </w:r>
          </w:p>
        </w:tc>
      </w:tr>
      <w:tr>
        <w:trPr>
          <w:trHeight w:val="220"/>
        </w:trPr>
        <w:tc>
          <w:tcPr>
            <w:tcW w:w="2780" w:type="dxa"/>
            <w:vAlign w:val="bottom"/>
          </w:tcPr>
          <w:p>
            <w:pPr>
              <w:spacing w:after="0"/>
              <w:rPr>
                <w:sz w:val="19"/>
                <w:szCs w:val="19"/>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affairs of the Company or any of its Affiliates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shall be the property of the Company or</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such Affiliate. Therefore, Holder agrees that Holder shall not disclose to any unauthorized Person or use for Holder’s</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own purposes any Confidential Information without the prior written consent of the Committee, unless and to the</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extent that (i) such information becomes generally known to and available for use by the public other than as a result</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Holder’s acts or omissions, or (ii) such information is required to be disclosed by law, court order or other legal</w:t>
            </w:r>
          </w:p>
        </w:tc>
      </w:tr>
      <w:tr>
        <w:trPr>
          <w:trHeight w:val="194"/>
        </w:trPr>
        <w:tc>
          <w:tcPr>
            <w:tcW w:w="2780" w:type="dxa"/>
            <w:vAlign w:val="bottom"/>
          </w:tcPr>
          <w:p>
            <w:pPr>
              <w:spacing w:after="0"/>
              <w:rPr>
                <w:sz w:val="16"/>
                <w:szCs w:val="16"/>
                <w:color w:val="auto"/>
              </w:rPr>
            </w:pPr>
          </w:p>
        </w:tc>
        <w:tc>
          <w:tcPr>
            <w:tcW w:w="84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process; provided, in the case of clause (ii) above, that Holder shall provide the Company with prior notice of the</w:t>
            </w:r>
          </w:p>
        </w:tc>
      </w:tr>
      <w:tr>
        <w:trPr>
          <w:trHeight w:val="20"/>
        </w:trPr>
        <w:tc>
          <w:tcPr>
            <w:tcW w:w="2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8"/>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contemplated disclosure of such Confidential Information and cooperate with the Company, at the Company’s</w:t>
            </w:r>
          </w:p>
        </w:tc>
      </w:tr>
      <w:tr>
        <w:trPr>
          <w:trHeight w:val="194"/>
        </w:trPr>
        <w:tc>
          <w:tcPr>
            <w:tcW w:w="2780" w:type="dxa"/>
            <w:vAlign w:val="bottom"/>
          </w:tcPr>
          <w:p>
            <w:pPr>
              <w:spacing w:after="0"/>
              <w:rPr>
                <w:sz w:val="16"/>
                <w:szCs w:val="16"/>
                <w:color w:val="auto"/>
              </w:rPr>
            </w:pPr>
          </w:p>
        </w:tc>
        <w:tc>
          <w:tcPr>
            <w:tcW w:w="846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expense, in seeking a protective order or other appropriate protection of such Confidential Information; provided,</w:t>
            </w:r>
          </w:p>
        </w:tc>
      </w:tr>
      <w:tr>
        <w:trPr>
          <w:trHeight w:val="20"/>
        </w:trPr>
        <w:tc>
          <w:tcPr>
            <w:tcW w:w="2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84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further, in the case of clause (ii) above, that Holder shall only disclose such Confidential Information that is</w:t>
            </w:r>
          </w:p>
        </w:tc>
      </w:tr>
      <w:tr>
        <w:trPr>
          <w:trHeight w:val="20"/>
        </w:trPr>
        <w:tc>
          <w:tcPr>
            <w:tcW w:w="27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960" w:type="dxa"/>
            <w:vAlign w:val="bottom"/>
            <w:gridSpan w:val="5"/>
          </w:tcPr>
          <w:p>
            <w:pPr>
              <w:spacing w:after="0" w:line="20" w:lineRule="exact"/>
              <w:rPr>
                <w:sz w:val="1"/>
                <w:szCs w:val="1"/>
                <w:color w:val="auto"/>
              </w:rPr>
            </w:pPr>
          </w:p>
        </w:tc>
      </w:tr>
      <w:tr>
        <w:trPr>
          <w:trHeight w:val="218"/>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explicitly required by applicable law, court order or other legal process, as determined by legal counsel, at the</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Company’s expense. Holder shall deliver to the Company on the date of any Termination, or at any other time the</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Company may request, all memoranda, notes, plans, records, reports, computer tapes, printouts and software and</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documents and data (and copies thereof) relating to the Confidential Information, Work Product (as defined</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below) or the business of the Company or any Affiliate which Holder may then possess or have under Holder’s</w:t>
            </w:r>
          </w:p>
        </w:tc>
      </w:tr>
      <w:tr>
        <w:trPr>
          <w:trHeight w:val="234"/>
        </w:trPr>
        <w:tc>
          <w:tcPr>
            <w:tcW w:w="2780" w:type="dxa"/>
            <w:vAlign w:val="bottom"/>
          </w:tcPr>
          <w:p>
            <w:pPr>
              <w:spacing w:after="0"/>
              <w:rPr>
                <w:sz w:val="20"/>
                <w:szCs w:val="20"/>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control.</w:t>
            </w:r>
          </w:p>
        </w:tc>
      </w:tr>
      <w:tr>
        <w:trPr>
          <w:trHeight w:val="414"/>
        </w:trPr>
        <w:tc>
          <w:tcPr>
            <w:tcW w:w="2780" w:type="dxa"/>
            <w:vAlign w:val="bottom"/>
          </w:tcPr>
          <w:p>
            <w:pPr>
              <w:spacing w:after="0"/>
              <w:rPr>
                <w:sz w:val="24"/>
                <w:szCs w:val="24"/>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Nothing in this Award Agreement is intended to conflict with the whistleblower provisions of any United States</w:t>
            </w:r>
          </w:p>
        </w:tc>
      </w:tr>
      <w:tr>
        <w:trPr>
          <w:trHeight w:val="212"/>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federal, state or local law or regulation, including but not limited to Rule 21F-17 of the Exchange Act or U.S. Defend</w:t>
            </w:r>
          </w:p>
        </w:tc>
      </w:tr>
      <w:tr>
        <w:trPr>
          <w:trHeight w:val="220"/>
        </w:trPr>
        <w:tc>
          <w:tcPr>
            <w:tcW w:w="2780" w:type="dxa"/>
            <w:vAlign w:val="bottom"/>
          </w:tcPr>
          <w:p>
            <w:pPr>
              <w:spacing w:after="0"/>
              <w:rPr>
                <w:sz w:val="19"/>
                <w:szCs w:val="19"/>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Trade Secrets Act of 2016, 18 U.S.C. § 1833(b)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Accordingly, notwithstanding anything to the contrary</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herein, nothing in this Award Agreement shall prohibit the Holder from (A) filing a charge or complaint with,</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participating in an investigation or proceeding conducted by, or reporting possible violations of law or regulation to</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any federal, state or local government agency, (B) truthfully responding to or complying with a subpoena, court</w:t>
            </w:r>
          </w:p>
        </w:tc>
      </w:tr>
      <w:tr>
        <w:trPr>
          <w:trHeight w:val="216"/>
        </w:trPr>
        <w:tc>
          <w:tcPr>
            <w:tcW w:w="2780" w:type="dxa"/>
            <w:vAlign w:val="bottom"/>
          </w:tcPr>
          <w:p>
            <w:pPr>
              <w:spacing w:after="0"/>
              <w:rPr>
                <w:sz w:val="18"/>
                <w:szCs w:val="18"/>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order, or other legal process, or (C) exercising any rights Holder may have under applicable labor laws to engage in</w:t>
            </w:r>
          </w:p>
        </w:tc>
      </w:tr>
      <w:tr>
        <w:trPr>
          <w:trHeight w:val="234"/>
        </w:trPr>
        <w:tc>
          <w:tcPr>
            <w:tcW w:w="2780" w:type="dxa"/>
            <w:vAlign w:val="bottom"/>
          </w:tcPr>
          <w:p>
            <w:pPr>
              <w:spacing w:after="0"/>
              <w:rPr>
                <w:sz w:val="20"/>
                <w:szCs w:val="20"/>
                <w:color w:val="auto"/>
              </w:rPr>
            </w:pPr>
          </w:p>
        </w:tc>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concerted activity with other employees.</w:t>
            </w:r>
          </w:p>
        </w:tc>
      </w:tr>
      <w:tr>
        <w:trPr>
          <w:trHeight w:val="574"/>
        </w:trPr>
        <w:tc>
          <w:tcPr>
            <w:tcW w:w="2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18" w:name="page119"/>
    <w:bookmarkEnd w:id="118"/>
    <w:p>
      <w:pPr>
        <w:ind w:left="1460" w:right="20"/>
        <w:spacing w:after="0" w:line="273" w:lineRule="auto"/>
        <w:rPr>
          <w:sz w:val="20"/>
          <w:szCs w:val="20"/>
          <w:color w:val="auto"/>
        </w:rPr>
      </w:pPr>
      <w:r>
        <w:rPr>
          <w:rFonts w:ascii="Times New Roman" w:cs="Times New Roman" w:eastAsia="Times New Roman" w:hAnsi="Times New Roman"/>
          <w:sz w:val="17"/>
          <w:szCs w:val="17"/>
          <w:color w:val="auto"/>
        </w:rPr>
        <w:t>Under the Act, persons who disclose trade secrets in connection with lawsuits or other proceedings under seal (including lawsuits alleging retaliation), or in confidence to a federal, state or local government official, or attorney, solely for the purpose of reporting or investigating a suspected violation of law, enjoy immunity from civil and criminal liability under state and federal trade secrets laws for such disclosure. Holder acknowledges that Holder has hereby received adequate notice of this immunity, such that the Company and its Affiliates are entitled to all remedies available for violations of the Act, including exemplary damages and attorney fees. Nothing in this Award Agreement is intended to conflict with the Act or create liability for disclosures of trade secrets that are expressly allowed by the Act.</w:t>
      </w:r>
    </w:p>
    <w:p>
      <w:pPr>
        <w:spacing w:after="0" w:line="167" w:lineRule="exact"/>
        <w:rPr>
          <w:sz w:val="20"/>
          <w:szCs w:val="20"/>
          <w:color w:val="auto"/>
        </w:rPr>
      </w:pPr>
    </w:p>
    <w:p>
      <w:pPr>
        <w:ind w:left="1460"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Inventions, Etc. </w:t>
      </w:r>
      <w:r>
        <w:rPr>
          <w:rFonts w:ascii="Times New Roman" w:cs="Times New Roman" w:eastAsia="Times New Roman" w:hAnsi="Times New Roman"/>
          <w:sz w:val="18"/>
          <w:szCs w:val="18"/>
          <w:color w:val="auto"/>
        </w:rPr>
        <w:t>Holder agrees that all inventions, innovations, improvements, developments, methods, techniques,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processes, algorithms, data, databases, designs, analyses, drawings, reports, and all similar or related information, all software, copyrights, and other works of authorship, all other intellectual property or proprietary rights (including any patents, registrations or similar rights that may issue from the foregoing), and all tangible embodiments of any of the foregoing (in any form or medium, whether now known or hereafter existing), which relate to the Company’s or any of its Affiliates’ actual or anticipated business, research and development or existing or future products or services and which are conceived, developed, contributed to or made by Holder while employed by the Company or its Affiliates (or by the Person(s) which operated the Company’s business prior to the acquisition thereof by the Company and its subsidiaries, if applicable) (collectively, “</w:t>
      </w:r>
      <w:r>
        <w:rPr>
          <w:rFonts w:ascii="Times New Roman" w:cs="Times New Roman" w:eastAsia="Times New Roman" w:hAnsi="Times New Roman"/>
          <w:sz w:val="18"/>
          <w:szCs w:val="18"/>
          <w:b w:val="1"/>
          <w:bCs w:val="1"/>
          <w:i w:val="1"/>
          <w:iCs w:val="1"/>
          <w:color w:val="auto"/>
        </w:rPr>
        <w:t>Work Product</w:t>
      </w:r>
      <w:r>
        <w:rPr>
          <w:rFonts w:ascii="Times New Roman" w:cs="Times New Roman" w:eastAsia="Times New Roman" w:hAnsi="Times New Roman"/>
          <w:sz w:val="18"/>
          <w:szCs w:val="18"/>
          <w:color w:val="auto"/>
        </w:rPr>
        <w:t>”), belong to and are the property of the Company or such Affiliate, as applicable, and Holder hereby assigns to the Company or such Affiliate, as applicable, any right, title and interest Holder may have in and to the Work Product, free and clear of any claims for compensation or restrictions on the use or ownership thereof. Holder will promptly disclose such Work Product to the Committee and perform all actions reasonably requested by the Committee (whether before or after the Holder’s Termination) to establish, record, perfect and otherwise confirm such ownership, and protect, maintain and enforce the Company’s and the Affiliate’s rights in such Work Product (including, without limitation, by executing assignments, consents, powers of attorney, and other instruments and providing affidavits and testifying in any proceeding).</w:t>
      </w:r>
    </w:p>
    <w:p>
      <w:pPr>
        <w:spacing w:after="0" w:line="195" w:lineRule="exact"/>
        <w:rPr>
          <w:sz w:val="20"/>
          <w:szCs w:val="20"/>
          <w:color w:val="auto"/>
        </w:rPr>
      </w:pPr>
    </w:p>
    <w:p>
      <w:pPr>
        <w:ind w:left="14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Non-Compete, Non-Solicitation. </w:t>
      </w:r>
      <w:r>
        <w:rPr>
          <w:rFonts w:ascii="Times New Roman" w:cs="Times New Roman" w:eastAsia="Times New Roman" w:hAnsi="Times New Roman"/>
          <w:sz w:val="18"/>
          <w:szCs w:val="18"/>
          <w:color w:val="auto"/>
        </w:rPr>
        <w:t>Holder acknowledges that during Holder’s employment with the Company, 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and will become familiar with the Company’s trade secrets and with other Confidential Information concerning the Company and its Affiliates and that Holder’s services will be of special, unique and extraordinary value to the Company and its Affiliates. Therefore, and in further consideration of the Performance Stock Units to be granted to Holder hereunder, Holder agrees to the covenants set forth in this section and acknowledges that (i) the covenants set forth herein are reasonably limited in time and in all other respects, (ii) the covenants set forth herein are reasonably necessary for the protection of the Company, and (iii) the covenants set forth herein have been made in order to induce the Company to enter into this Award Agreement and the Company would not have entered into this Award Agreement but for Holder’s agreement to such covenants.</w:t>
      </w:r>
    </w:p>
    <w:p>
      <w:pPr>
        <w:spacing w:after="0" w:line="192" w:lineRule="exact"/>
        <w:rPr>
          <w:sz w:val="20"/>
          <w:szCs w:val="20"/>
          <w:color w:val="auto"/>
        </w:rPr>
      </w:pPr>
    </w:p>
    <w:p>
      <w:pPr>
        <w:ind w:left="1460" w:right="80"/>
        <w:spacing w:after="0" w:line="254" w:lineRule="auto"/>
        <w:rPr>
          <w:sz w:val="20"/>
          <w:szCs w:val="20"/>
          <w:color w:val="auto"/>
        </w:rPr>
      </w:pPr>
      <w:r>
        <w:rPr>
          <w:rFonts w:ascii="Times New Roman" w:cs="Times New Roman" w:eastAsia="Times New Roman" w:hAnsi="Times New Roman"/>
          <w:sz w:val="18"/>
          <w:szCs w:val="18"/>
          <w:color w:val="auto"/>
        </w:rPr>
        <w:t>Holder agrees that, during the period commencing on the date hereof and ending on the two year anniversary of Holder’s Termination (the “</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xml:space="preserve">”), Holder shall not directly or indirectly own any interest in, manage, control, engage in, participate in, consult with, contribute to or render services for (as an officer, director, employee or in any other regard), any Person that is in any business which competes with any business that the Company and/or its Affiliates conducts or has specific plans to conduct at the time of Holder’s Termination anywhere in the world;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prohibit Holder from being a passive owner of less than 2% of the outstanding stock of any class of a corporation which is publicly traded, so long as Holder has no active participation in the business of such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19" w:name="page120"/>
    <w:bookmarkEnd w:id="119"/>
    <w:p>
      <w:pPr>
        <w:ind w:left="1460" w:right="20"/>
        <w:spacing w:after="0" w:line="272" w:lineRule="auto"/>
        <w:rPr>
          <w:sz w:val="20"/>
          <w:szCs w:val="20"/>
          <w:color w:val="auto"/>
        </w:rPr>
      </w:pPr>
      <w:r>
        <w:rPr>
          <w:rFonts w:ascii="Times New Roman" w:cs="Times New Roman" w:eastAsia="Times New Roman" w:hAnsi="Times New Roman"/>
          <w:sz w:val="17"/>
          <w:szCs w:val="17"/>
          <w:color w:val="auto"/>
        </w:rPr>
        <w:t>During the Restricted Period, Holder shall not directly, or indirectly through another entity, (i) solicit or induce or attempt to solicit or induce any employee of the Company or any Affiliate to leave the employ of the Company or such Affiliate, or in any way interfere with the relationship between the Company or any Affiliate and any employee thereof,</w:t>
      </w:r>
    </w:p>
    <w:p>
      <w:pPr>
        <w:spacing w:after="0" w:line="2" w:lineRule="exact"/>
        <w:rPr>
          <w:sz w:val="20"/>
          <w:szCs w:val="20"/>
          <w:color w:val="auto"/>
        </w:rPr>
      </w:pPr>
    </w:p>
    <w:p>
      <w:pPr>
        <w:ind w:left="1460" w:right="140" w:hanging="7"/>
        <w:spacing w:after="0" w:line="252" w:lineRule="auto"/>
        <w:tabs>
          <w:tab w:leader="none" w:pos="172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person who was an employee of the Company or any Affiliate at any time from 6 months prior to the date hereof through the Holder’s Termination, (iii) make any statement or do any act intended to cause existing or potential customers of the Company or any Affiliate to make use of the services or purchase the products of any competitive business or (iv) induce or attempt to induce any customer, supplier, licensee, licensor, franchisee or other business relation of the Company or any Affiliate to cease doing business with, or materially and adversely change the terms of its business with, the Company or such Affiliate, or in any way interfere with the relationship between any such customer, supplier, licensee, licensor, franchisee or business relation and the Company or any Affiliate.</w:t>
      </w:r>
    </w:p>
    <w:p>
      <w:pPr>
        <w:spacing w:after="0" w:line="188" w:lineRule="exact"/>
        <w:rPr>
          <w:sz w:val="20"/>
          <w:szCs w:val="20"/>
          <w:color w:val="auto"/>
        </w:rPr>
      </w:pPr>
    </w:p>
    <w:p>
      <w:pPr>
        <w:jc w:val="both"/>
        <w:ind w:left="1460" w:right="520"/>
        <w:spacing w:after="0" w:line="266" w:lineRule="auto"/>
        <w:rPr>
          <w:sz w:val="20"/>
          <w:szCs w:val="20"/>
          <w:color w:val="auto"/>
        </w:rPr>
      </w:pPr>
      <w:r>
        <w:rPr>
          <w:rFonts w:ascii="Times New Roman" w:cs="Times New Roman" w:eastAsia="Times New Roman" w:hAnsi="Times New Roman"/>
          <w:sz w:val="18"/>
          <w:szCs w:val="18"/>
          <w:color w:val="auto"/>
        </w:rPr>
        <w:t>If the Committee determines in good faith that Holder has breached or threatened to breach any of the covenants contained herein, or any restrictive covenant contained in an employment agreement or other agreement between Holder and any of the Company or any of its Affiliates, to the extent permitted by applicable law:</w:t>
      </w:r>
    </w:p>
    <w:p>
      <w:pPr>
        <w:spacing w:after="0" w:line="176" w:lineRule="exact"/>
        <w:rPr>
          <w:sz w:val="20"/>
          <w:szCs w:val="20"/>
          <w:color w:val="auto"/>
        </w:rPr>
      </w:pPr>
    </w:p>
    <w:p>
      <w:pPr>
        <w:ind w:left="1820" w:hanging="359"/>
        <w:spacing w:after="0" w:line="256" w:lineRule="auto"/>
        <w:rPr>
          <w:sz w:val="20"/>
          <w:szCs w:val="20"/>
          <w:color w:val="auto"/>
        </w:rPr>
      </w:pPr>
      <w:r>
        <w:rPr>
          <w:rFonts w:ascii="Times New Roman" w:cs="Times New Roman" w:eastAsia="Times New Roman" w:hAnsi="Times New Roman"/>
          <w:sz w:val="18"/>
          <w:szCs w:val="18"/>
          <w:color w:val="auto"/>
        </w:rPr>
        <w:t>(a)   any unvested or vested but unsettled Performance Stock Units shall be immediately forfeited effective as of the date of such breach, unless sooner terminated by operation of another term or condition of this Award Agreement or the Plan, and Holder shall deliver to the Company (or take all steps necessary to effectuate the delivery of), no later than five (5) days following such determination, any shares of Stock issued upon the settlement of Holder’s Performance Stock Units and any proceeds resulting from the sale or other disposition (including to the Company) of shares of Stock issued upon settlement of Holder’s Performance Stock Units; and</w:t>
      </w:r>
    </w:p>
    <w:p>
      <w:pPr>
        <w:spacing w:after="0" w:line="187" w:lineRule="exact"/>
        <w:rPr>
          <w:sz w:val="20"/>
          <w:szCs w:val="20"/>
          <w:color w:val="auto"/>
        </w:rPr>
      </w:pPr>
    </w:p>
    <w:p>
      <w:pPr>
        <w:ind w:left="1820" w:hanging="359"/>
        <w:spacing w:after="0" w:line="254" w:lineRule="auto"/>
        <w:rPr>
          <w:sz w:val="20"/>
          <w:szCs w:val="20"/>
          <w:color w:val="auto"/>
        </w:rPr>
      </w:pPr>
      <w:r>
        <w:rPr>
          <w:rFonts w:ascii="Times New Roman" w:cs="Times New Roman" w:eastAsia="Times New Roman" w:hAnsi="Times New Roman"/>
          <w:sz w:val="18"/>
          <w:szCs w:val="18"/>
          <w:color w:val="auto"/>
        </w:rPr>
        <w:t>(b)   Holder hereby consents and agrees that the Company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 Each of the Company’s Affiliates not party to this Award Agreement is intended to be third-party beneficiaries of the provisions of the restrictive covenants set forth herein, and such provisions may be enforced by each of them in accordance with the terms hereof in respect of the rights granted to each such entity hereunder.</w:t>
      </w:r>
    </w:p>
    <w:p>
      <w:pPr>
        <w:spacing w:after="0" w:line="188" w:lineRule="exact"/>
        <w:rPr>
          <w:sz w:val="20"/>
          <w:szCs w:val="20"/>
          <w:color w:val="auto"/>
        </w:rPr>
      </w:pPr>
    </w:p>
    <w:p>
      <w:pPr>
        <w:ind w:left="1460" w:right="20"/>
        <w:spacing w:after="0" w:line="256" w:lineRule="auto"/>
        <w:rPr>
          <w:sz w:val="20"/>
          <w:szCs w:val="20"/>
          <w:color w:val="auto"/>
        </w:rPr>
      </w:pPr>
      <w:r>
        <w:rPr>
          <w:rFonts w:ascii="Times New Roman" w:cs="Times New Roman" w:eastAsia="Times New Roman" w:hAnsi="Times New Roman"/>
          <w:sz w:val="18"/>
          <w:szCs w:val="18"/>
          <w:color w:val="auto"/>
        </w:rPr>
        <w:t>It is expressly understood and agreed that, if a final judicial determination is made by a court having jurisdiction (without regard to any ability to appeal or whether an appeal is in fact taken, during the pendency of that appeal) that the time or territory restrictions or any other provision herein related to the restrictive covenants is an unreasonable or otherwise unenforceable restriction against Holder, the provisions herein related to the restrictive covenants shall not be rendered void, but shall be deemed amended to apply as to such maximum time and territory and to such other extent as such court may judicially determine or indicate to be reasonable.</w:t>
      </w:r>
    </w:p>
    <w:p>
      <w:pPr>
        <w:spacing w:after="0" w:line="187" w:lineRule="exact"/>
        <w:rPr>
          <w:sz w:val="20"/>
          <w:szCs w:val="20"/>
          <w:color w:val="auto"/>
        </w:rPr>
      </w:pPr>
    </w:p>
    <w:p>
      <w:pPr>
        <w:ind w:left="1460" w:right="220"/>
        <w:spacing w:after="0" w:line="282" w:lineRule="auto"/>
        <w:rPr>
          <w:sz w:val="20"/>
          <w:szCs w:val="20"/>
          <w:color w:val="auto"/>
        </w:rPr>
      </w:pPr>
      <w:r>
        <w:rPr>
          <w:rFonts w:ascii="Times New Roman" w:cs="Times New Roman" w:eastAsia="Times New Roman" w:hAnsi="Times New Roman"/>
          <w:sz w:val="18"/>
          <w:szCs w:val="18"/>
          <w:color w:val="auto"/>
        </w:rPr>
        <w:t>Holder acknowledges and agrees that the provisions herein related to the restrictive covenants shall continue to apply following Holder’s Termination, regardless of the reason for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Clawback Policy; Share</w:t>
            </w:r>
          </w:p>
        </w:tc>
        <w:tc>
          <w:tcPr>
            <w:tcW w:w="9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Performance Stock Units (and any compensation paid or shares issued in respect of the Performance Stock Units)</w:t>
            </w:r>
          </w:p>
        </w:tc>
      </w:tr>
      <w:tr>
        <w:trPr>
          <w:trHeight w:val="220"/>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Ownership Guidelines:</w:t>
            </w:r>
          </w:p>
        </w:tc>
        <w:tc>
          <w:tcPr>
            <w:tcW w:w="9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are subject to (i) any share ownership guidelines to which the Holder may be subject, and (ii) recoupment in accordance</w:t>
            </w:r>
          </w:p>
        </w:tc>
      </w:tr>
      <w:tr>
        <w:trPr>
          <w:trHeight w:val="216"/>
        </w:trPr>
        <w:tc>
          <w:tcPr>
            <w:tcW w:w="2200" w:type="dxa"/>
            <w:vAlign w:val="bottom"/>
          </w:tcPr>
          <w:p>
            <w:pPr>
              <w:spacing w:after="0"/>
              <w:rPr>
                <w:sz w:val="18"/>
                <w:szCs w:val="18"/>
                <w:color w:val="auto"/>
              </w:rPr>
            </w:pPr>
          </w:p>
        </w:tc>
        <w:tc>
          <w:tcPr>
            <w:tcW w:w="9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with the Company’s clawback policy, if applicable, The Dodd-Frank Wall Street Reform and Consumer Protection Act</w:t>
            </w:r>
          </w:p>
        </w:tc>
      </w:tr>
      <w:tr>
        <w:trPr>
          <w:trHeight w:val="216"/>
        </w:trPr>
        <w:tc>
          <w:tcPr>
            <w:tcW w:w="2200" w:type="dxa"/>
            <w:vAlign w:val="bottom"/>
          </w:tcPr>
          <w:p>
            <w:pPr>
              <w:spacing w:after="0"/>
              <w:rPr>
                <w:sz w:val="18"/>
                <w:szCs w:val="18"/>
                <w:color w:val="auto"/>
              </w:rPr>
            </w:pPr>
          </w:p>
        </w:tc>
        <w:tc>
          <w:tcPr>
            <w:tcW w:w="9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and any implementing regulations thereunder, any other clawback policy adopted by the Company and any</w:t>
            </w:r>
          </w:p>
        </w:tc>
      </w:tr>
      <w:tr>
        <w:trPr>
          <w:trHeight w:val="234"/>
        </w:trPr>
        <w:tc>
          <w:tcPr>
            <w:tcW w:w="2200" w:type="dxa"/>
            <w:vAlign w:val="bottom"/>
          </w:tcPr>
          <w:p>
            <w:pPr>
              <w:spacing w:after="0"/>
              <w:rPr>
                <w:sz w:val="20"/>
                <w:szCs w:val="20"/>
                <w:color w:val="auto"/>
              </w:rPr>
            </w:pPr>
          </w:p>
        </w:tc>
        <w:tc>
          <w:tcPr>
            <w:tcW w:w="9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compensation recovery policy otherwise required by applicable law.</w:t>
            </w: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Terms:</w:t>
            </w:r>
          </w:p>
        </w:tc>
        <w:tc>
          <w:tcPr>
            <w:tcW w:w="9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Performance Stock Units shall be subject to the following additional terms:</w:t>
            </w:r>
          </w:p>
        </w:tc>
      </w:tr>
      <w:tr>
        <w:trPr>
          <w:trHeight w:val="414"/>
        </w:trPr>
        <w:tc>
          <w:tcPr>
            <w:tcW w:w="2200" w:type="dxa"/>
            <w:vAlign w:val="bottom"/>
          </w:tcPr>
          <w:p>
            <w:pPr>
              <w:spacing w:after="0"/>
              <w:rPr>
                <w:sz w:val="24"/>
                <w:szCs w:val="2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79"/>
              </w:rPr>
              <w:t>• </w:t>
            </w:r>
          </w:p>
        </w:tc>
        <w:tc>
          <w:tcPr>
            <w:tcW w:w="8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 Any certificates representing the shares of Stock delivered to Holder shall be subject to such stop transfer orders</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and other restrictions as the Committee may deem advisable under the rules, regulations, and other requirements of</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Securities and Exchange Commission, any stock exchange upon which such shares are listed, and any</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applicable federal or state laws, and the Committee may cause a legend or legends to be put on any such</w:t>
            </w:r>
          </w:p>
        </w:tc>
      </w:tr>
      <w:tr>
        <w:trPr>
          <w:trHeight w:val="234"/>
        </w:trPr>
        <w:tc>
          <w:tcPr>
            <w:tcW w:w="2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certificates to make appropriate reference to such restrictions as the Committee deems appropriate.</w:t>
            </w:r>
          </w:p>
        </w:tc>
      </w:tr>
      <w:tr>
        <w:trPr>
          <w:trHeight w:val="414"/>
        </w:trPr>
        <w:tc>
          <w:tcPr>
            <w:tcW w:w="2200" w:type="dxa"/>
            <w:vAlign w:val="bottom"/>
          </w:tcPr>
          <w:p>
            <w:pPr>
              <w:spacing w:after="0"/>
              <w:rPr>
                <w:sz w:val="24"/>
                <w:szCs w:val="2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79"/>
              </w:rPr>
              <w:t>• </w:t>
            </w:r>
          </w:p>
        </w:tc>
        <w:tc>
          <w:tcPr>
            <w:tcW w:w="8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 Holder shall be the record owner of the shares of Stock issued in respect of the Performance Stock Units until or</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unless such shares of Stock are repurchased or otherwise sold or transferred in accordance with the terms of the</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 and as record owner shall generally be entitled to all rights of a stockholder with respect to the shares of</w:t>
            </w:r>
          </w:p>
        </w:tc>
      </w:tr>
      <w:tr>
        <w:trPr>
          <w:trHeight w:val="234"/>
        </w:trPr>
        <w:tc>
          <w:tcPr>
            <w:tcW w:w="2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issued in respect of the Performance Stock Units.</w:t>
            </w:r>
          </w:p>
        </w:tc>
      </w:tr>
      <w:tr>
        <w:trPr>
          <w:trHeight w:val="414"/>
        </w:trPr>
        <w:tc>
          <w:tcPr>
            <w:tcW w:w="2200" w:type="dxa"/>
            <w:vAlign w:val="bottom"/>
          </w:tcPr>
          <w:p>
            <w:pPr>
              <w:spacing w:after="0"/>
              <w:rPr>
                <w:sz w:val="24"/>
                <w:szCs w:val="2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79"/>
              </w:rPr>
              <w:t>• </w:t>
            </w:r>
          </w:p>
        </w:tc>
        <w:tc>
          <w:tcPr>
            <w:tcW w:w="8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 Upon issuance of shares of Stock in respect of the Performance Stock Units, Holder shall be required to satisfy</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applicable withholding tax obligations, if any, as provided in Section 16 of the Plan. In addition, the Company or</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any Affiliate may, in its sole discretion, satisfy all or any portion of the withholding tax obligation relating to the</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Performance Stock Units by any of the following means or by a combination of such means: (i) withholding from</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any compensation otherwise payable to Holder by the Company or any Affiliate; (ii) causing Holder to tender a</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payment; (iii) permitting or requiring Holder to enter into a “same day sale” commitment, whereby the</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 taxes may be satisfied with a portion of the shares of Stock to be delivered in connection with the</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Performance Stock Units by delivery of an irrevocable direction to a securities broker (on a form prescribed by the</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Committee) to sell a portion of the shares of Stock and to deliver all or part of the sale proceeds to the Company</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and/or its Affiliates in payment of the amount necessary to satisfy the withholding tax obligation; (iv) withholding</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shares of Stock from the shares of Stock issued or otherwise issuable to Holder in connection with the Performance</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Units with a Fair Market Value equal to the amount of such withholding taxes; provided, that to the extent</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necessary to qualify for an exemption from application of Section 16(b) of the Exchange Act, if applicable, such</w:t>
            </w:r>
          </w:p>
        </w:tc>
      </w:tr>
      <w:tr>
        <w:trPr>
          <w:trHeight w:val="216"/>
        </w:trPr>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withholding procedure will be subject to the express prior approval of the Committee; or (v) such other</w:t>
            </w:r>
          </w:p>
        </w:tc>
      </w:tr>
      <w:tr>
        <w:trPr>
          <w:trHeight w:val="234"/>
        </w:trPr>
        <w:tc>
          <w:tcPr>
            <w:tcW w:w="2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arrangements as are satisfactory to the Committee.</w:t>
            </w:r>
          </w:p>
        </w:tc>
      </w:tr>
      <w:tr>
        <w:trPr>
          <w:trHeight w:val="414"/>
        </w:trPr>
        <w:tc>
          <w:tcPr>
            <w:tcW w:w="2200" w:type="dxa"/>
            <w:vAlign w:val="bottom"/>
          </w:tcPr>
          <w:p>
            <w:pPr>
              <w:spacing w:after="0"/>
              <w:rPr>
                <w:sz w:val="24"/>
                <w:szCs w:val="2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79"/>
              </w:rPr>
              <w:t>• </w:t>
            </w:r>
          </w:p>
        </w:tc>
        <w:tc>
          <w:tcPr>
            <w:tcW w:w="8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This Award Agreement does not confer upon Holder any right to continue as an employee or service provider of</w:t>
            </w:r>
          </w:p>
        </w:tc>
      </w:tr>
      <w:tr>
        <w:trPr>
          <w:trHeight w:val="234"/>
        </w:trPr>
        <w:tc>
          <w:tcPr>
            <w:tcW w:w="2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Service Recipient or any other member of the Company Group.</w:t>
            </w:r>
          </w:p>
        </w:tc>
      </w:tr>
      <w:tr>
        <w:trPr>
          <w:trHeight w:val="414"/>
        </w:trPr>
        <w:tc>
          <w:tcPr>
            <w:tcW w:w="2200" w:type="dxa"/>
            <w:vAlign w:val="bottom"/>
          </w:tcPr>
          <w:p>
            <w:pPr>
              <w:spacing w:after="0"/>
              <w:rPr>
                <w:sz w:val="24"/>
                <w:szCs w:val="2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79"/>
              </w:rPr>
              <w:t>• </w:t>
            </w:r>
          </w:p>
        </w:tc>
        <w:tc>
          <w:tcPr>
            <w:tcW w:w="8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 This Award Agreement shall be construed and interpreted in accordance with the laws of the State of Delaware,</w:t>
            </w:r>
          </w:p>
        </w:tc>
      </w:tr>
      <w:tr>
        <w:trPr>
          <w:trHeight w:val="234"/>
        </w:trPr>
        <w:tc>
          <w:tcPr>
            <w:tcW w:w="2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without regard to the principles of conflicts of law thereof.</w:t>
            </w:r>
          </w:p>
        </w:tc>
      </w:tr>
      <w:tr>
        <w:trPr>
          <w:trHeight w:val="574"/>
        </w:trPr>
        <w:tc>
          <w:tcPr>
            <w:tcW w:w="2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ind w:left="2400"/>
              <w:spacing w:after="0"/>
              <w:rPr>
                <w:sz w:val="20"/>
                <w:szCs w:val="20"/>
                <w:color w:val="auto"/>
              </w:rPr>
            </w:pPr>
            <w:r>
              <w:rPr>
                <w:rFonts w:ascii="Times New Roman" w:cs="Times New Roman" w:eastAsia="Times New Roman" w:hAnsi="Times New Roman"/>
                <w:sz w:val="16"/>
                <w:szCs w:val="16"/>
                <w:color w:val="auto"/>
                <w:w w:val="73"/>
              </w:rPr>
              <w:t>• </w:t>
            </w:r>
          </w:p>
        </w:tc>
        <w:tc>
          <w:tcPr>
            <w:tcW w:w="8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 Holder understands that the Performance Stock Units are intended to be exempt from Section 409A of the Code as a</w:t>
            </w:r>
          </w:p>
        </w:tc>
      </w:tr>
      <w:tr>
        <w:trPr>
          <w:trHeight w:val="216"/>
        </w:trPr>
        <w:tc>
          <w:tcPr>
            <w:tcW w:w="258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deferral” to the greatest extent possible and the Performance Stock Units will be administered and</w:t>
            </w:r>
          </w:p>
        </w:tc>
      </w:tr>
      <w:tr>
        <w:trPr>
          <w:trHeight w:val="216"/>
        </w:trPr>
        <w:tc>
          <w:tcPr>
            <w:tcW w:w="258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interpreted in accordance with such intent. In no event whatsoever shall the Company or any of its Affiliates be liable</w:t>
            </w:r>
          </w:p>
        </w:tc>
      </w:tr>
      <w:tr>
        <w:trPr>
          <w:trHeight w:val="216"/>
        </w:trPr>
        <w:tc>
          <w:tcPr>
            <w:tcW w:w="258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any additional tax, interest or penalties that may be imposed on Holder as a result of Section 409A of the Code or</w:t>
            </w:r>
          </w:p>
        </w:tc>
      </w:tr>
      <w:tr>
        <w:trPr>
          <w:trHeight w:val="216"/>
        </w:trPr>
        <w:tc>
          <w:tcPr>
            <w:tcW w:w="258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any damages for failing to comply with Section 409A of the Code (other than for withholding obligations or other</w:t>
            </w:r>
          </w:p>
        </w:tc>
      </w:tr>
      <w:tr>
        <w:trPr>
          <w:trHeight w:val="234"/>
        </w:trPr>
        <w:tc>
          <w:tcPr>
            <w:tcW w:w="2580" w:type="dxa"/>
            <w:vAlign w:val="bottom"/>
          </w:tcPr>
          <w:p>
            <w:pPr>
              <w:spacing w:after="0"/>
              <w:rPr>
                <w:sz w:val="20"/>
                <w:szCs w:val="20"/>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applicable to employers, if any, under Section 409A of the Code).</w:t>
            </w:r>
          </w:p>
        </w:tc>
      </w:tr>
      <w:tr>
        <w:trPr>
          <w:trHeight w:val="414"/>
        </w:trPr>
        <w:tc>
          <w:tcPr>
            <w:tcW w:w="2580" w:type="dxa"/>
            <w:vAlign w:val="bottom"/>
          </w:tcPr>
          <w:p>
            <w:pPr>
              <w:ind w:left="2400"/>
              <w:spacing w:after="0"/>
              <w:rPr>
                <w:sz w:val="20"/>
                <w:szCs w:val="20"/>
                <w:color w:val="auto"/>
              </w:rPr>
            </w:pPr>
            <w:r>
              <w:rPr>
                <w:rFonts w:ascii="Times New Roman" w:cs="Times New Roman" w:eastAsia="Times New Roman" w:hAnsi="Times New Roman"/>
                <w:sz w:val="16"/>
                <w:szCs w:val="16"/>
                <w:color w:val="auto"/>
                <w:w w:val="73"/>
              </w:rPr>
              <w:t>• </w:t>
            </w:r>
          </w:p>
        </w:tc>
        <w:tc>
          <w:tcPr>
            <w:tcW w:w="8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 Holder agrees that the Company may deliver by email all documents relating to the Plan or the Performance Stock</w:t>
            </w:r>
          </w:p>
        </w:tc>
      </w:tr>
      <w:tr>
        <w:trPr>
          <w:trHeight w:val="216"/>
        </w:trPr>
        <w:tc>
          <w:tcPr>
            <w:tcW w:w="258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 (including, without limitation, a copy of the Plan) and all other documents that the Company is required to</w:t>
            </w:r>
          </w:p>
        </w:tc>
      </w:tr>
      <w:tr>
        <w:trPr>
          <w:trHeight w:val="216"/>
        </w:trPr>
        <w:tc>
          <w:tcPr>
            <w:tcW w:w="258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 to its security holders (including, without limitation, disclosures that may be required by the Securities and</w:t>
            </w:r>
          </w:p>
        </w:tc>
      </w:tr>
      <w:tr>
        <w:trPr>
          <w:trHeight w:val="216"/>
        </w:trPr>
        <w:tc>
          <w:tcPr>
            <w:tcW w:w="258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Commission). Holder also agrees that the Company may deliver these documents by posting them on a</w:t>
            </w:r>
          </w:p>
        </w:tc>
      </w:tr>
      <w:tr>
        <w:trPr>
          <w:trHeight w:val="216"/>
        </w:trPr>
        <w:tc>
          <w:tcPr>
            <w:tcW w:w="258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website maintained by the Company or by a third party under contract with the Company. If the Company posts these</w:t>
            </w:r>
          </w:p>
        </w:tc>
      </w:tr>
      <w:tr>
        <w:trPr>
          <w:trHeight w:val="216"/>
        </w:trPr>
        <w:tc>
          <w:tcPr>
            <w:tcW w:w="258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documents on a website, it shall notify Holder by email or such other reasonable manner as then determined by the</w:t>
            </w:r>
          </w:p>
        </w:tc>
      </w:tr>
      <w:tr>
        <w:trPr>
          <w:trHeight w:val="234"/>
        </w:trPr>
        <w:tc>
          <w:tcPr>
            <w:tcW w:w="2580" w:type="dxa"/>
            <w:vAlign w:val="bottom"/>
          </w:tcPr>
          <w:p>
            <w:pPr>
              <w:spacing w:after="0"/>
              <w:rPr>
                <w:sz w:val="20"/>
                <w:szCs w:val="20"/>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2580" w:type="dxa"/>
            <w:vAlign w:val="bottom"/>
          </w:tcPr>
          <w:p>
            <w:pPr>
              <w:ind w:left="2400"/>
              <w:spacing w:after="0"/>
              <w:rPr>
                <w:sz w:val="20"/>
                <w:szCs w:val="20"/>
                <w:color w:val="auto"/>
              </w:rPr>
            </w:pPr>
            <w:r>
              <w:rPr>
                <w:rFonts w:ascii="Times New Roman" w:cs="Times New Roman" w:eastAsia="Times New Roman" w:hAnsi="Times New Roman"/>
                <w:sz w:val="16"/>
                <w:szCs w:val="16"/>
                <w:color w:val="auto"/>
                <w:w w:val="73"/>
              </w:rPr>
              <w:t>• </w:t>
            </w:r>
          </w:p>
        </w:tc>
        <w:tc>
          <w:tcPr>
            <w:tcW w:w="8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This Award Agreement and the Plan constitute the entire understanding and agreement of the parties hereto and</w:t>
            </w:r>
          </w:p>
        </w:tc>
      </w:tr>
      <w:tr>
        <w:trPr>
          <w:trHeight w:val="216"/>
        </w:trPr>
        <w:tc>
          <w:tcPr>
            <w:tcW w:w="258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supersede all prior negotiations, discussions, correspondence, communications, understandings, and agreements</w:t>
            </w:r>
          </w:p>
        </w:tc>
      </w:tr>
      <w:tr>
        <w:trPr>
          <w:trHeight w:val="216"/>
        </w:trPr>
        <w:tc>
          <w:tcPr>
            <w:tcW w:w="258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(whether oral or written and whether express or implied) between the Company and Holder relating to the subject</w:t>
            </w:r>
          </w:p>
        </w:tc>
      </w:tr>
      <w:tr>
        <w:trPr>
          <w:trHeight w:val="216"/>
        </w:trPr>
        <w:tc>
          <w:tcPr>
            <w:tcW w:w="258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matter of this Award Agreement. Without limiting the foregoing, to the extent Holder has entered into an</w:t>
            </w:r>
          </w:p>
        </w:tc>
      </w:tr>
      <w:tr>
        <w:trPr>
          <w:trHeight w:val="216"/>
        </w:trPr>
        <w:tc>
          <w:tcPr>
            <w:tcW w:w="258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employment or similar agreement with the Company or any of its Affiliates, and the terms noted in such employment</w:t>
            </w:r>
          </w:p>
        </w:tc>
      </w:tr>
      <w:tr>
        <w:trPr>
          <w:trHeight w:val="216"/>
        </w:trPr>
        <w:tc>
          <w:tcPr>
            <w:tcW w:w="258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similar agreement are inconsistent with or conflict with this Award Agreement, then the terms of this Award</w:t>
            </w:r>
          </w:p>
        </w:tc>
      </w:tr>
      <w:tr>
        <w:trPr>
          <w:trHeight w:val="216"/>
        </w:trPr>
        <w:tc>
          <w:tcPr>
            <w:tcW w:w="258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 will supersede and be deemed to amend and modify the inconsistent or conflicting terms set forth in such</w:t>
            </w:r>
          </w:p>
        </w:tc>
      </w:tr>
      <w:tr>
        <w:trPr>
          <w:trHeight w:val="234"/>
        </w:trPr>
        <w:tc>
          <w:tcPr>
            <w:tcW w:w="2580" w:type="dxa"/>
            <w:vAlign w:val="bottom"/>
          </w:tcPr>
          <w:p>
            <w:pPr>
              <w:spacing w:after="0"/>
              <w:rPr>
                <w:sz w:val="20"/>
                <w:szCs w:val="20"/>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employment or similar agreement.</w:t>
            </w:r>
          </w:p>
        </w:tc>
      </w:tr>
      <w:tr>
        <w:trPr>
          <w:trHeight w:val="432"/>
        </w:trPr>
        <w:tc>
          <w:tcPr>
            <w:tcW w:w="2580" w:type="dxa"/>
            <w:vAlign w:val="bottom"/>
          </w:tcPr>
          <w:p>
            <w:pPr>
              <w:spacing w:after="0"/>
              <w:rPr>
                <w:sz w:val="24"/>
                <w:szCs w:val="24"/>
                <w:color w:val="auto"/>
              </w:rPr>
            </w:pPr>
          </w:p>
        </w:tc>
        <w:tc>
          <w:tcPr>
            <w:tcW w:w="866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 * *</w:t>
            </w:r>
          </w:p>
        </w:tc>
      </w:tr>
      <w:tr>
        <w:trPr>
          <w:trHeight w:val="574"/>
        </w:trPr>
        <w:tc>
          <w:tcPr>
            <w:tcW w:w="25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22" w:name="page123"/>
    <w:bookmarkEnd w:id="122"/>
    <w:p>
      <w:pPr>
        <w:spacing w:after="0" w:line="268" w:lineRule="auto"/>
        <w:rPr>
          <w:sz w:val="20"/>
          <w:szCs w:val="20"/>
          <w:color w:val="auto"/>
        </w:rPr>
      </w:pPr>
      <w:r>
        <w:rPr>
          <w:rFonts w:ascii="Times New Roman" w:cs="Times New Roman" w:eastAsia="Times New Roman" w:hAnsi="Times New Roman"/>
          <w:sz w:val="18"/>
          <w:szCs w:val="18"/>
          <w:b w:val="1"/>
          <w:bCs w:val="1"/>
          <w:color w:val="auto"/>
        </w:rPr>
        <w:t>THE UNDERSIGNED HOLDER ACKNOWLEDGES RECEIPT OF THIS AWARD AGREEMENT AND THE PLAN, AND, AS AN EXPRESS CONDITION TO THE GRANT OF PERFORMANCE STOCK UNITS UNDER THIS AWARD AGREEMENT, AGREES TO BE BOUND BY THE TERMS OF BOTH THIS AWARD AGREEMENT AND THE PLAN.</w:t>
      </w:r>
    </w:p>
    <w:p>
      <w:pPr>
        <w:sectPr>
          <w:pgSz w:w="11900" w:h="16838" w:orient="portrait"/>
          <w:cols w:equalWidth="0" w:num="1">
            <w:col w:w="11120"/>
          </w:cols>
          <w:pgMar w:left="320" w:top="576" w:right="45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HOLLEY INC.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w:t>
      </w:r>
    </w:p>
    <w:p>
      <w:pPr>
        <w:spacing w:after="0" w:line="211" w:lineRule="exact"/>
        <w:rPr>
          <w:sz w:val="20"/>
          <w:szCs w:val="20"/>
          <w:color w:val="auto"/>
        </w:rPr>
      </w:pPr>
    </w:p>
    <w:p>
      <w:pPr>
        <w:sectPr>
          <w:pgSz w:w="11900" w:h="16838" w:orient="portrait"/>
          <w:cols w:equalWidth="0" w:num="2">
            <w:col w:w="5420" w:space="720"/>
            <w:col w:w="4980"/>
          </w:cols>
          <w:pgMar w:left="320" w:top="576" w:right="45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285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-7620</wp:posOffset>
            </wp:positionV>
            <wp:extent cx="285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-7620</wp:posOffset>
            </wp:positionV>
            <wp:extent cx="285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-7620</wp:posOffset>
            </wp:positionV>
            <wp:extent cx="285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-7620</wp:posOffset>
            </wp:positionV>
            <wp:extent cx="285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720"/>
            <w:col w:w="4980"/>
          </w:cols>
          <w:pgMar w:left="320" w:top="576"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Performance Stock Unit Grant Notice and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type w:val="continuous"/>
        </w:sectPr>
      </w:pPr>
    </w:p>
    <w:bookmarkStart w:id="123" w:name="page124"/>
    <w:bookmarkEnd w:id="123"/>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00" w:lineRule="exact"/>
        <w:rPr>
          <w:sz w:val="20"/>
          <w:szCs w:val="20"/>
          <w:color w:val="auto"/>
        </w:rPr>
      </w:pPr>
    </w:p>
    <w:p>
      <w:pPr>
        <w:spacing w:after="0" w:line="245" w:lineRule="exact"/>
        <w:rPr>
          <w:sz w:val="20"/>
          <w:szCs w:val="20"/>
          <w:color w:val="auto"/>
        </w:rPr>
      </w:pPr>
    </w:p>
    <w:p>
      <w:pPr>
        <w:ind w:right="40" w:firstLine="332"/>
        <w:spacing w:after="0" w:line="261" w:lineRule="auto"/>
        <w:tabs>
          <w:tab w:leader="none" w:pos="63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 and Conditions</w:t>
      </w:r>
      <w:r>
        <w:rPr>
          <w:rFonts w:ascii="Times New Roman" w:cs="Times New Roman" w:eastAsia="Times New Roman" w:hAnsi="Times New Roman"/>
          <w:sz w:val="18"/>
          <w:szCs w:val="18"/>
          <w:color w:val="auto"/>
        </w:rPr>
        <w:t>. The Performance Share Units will vest upon the determination by the Committee of whether and to the extent performance for each applicable annual period (each a “Performance Year”) equals or exceeds the applicable [•] Performance Goal based on Company performance between [•] and [•] (such period, the “Performance Period”). [•] of the Target Number of Performance Share Units are assigned to each of these [•] calendar years.</w:t>
      </w:r>
    </w:p>
    <w:p>
      <w:pPr>
        <w:spacing w:after="0" w:line="179" w:lineRule="exact"/>
        <w:rPr>
          <w:rFonts w:ascii="Times New Roman" w:cs="Times New Roman" w:eastAsia="Times New Roman" w:hAnsi="Times New Roman"/>
          <w:sz w:val="18"/>
          <w:szCs w:val="18"/>
          <w:color w:val="auto"/>
        </w:rPr>
      </w:pPr>
    </w:p>
    <w:p>
      <w:pPr>
        <w:ind w:firstLine="332"/>
        <w:spacing w:after="0" w:line="258" w:lineRule="auto"/>
        <w:tabs>
          <w:tab w:leader="none" w:pos="63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Target Award</w:t>
      </w:r>
      <w:r>
        <w:rPr>
          <w:rFonts w:ascii="Times New Roman" w:cs="Times New Roman" w:eastAsia="Times New Roman" w:hAnsi="Times New Roman"/>
          <w:sz w:val="18"/>
          <w:szCs w:val="18"/>
          <w:color w:val="auto"/>
        </w:rPr>
        <w:t>. The target number of Performance Stock Units for the Participant is as set forth on the first page of the Award Agreement. For the avoidance of doubt, all percentages associated with the Performance Stock Units shall be of the Target Award. As soon as practicable at the end of each Performance Year, the Committee will determine whether the performance goal for the covered Performance Year was obtained and whether the Performance Stock Units will vest based on the achievement of the Performance Goal(s). Each date on which the Committee determines a number of Performance Stock Units that have vested will be the “Vesting Date.”</w:t>
      </w:r>
    </w:p>
    <w:p>
      <w:pPr>
        <w:spacing w:after="0" w:line="183" w:lineRule="exact"/>
        <w:rPr>
          <w:rFonts w:ascii="Times New Roman" w:cs="Times New Roman" w:eastAsia="Times New Roman" w:hAnsi="Times New Roman"/>
          <w:sz w:val="18"/>
          <w:szCs w:val="18"/>
          <w:color w:val="auto"/>
        </w:rPr>
      </w:pPr>
    </w:p>
    <w:p>
      <w:pPr>
        <w:ind w:right="120" w:firstLine="332"/>
        <w:spacing w:after="0" w:line="282" w:lineRule="auto"/>
        <w:tabs>
          <w:tab w:leader="none" w:pos="63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The performance goals for the Performance Stock Units are [•]. Performance will be measured in each Performance Year and an Annual Performance Factor will be generated by the Committee.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Performance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5044440" cy="16154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5044440" cy="161544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20" w:type="dxa"/>
            <w:vAlign w:val="bottom"/>
            <w:tcBorders>
              <w:top w:val="single" w:sz="8" w:color="auto"/>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rPr>
              <w:t>Annual Performance</w:t>
            </w:r>
          </w:p>
        </w:tc>
        <w:tc>
          <w:tcPr>
            <w:tcW w:w="1520" w:type="dxa"/>
            <w:vAlign w:val="bottom"/>
            <w:tcBorders>
              <w:top w:val="single" w:sz="8" w:color="auto"/>
              <w:right w:val="single" w:sz="8" w:color="auto"/>
            </w:tcBorders>
          </w:tcPr>
          <w:p>
            <w:pPr>
              <w:ind w:left="260"/>
              <w:spacing w:after="0" w:line="20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(millions)</w:t>
            </w:r>
          </w:p>
        </w:tc>
        <w:tc>
          <w:tcPr>
            <w:tcW w:w="1540" w:type="dxa"/>
            <w:vAlign w:val="bottom"/>
            <w:tcBorders>
              <w:top w:val="single" w:sz="8" w:color="auto"/>
              <w:right w:val="single" w:sz="8" w:color="auto"/>
            </w:tcBorders>
          </w:tcPr>
          <w:p>
            <w:pPr>
              <w:ind w:left="280"/>
              <w:spacing w:after="0" w:line="20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(millions)</w:t>
            </w:r>
          </w:p>
        </w:tc>
        <w:tc>
          <w:tcPr>
            <w:tcW w:w="1520" w:type="dxa"/>
            <w:vAlign w:val="bottom"/>
            <w:tcBorders>
              <w:top w:val="single" w:sz="8" w:color="auto"/>
              <w:right w:val="single" w:sz="8" w:color="auto"/>
            </w:tcBorders>
          </w:tcPr>
          <w:p>
            <w:pPr>
              <w:ind w:left="260"/>
              <w:spacing w:after="0" w:line="20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(millions)</w:t>
            </w:r>
          </w:p>
        </w:tc>
        <w:tc>
          <w:tcPr>
            <w:tcW w:w="1540" w:type="dxa"/>
            <w:vAlign w:val="bottom"/>
            <w:tcBorders>
              <w:top w:val="single" w:sz="8" w:color="auto"/>
            </w:tcBorders>
          </w:tcPr>
          <w:p>
            <w:pPr>
              <w:ind w:left="60"/>
              <w:spacing w:after="0" w:line="204" w:lineRule="exact"/>
              <w:rPr>
                <w:sz w:val="20"/>
                <w:szCs w:val="20"/>
                <w:color w:val="auto"/>
              </w:rPr>
            </w:pPr>
            <w:r>
              <w:rPr>
                <w:rFonts w:ascii="Times New Roman" w:cs="Times New Roman" w:eastAsia="Times New Roman" w:hAnsi="Times New Roman"/>
                <w:sz w:val="18"/>
                <w:szCs w:val="18"/>
                <w:b w:val="1"/>
                <w:bCs w:val="1"/>
                <w:color w:val="auto"/>
              </w:rPr>
              <w:t>Percentage of PSU</w:t>
            </w:r>
          </w:p>
        </w:tc>
      </w:tr>
      <w:tr>
        <w:trPr>
          <w:trHeight w:val="249"/>
        </w:trPr>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Factor</w:t>
            </w:r>
          </w:p>
        </w:tc>
        <w:tc>
          <w:tcPr>
            <w:tcW w:w="15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Payout</w:t>
            </w:r>
          </w:p>
        </w:tc>
      </w:tr>
      <w:tr>
        <w:trPr>
          <w:trHeight w:val="190"/>
        </w:trPr>
        <w:tc>
          <w:tcPr>
            <w:tcW w:w="182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5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5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150%</w:t>
            </w:r>
          </w:p>
        </w:tc>
      </w:tr>
      <w:tr>
        <w:trPr>
          <w:trHeight w:val="249"/>
        </w:trPr>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(115%)</w:t>
            </w:r>
          </w:p>
        </w:tc>
        <w:tc>
          <w:tcPr>
            <w:tcW w:w="15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r>
      <w:tr>
        <w:trPr>
          <w:trHeight w:val="190"/>
        </w:trPr>
        <w:tc>
          <w:tcPr>
            <w:tcW w:w="182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6"/>
              </w:rPr>
              <w:t>Target</w:t>
            </w:r>
          </w:p>
        </w:tc>
        <w:tc>
          <w:tcPr>
            <w:tcW w:w="15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5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100%</w:t>
            </w:r>
          </w:p>
        </w:tc>
      </w:tr>
      <w:tr>
        <w:trPr>
          <w:trHeight w:val="249"/>
        </w:trPr>
        <w:tc>
          <w:tcPr>
            <w:tcW w:w="182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(100%)</w:t>
            </w:r>
          </w:p>
        </w:tc>
        <w:tc>
          <w:tcPr>
            <w:tcW w:w="15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r>
      <w:tr>
        <w:trPr>
          <w:trHeight w:val="190"/>
        </w:trPr>
        <w:tc>
          <w:tcPr>
            <w:tcW w:w="182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8"/>
              </w:rPr>
              <w:t>Threshold</w:t>
            </w:r>
          </w:p>
        </w:tc>
        <w:tc>
          <w:tcPr>
            <w:tcW w:w="15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5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50%</w:t>
            </w:r>
          </w:p>
        </w:tc>
      </w:tr>
      <w:tr>
        <w:trPr>
          <w:trHeight w:val="249"/>
        </w:trPr>
        <w:tc>
          <w:tcPr>
            <w:tcW w:w="182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(85%)</w:t>
            </w:r>
          </w:p>
        </w:tc>
        <w:tc>
          <w:tcPr>
            <w:tcW w:w="15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r>
      <w:tr>
        <w:trPr>
          <w:trHeight w:val="190"/>
        </w:trPr>
        <w:tc>
          <w:tcPr>
            <w:tcW w:w="182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9"/>
              </w:rPr>
              <w:t>Below Threshold</w:t>
            </w:r>
          </w:p>
        </w:tc>
        <w:tc>
          <w:tcPr>
            <w:tcW w:w="15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5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0%</w:t>
            </w:r>
          </w:p>
        </w:tc>
      </w:tr>
      <w:tr>
        <w:trPr>
          <w:trHeight w:val="235"/>
        </w:trPr>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(Less than 85%)</w:t>
            </w:r>
          </w:p>
        </w:tc>
        <w:tc>
          <w:tcPr>
            <w:tcW w:w="152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Stock Units shall be paid (or not) in [•] annual installments over the [•] year period following the applicable Vesting Date subject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achievement of the performance goal(s) as provided in the tables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Achievement between Target and Threshold and Target and Maximum will vest in a straight line proportional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76" w:right="519" w:bottom="1440" w:gutter="0" w:footer="0" w:header="0"/>
        </w:sectPr>
      </w:pPr>
    </w:p>
    <w:bookmarkStart w:id="124" w:name="page125"/>
    <w:bookmarkEnd w:id="124"/>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Exhibit A, the following terms shall have the meanings listed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shall make adjustments to the applicable Performance Goal as it deems equitable and appropriate to (a) exclude the material impact of any changes in accounting standards or methods that are implemented during the Performance Period and (b) exclude the impact of any merger, combination, acquisition, consolidation, sale of a portion of the business or other reorganization of the Company that occurs during the Performance Period.</w:t>
      </w:r>
    </w:p>
    <w:p>
      <w:pPr>
        <w:sectPr>
          <w:pgSz w:w="11900" w:h="16838" w:orient="portrait"/>
          <w:cols w:equalWidth="0" w:num="1">
            <w:col w:w="11140"/>
          </w:cols>
          <w:pgMar w:left="320" w:top="580" w:right="4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Subsidiaries of the 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Holley Intermediate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Holley Purchaser,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Holley High Performance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 Performance Industries,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Holley Performance Products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Hot Rod Brands,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Speedshop.com,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Simpson Safety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B&amp;M Racing &amp; Performance Products,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Holley Performance Products (Canada),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Simpson Performance Products,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 Simpson Partners,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Simpson Partners,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Stilo S.r.L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Aero Wings,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 Performance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MSDP Trading Shanghai Company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Powerteq,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 Germany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 Germany LLC &amp; Co. KG</w:t>
      </w:r>
    </w:p>
    <w:p>
      <w:pPr>
        <w:sectPr>
          <w:pgSz w:w="11900" w:h="16838" w:orient="portrait"/>
          <w:cols w:equalWidth="0" w:num="1">
            <w:col w:w="11240"/>
          </w:cols>
          <w:pgMar w:left="320" w:top="11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issued our report dated March 15, 2023, with respect to the consolidated financial statements included in the Annual Report of Holley Inc. on Form 10-K for the year ended December 31, 2022. We consent to the incorporation by reference of said report in the following Registration Statements of Holley Inc. on Form S-1 (file No. 333-258075), Form S-8 (File No. 333-259744) and Form S-3 (File No. 333-266779).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2023</w:t>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Gloeckler, certify that:</w:t>
      </w:r>
    </w:p>
    <w:p>
      <w:pPr>
        <w:spacing w:after="0" w:line="225" w:lineRule="exact"/>
        <w:rPr>
          <w:sz w:val="20"/>
          <w:szCs w:val="20"/>
          <w:color w:val="auto"/>
        </w:rPr>
      </w:pPr>
    </w:p>
    <w:p>
      <w:pPr>
        <w:ind w:left="180" w:hanging="172"/>
        <w:spacing w:after="0"/>
        <w:tabs>
          <w:tab w:leader="none" w:pos="1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Holley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/s/ Michelle Gloeckler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Michelle Gloeckler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Director, Interim President and Chief Executive Officer</w:t>
      </w:r>
    </w:p>
    <w:p>
      <w:pPr>
        <w:spacing w:after="0" w:line="20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March 15, 2023</w:t>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Jesse Weaver, certify that:</w:t>
      </w:r>
    </w:p>
    <w:p>
      <w:pPr>
        <w:spacing w:after="0" w:line="225" w:lineRule="exact"/>
        <w:rPr>
          <w:sz w:val="20"/>
          <w:szCs w:val="20"/>
          <w:color w:val="auto"/>
        </w:rPr>
      </w:pPr>
    </w:p>
    <w:p>
      <w:pPr>
        <w:ind w:left="180" w:hanging="172"/>
        <w:spacing w:after="0"/>
        <w:tabs>
          <w:tab w:leader="none" w:pos="1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Holley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/s/ Jesse Weaver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Jesse Weaver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March 15, 2023</w:t>
      </w:r>
    </w:p>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Holley Inc. (the “Company”) for the year ended December 31, 2022, as filed with the Securities and Exchange Commission (the “Report”), Michelle Gloeckler, Director and Interim President and Chief Executive Officer of the Company, does hereby certify, pursuant to § 906 of the Sarbanes-Oxley Act of 2002 (18 U.S.C. § 1350), that to his knowledge:</w:t>
      </w:r>
    </w:p>
    <w:p>
      <w:pPr>
        <w:spacing w:after="0" w:line="176" w:lineRule="exact"/>
        <w:rPr>
          <w:sz w:val="20"/>
          <w:szCs w:val="20"/>
          <w:color w:val="auto"/>
        </w:rPr>
      </w:pPr>
    </w:p>
    <w:p>
      <w:pPr>
        <w:ind w:left="260" w:hanging="252"/>
        <w:spacing w:after="0"/>
        <w:tabs>
          <w:tab w:leader="none" w:pos="2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/s/ Michelle Gloeckler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Michelle Gloeckler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Director, Interim President and Chief Executive Officer</w:t>
      </w:r>
    </w:p>
    <w:p>
      <w:pPr>
        <w:spacing w:after="0" w:line="9"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March 15, 2023</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statement has been provided to the Company and will be retained by the Company and furnished to the SEC or its staff upon request.</w:t>
      </w:r>
    </w:p>
    <w:p>
      <w:pPr>
        <w:sectPr>
          <w:pgSz w:w="11900" w:h="16838" w:orient="portrait"/>
          <w:cols w:equalWidth="0" w:num="1">
            <w:col w:w="11240"/>
          </w:cols>
          <w:pgMar w:left="320" w:top="121"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Holley Inc. (the “Company”) for the year ended December 31, 2022, as filed with the Securities and Exchange Commission (the “Report”), Jesse Weaver, Chief Financial Officer of the Company, does hereby certify, pursuant to § 906 of the Sarbanes-Oxley Act of 2002 (18 U.S.C. § 1350), that to his knowledge:</w:t>
      </w:r>
    </w:p>
    <w:p>
      <w:pPr>
        <w:spacing w:after="0" w:line="176" w:lineRule="exact"/>
        <w:rPr>
          <w:sz w:val="20"/>
          <w:szCs w:val="20"/>
          <w:color w:val="auto"/>
        </w:rPr>
      </w:pPr>
    </w:p>
    <w:p>
      <w:pPr>
        <w:ind w:left="260" w:hanging="252"/>
        <w:spacing w:after="0"/>
        <w:tabs>
          <w:tab w:leader="none" w:pos="2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/s/ Jesse Weaver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Jesse Weaver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March 15, 2023</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statement has been provided to the Company and will be retained by the Company and furnished to the SEC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1)"/>
      <w:numFmt w:val="lowerRoman"/>
      <w:start w:val="7"/>
    </w:lvl>
  </w:abstractNum>
  <w:abstractNum w:abstractNumId="23">
    <w:nsid w:val="42C296BD"/>
    <w:multiLevelType w:val="hybridMultilevel"/>
    <w:lvl w:ilvl="0">
      <w:lvlJc w:val="left"/>
      <w:lvlText w:val="(%1)"/>
      <w:numFmt w:val="decimal"/>
      <w:start w:val="1"/>
    </w:lvl>
  </w:abstractNum>
  <w:abstractNum w:abstractNumId="24">
    <w:nsid w:val="168E121F"/>
    <w:multiLevelType w:val="hybridMultilevel"/>
    <w:lvl w:ilvl="0">
      <w:lvlJc w:val="left"/>
      <w:lvlText w:val="%1."/>
      <w:numFmt w:val="decimal"/>
      <w:start w:val="1"/>
    </w:lvl>
  </w:abstractNum>
  <w:abstractNum w:abstractNumId="25">
    <w:nsid w:val="1EBA5D23"/>
    <w:multiLevelType w:val="hybridMultilevel"/>
    <w:lvl w:ilvl="0">
      <w:lvlJc w:val="left"/>
      <w:lvlText w:val="%1."/>
      <w:numFmt w:val="decimal"/>
      <w:start w:val="2"/>
    </w:lvl>
  </w:abstractNum>
  <w:abstractNum w:abstractNumId="26">
    <w:nsid w:val="661E3F1E"/>
    <w:multiLevelType w:val="hybridMultilevel"/>
    <w:lvl w:ilvl="0">
      <w:lvlJc w:val="left"/>
      <w:lvlText w:val="%1."/>
      <w:numFmt w:val="decimal"/>
      <w:start w:val="3"/>
    </w:lvl>
  </w:abstractNum>
  <w:abstractNum w:abstractNumId="27">
    <w:nsid w:val="5DC79EA8"/>
    <w:multiLevelType w:val="hybridMultilevel"/>
    <w:lvl w:ilvl="0">
      <w:lvlJc w:val="left"/>
      <w:lvlText w:val="%1."/>
      <w:numFmt w:val="decimal"/>
      <w:start w:val="4"/>
    </w:lvl>
  </w:abstractNum>
  <w:abstractNum w:abstractNumId="28">
    <w:nsid w:val="540A471C"/>
    <w:multiLevelType w:val="hybridMultilevel"/>
    <w:lvl w:ilvl="0">
      <w:lvlJc w:val="left"/>
      <w:lvlText w:val="%1."/>
      <w:numFmt w:val="decimal"/>
      <w:start w:val="5"/>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1."/>
      <w:numFmt w:val="decimal"/>
      <w:start w:val="6"/>
    </w:lvl>
  </w:abstractNum>
  <w:abstractNum w:abstractNumId="31">
    <w:nsid w:val="613EFDC5"/>
    <w:multiLevelType w:val="hybridMultilevel"/>
    <w:lvl w:ilvl="0">
      <w:lvlJc w:val="left"/>
      <w:lvlText w:val="%1."/>
      <w:numFmt w:val="decimal"/>
      <w:start w:val="7"/>
    </w:lvl>
  </w:abstractNum>
  <w:abstractNum w:abstractNumId="32">
    <w:nsid w:val="BF72B14"/>
    <w:multiLevelType w:val="hybridMultilevel"/>
    <w:lvl w:ilvl="0">
      <w:lvlJc w:val="left"/>
      <w:lvlText w:val="%1."/>
      <w:numFmt w:val="decimal"/>
      <w:start w:val="8"/>
    </w:lvl>
  </w:abstractNum>
  <w:abstractNum w:abstractNumId="33">
    <w:nsid w:val="11447B73"/>
    <w:multiLevelType w:val="hybridMultilevel"/>
    <w:lvl w:ilvl="0">
      <w:lvlJc w:val="left"/>
      <w:lvlText w:val="%1."/>
      <w:numFmt w:val="decimal"/>
      <w:start w:val="9"/>
    </w:lvl>
  </w:abstractNum>
  <w:abstractNum w:abstractNumId="34">
    <w:nsid w:val="42963E5A"/>
    <w:multiLevelType w:val="hybridMultilevel"/>
    <w:lvl w:ilvl="0">
      <w:lvlJc w:val="left"/>
      <w:lvlText w:val="%1."/>
      <w:numFmt w:val="decimal"/>
      <w:start w:val="10"/>
    </w:lvl>
  </w:abstractNum>
  <w:abstractNum w:abstractNumId="35">
    <w:nsid w:val="A0382C5"/>
    <w:multiLevelType w:val="hybridMultilevel"/>
    <w:lvl w:ilvl="0">
      <w:lvlJc w:val="left"/>
      <w:lvlText w:val="%1."/>
      <w:numFmt w:val="decimal"/>
      <w:start w:val="11"/>
    </w:lvl>
  </w:abstractNum>
  <w:abstractNum w:abstractNumId="36">
    <w:nsid w:val="8F2B15E"/>
    <w:multiLevelType w:val="hybridMultilevel"/>
    <w:lvl w:ilvl="0">
      <w:lvlJc w:val="left"/>
      <w:lvlText w:val="%1."/>
      <w:numFmt w:val="decimal"/>
      <w:start w:val="12"/>
    </w:lvl>
  </w:abstractNum>
  <w:abstractNum w:abstractNumId="37">
    <w:nsid w:val="1A32234B"/>
    <w:multiLevelType w:val="hybridMultilevel"/>
    <w:lvl w:ilvl="0">
      <w:lvlJc w:val="left"/>
      <w:lvlText w:val="%1."/>
      <w:numFmt w:val="decimal"/>
      <w:start w:val="13"/>
    </w:lvl>
  </w:abstractNum>
  <w:abstractNum w:abstractNumId="38">
    <w:nsid w:val="3B0FD379"/>
    <w:multiLevelType w:val="hybridMultilevel"/>
    <w:lvl w:ilvl="0">
      <w:lvlJc w:val="left"/>
      <w:lvlText w:val="%1."/>
      <w:numFmt w:val="decimal"/>
      <w:start w:val="14"/>
    </w:lvl>
    <w:lvl w:ilvl="1">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1."/>
      <w:numFmt w:val="decimal"/>
      <w:start w:val="15"/>
    </w:lvl>
  </w:abstractNum>
  <w:abstractNum w:abstractNumId="43">
    <w:nsid w:val="14330624"/>
    <w:multiLevelType w:val="hybridMultilevel"/>
    <w:lvl w:ilvl="0">
      <w:lvlJc w:val="left"/>
      <w:lvlText w:val="%1."/>
      <w:numFmt w:val="decimal"/>
      <w:start w:val="16"/>
    </w:lvl>
  </w:abstractNum>
  <w:abstractNum w:abstractNumId="44">
    <w:nsid w:val="7FFFCA11"/>
    <w:multiLevelType w:val="hybridMultilevel"/>
    <w:lvl w:ilvl="0">
      <w:lvlJc w:val="left"/>
      <w:lvlText w:val="%1"/>
      <w:numFmt w:val="decimal"/>
      <w:start w:val="1"/>
    </w:lvl>
    <w:lvl w:ilvl="1">
      <w:lvlJc w:val="left"/>
      <w:lvlText w:val="(%2)"/>
      <w:numFmt w:val="decimal"/>
      <w:start w:val="1"/>
    </w:lvl>
  </w:abstractNum>
  <w:abstractNum w:abstractNumId="45">
    <w:nsid w:val="1A27709E"/>
    <w:multiLevelType w:val="hybridMultilevel"/>
    <w:lvl w:ilvl="0">
      <w:lvlJc w:val="left"/>
      <w:lvlText w:val="%1."/>
      <w:numFmt w:val="decimal"/>
      <w:start w:val="17"/>
    </w:lvl>
    <w:lvl w:ilvl="1">
      <w:lvlJc w:val="left"/>
      <w:lvlText w:val="%2"/>
      <w:numFmt w:val="decimal"/>
      <w:start w:val="1"/>
    </w:lvl>
  </w:abstractNum>
  <w:abstractNum w:abstractNumId="46">
    <w:nsid w:val="71EA1109"/>
    <w:multiLevelType w:val="hybridMultilevel"/>
    <w:lvl w:ilvl="0">
      <w:lvlJc w:val="left"/>
      <w:lvlText w:val="%1"/>
      <w:numFmt w:val="decimal"/>
      <w:start w:val="104"/>
    </w:lvl>
  </w:abstractNum>
  <w:abstractNum w:abstractNumId="47">
    <w:nsid w:val="100F59DC"/>
    <w:multiLevelType w:val="hybridMultilevel"/>
    <w:lvl w:ilvl="0">
      <w:lvlJc w:val="left"/>
      <w:lvlText w:val="%1."/>
      <w:numFmt w:val="decimal"/>
      <w:start w:val="1"/>
    </w:lvl>
  </w:abstractNum>
  <w:abstractNum w:abstractNumId="48">
    <w:nsid w:val="7FB7E0AA"/>
    <w:multiLevelType w:val="hybridMultilevel"/>
    <w:lvl w:ilvl="0">
      <w:lvlJc w:val="left"/>
      <w:lvlText w:val="%1"/>
      <w:numFmt w:val="lowerLetter"/>
      <w:start w:val="1"/>
    </w:lvl>
    <w:lvl w:ilvl="1">
      <w:lvlJc w:val="left"/>
      <w:lvlText w:val="(%2)"/>
      <w:numFmt w:val="lowerLetter"/>
      <w:start w:val="1"/>
    </w:lvl>
  </w:abstractNum>
  <w:abstractNum w:abstractNumId="49">
    <w:nsid w:val="6EB5BD4"/>
    <w:multiLevelType w:val="hybridMultilevel"/>
    <w:lvl w:ilvl="0">
      <w:lvlJc w:val="left"/>
      <w:lvlText w:val="(%1)"/>
      <w:numFmt w:val="lowerLetter"/>
      <w:start w:val="3"/>
    </w:lvl>
    <w:lvl w:ilvl="1">
      <w:lvlJc w:val="left"/>
      <w:lvlText w:val="%2"/>
      <w:numFmt w:val="lowerLetter"/>
      <w:start w:val="1"/>
    </w:lvl>
  </w:abstractNum>
  <w:abstractNum w:abstractNumId="50">
    <w:nsid w:val="6F6DD9AC"/>
    <w:multiLevelType w:val="hybridMultilevel"/>
    <w:lvl w:ilvl="0">
      <w:lvlJc w:val="left"/>
      <w:lvlText w:val="%1."/>
      <w:numFmt w:val="decimal"/>
      <w:start w:val="2"/>
    </w:lvl>
  </w:abstractNum>
  <w:abstractNum w:abstractNumId="51">
    <w:nsid w:val="94211F2"/>
    <w:multiLevelType w:val="hybridMultilevel"/>
    <w:lvl w:ilvl="0">
      <w:lvlJc w:val="left"/>
      <w:lvlText w:val="%1"/>
      <w:numFmt w:val="decimal"/>
      <w:start w:val="1"/>
    </w:lvl>
    <w:lvl w:ilvl="1">
      <w:lvlJc w:val="left"/>
      <w:lvlText w:val="(%2)"/>
      <w:numFmt w:val="lowerLetter"/>
      <w:start w:val="2"/>
    </w:lvl>
  </w:abstractNum>
  <w:abstractNum w:abstractNumId="52">
    <w:nsid w:val="885E1B"/>
    <w:multiLevelType w:val="hybridMultilevel"/>
    <w:lvl w:ilvl="0">
      <w:lvlJc w:val="left"/>
      <w:lvlText w:val="%1."/>
      <w:numFmt w:val="decimal"/>
      <w:start w:val="4"/>
    </w:lvl>
    <w:lvl w:ilvl="1">
      <w:lvlJc w:val="left"/>
      <w:lvlText w:val="%2"/>
      <w:numFmt w:val="lowerLetter"/>
      <w:start w:val="1"/>
    </w:lvl>
  </w:abstractNum>
  <w:abstractNum w:abstractNumId="53">
    <w:nsid w:val="76272110"/>
    <w:multiLevelType w:val="hybridMultilevel"/>
    <w:lvl w:ilvl="0">
      <w:lvlJc w:val="left"/>
      <w:lvlText w:val="(%1)"/>
      <w:numFmt w:val="lowerLetter"/>
      <w:start w:val="1"/>
    </w:lvl>
  </w:abstractNum>
  <w:abstractNum w:abstractNumId="54">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55">
    <w:nsid w:val="1716703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6">
    <w:nsid w:val="14E17E3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7">
    <w:nsid w:val="3222E7CD"/>
    <w:multiLevelType w:val="hybridMultilevel"/>
    <w:lvl w:ilvl="0">
      <w:lvlJc w:val="left"/>
      <w:lvlText w:val="(%1)"/>
      <w:numFmt w:val="lowerLetter"/>
      <w:start w:val="1"/>
    </w:lvl>
  </w:abstractNum>
  <w:abstractNum w:abstractNumId="58">
    <w:nsid w:val="74DE0EE3"/>
    <w:multiLevelType w:val="hybridMultilevel"/>
    <w:lvl w:ilvl="0">
      <w:lvlJc w:val="left"/>
      <w:lvlText w:val="(%1)"/>
      <w:numFmt w:val="lowerLetter"/>
      <w:start w:val="4"/>
    </w:lvl>
  </w:abstractNum>
  <w:abstractNum w:abstractNumId="59">
    <w:nsid w:val="68EBC550"/>
    <w:multiLevelType w:val="hybridMultilevel"/>
    <w:lvl w:ilvl="0">
      <w:lvlJc w:val="left"/>
      <w:lvlText w:val="%1."/>
      <w:numFmt w:val="decimal"/>
      <w:start w:val="6"/>
    </w:lvl>
  </w:abstractNum>
  <w:abstractNum w:abstractNumId="60">
    <w:nsid w:val="2DF6D648"/>
    <w:multiLevelType w:val="hybridMultilevel"/>
    <w:lvl w:ilvl="0">
      <w:lvlJc w:val="left"/>
      <w:lvlText w:val="(%1)"/>
      <w:numFmt w:val="lowerLetter"/>
      <w:start w:val="1"/>
    </w:lvl>
  </w:abstractNum>
  <w:abstractNum w:abstractNumId="61">
    <w:nsid w:val="46B7D44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2"/>
    </w:lvl>
    <w:lvl w:ilvl="4">
      <w:lvlJc w:val="left"/>
      <w:lvlText w:val="%5"/>
      <w:numFmt w:val="lowerRoman"/>
      <w:start w:val="1"/>
    </w:lvl>
    <w:lvl w:ilvl="5">
      <w:lvlJc w:val="left"/>
      <w:lvlText w:val="%6"/>
      <w:numFmt w:val="upperLetter"/>
      <w:start w:val="1"/>
    </w:lvl>
  </w:abstractNum>
  <w:abstractNum w:abstractNumId="62">
    <w:nsid w:val="4A2AC315"/>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lvl w:ilvl="3">
      <w:lvlJc w:val="left"/>
      <w:lvlText w:val="%4"/>
      <w:numFmt w:val="lowerRoman"/>
      <w:start w:val="1"/>
    </w:lvl>
    <w:lvl w:ilvl="4">
      <w:lvlJc w:val="left"/>
      <w:lvlText w:val="(%5)"/>
      <w:numFmt w:val="lowerRoman"/>
      <w:start w:val="4"/>
    </w:lvl>
    <w:lvl w:ilvl="5">
      <w:lvlJc w:val="left"/>
      <w:lvlText w:val="%6"/>
      <w:numFmt w:val="upperLetter"/>
      <w:start w:val="1"/>
    </w:lvl>
  </w:abstractNum>
  <w:abstractNum w:abstractNumId="63">
    <w:nsid w:val="39EE015C"/>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lowerRoman"/>
      <w:start w:val="1"/>
    </w:lvl>
    <w:lvl w:ilvl="4">
      <w:lvlJc w:val="left"/>
      <w:lvlText w:val="%5"/>
      <w:numFmt w:val="lowerRoman"/>
      <w:start w:val="1"/>
    </w:lvl>
    <w:lvl w:ilvl="5">
      <w:lvlJc w:val="left"/>
      <w:lvlText w:val="(%6)"/>
      <w:numFmt w:val="upperLetter"/>
      <w:start w:val="1"/>
    </w:lvl>
  </w:abstractNum>
  <w:abstractNum w:abstractNumId="64">
    <w:nsid w:val="57FC4F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65">
    <w:nsid w:val="CC1016F"/>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Roman"/>
      <w:start w:val="1"/>
    </w:lvl>
  </w:abstractNum>
  <w:abstractNum w:abstractNumId="66">
    <w:nsid w:val="43F1842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7">
    <w:nsid w:val="60EF0119"/>
    <w:multiLevelType w:val="hybridMultilevel"/>
    <w:lvl w:ilvl="0">
      <w:lvlJc w:val="left"/>
      <w:lvlText w:val="%1."/>
      <w:numFmt w:val="decimal"/>
      <w:start w:val="8"/>
    </w:lvl>
    <w:lvl w:ilvl="1">
      <w:lvlJc w:val="left"/>
      <w:lvlText w:val="(%2)"/>
      <w:numFmt w:val="lowerLetter"/>
      <w:start w:val="1"/>
    </w:lvl>
  </w:abstractNum>
  <w:abstractNum w:abstractNumId="68">
    <w:nsid w:val="26F324BA"/>
    <w:multiLevelType w:val="hybridMultilevel"/>
    <w:lvl w:ilvl="0">
      <w:lvlJc w:val="left"/>
      <w:lvlText w:val="%1"/>
      <w:numFmt w:val="lowerRoman"/>
      <w:start w:val="1"/>
    </w:lvl>
    <w:lvl w:ilvl="1">
      <w:lvlJc w:val="left"/>
      <w:lvlText w:val="(%2)"/>
      <w:numFmt w:val="lowerLetter"/>
      <w:start w:val="2"/>
    </w:lvl>
  </w:abstractNum>
  <w:abstractNum w:abstractNumId="69">
    <w:nsid w:val="7F01579B"/>
    <w:multiLevelType w:val="hybridMultilevel"/>
    <w:lvl w:ilvl="0">
      <w:lvlJc w:val="left"/>
      <w:lvlText w:val="(%1)"/>
      <w:numFmt w:val="lowerRoman"/>
      <w:start w:val="6"/>
    </w:lvl>
    <w:lvl w:ilvl="1">
      <w:lvlJc w:val="left"/>
      <w:lvlText w:val="%2"/>
      <w:numFmt w:val="lowerLetter"/>
      <w:start w:val="1"/>
    </w:lvl>
  </w:abstractNum>
  <w:abstractNum w:abstractNumId="70">
    <w:nsid w:val="49DA307D"/>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1"/>
    </w:lvl>
  </w:abstractNum>
  <w:abstractNum w:abstractNumId="71">
    <w:nsid w:val="7055A5F5"/>
    <w:multiLevelType w:val="hybridMultilevel"/>
    <w:lvl w:ilvl="0">
      <w:lvlJc w:val="left"/>
      <w:lvlText w:val="%1"/>
      <w:numFmt w:val="lowerRoman"/>
      <w:start w:val="1"/>
    </w:lvl>
    <w:lvl w:ilvl="1">
      <w:lvlJc w:val="left"/>
      <w:lvlText w:val="(%2)"/>
      <w:numFmt w:val="lowerLetter"/>
      <w:start w:val="9"/>
    </w:lvl>
    <w:lvl w:ilvl="2">
      <w:lvlJc w:val="left"/>
      <w:lvlText w:val="(%3)"/>
      <w:numFmt w:val="lowerLetter"/>
      <w:start w:val="35"/>
    </w:lvl>
  </w:abstractNum>
  <w:abstractNum w:abstractNumId="72">
    <w:nsid w:val="5FB8370B"/>
    <w:multiLevelType w:val="hybridMultilevel"/>
    <w:lvl w:ilvl="0">
      <w:lvlJc w:val="left"/>
      <w:lvlText w:val="%1"/>
      <w:numFmt w:val="lowerLetter"/>
      <w:start w:val="1"/>
    </w:lvl>
    <w:lvl w:ilvl="1">
      <w:lvlJc w:val="left"/>
      <w:lvlText w:val="(%2)"/>
      <w:numFmt w:val="lowerLetter"/>
      <w:start w:val="4"/>
    </w:lvl>
  </w:abstractNum>
  <w:abstractNum w:abstractNumId="73">
    <w:nsid w:val="50801EE1"/>
    <w:multiLevelType w:val="hybridMultilevel"/>
    <w:lvl w:ilvl="0">
      <w:lvlJc w:val="left"/>
      <w:lvlText w:val="(%1)"/>
      <w:numFmt w:val="lowerLetter"/>
      <w:start w:val="5"/>
    </w:lvl>
    <w:lvl w:ilvl="1">
      <w:lvlJc w:val="left"/>
      <w:lvlText w:val="%2"/>
      <w:numFmt w:val="lowerLetter"/>
      <w:start w:val="1"/>
    </w:lvl>
  </w:abstractNum>
  <w:abstractNum w:abstractNumId="74">
    <w:nsid w:val="488AC1A"/>
    <w:multiLevelType w:val="hybridMultilevel"/>
    <w:lvl w:ilvl="0">
      <w:lvlJc w:val="left"/>
      <w:lvlText w:val="(%1)"/>
      <w:numFmt w:val="lowerLetter"/>
      <w:start w:val="6"/>
    </w:lvl>
    <w:lvl w:ilvl="1">
      <w:lvlJc w:val="left"/>
      <w:lvlText w:val="(%2)"/>
      <w:numFmt w:val="lowerLetter"/>
      <w:start w:val="9"/>
    </w:lvl>
  </w:abstractNum>
  <w:abstractNum w:abstractNumId="75">
    <w:nsid w:val="5FB8011C"/>
    <w:multiLevelType w:val="hybridMultilevel"/>
    <w:lvl w:ilvl="0">
      <w:lvlJc w:val="left"/>
      <w:lvlText w:val="(%1)"/>
      <w:numFmt w:val="lowerRoman"/>
      <w:start w:val="2"/>
    </w:lvl>
  </w:abstractNum>
  <w:abstractNum w:abstractNumId="76">
    <w:nsid w:val="6AA78F7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77">
    <w:nsid w:val="7672BD2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78">
    <w:nsid w:val="6FC75AF8"/>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lvl w:ilvl="3">
      <w:lvlJc w:val="left"/>
      <w:lvlText w:val="%4"/>
      <w:numFmt w:val="lowerRoman"/>
      <w:start w:val="1"/>
    </w:lvl>
  </w:abstractNum>
  <w:abstractNum w:abstractNumId="79">
    <w:nsid w:val="6A5F702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0">
    <w:nsid w:val="7D5E18F8"/>
    <w:multiLevelType w:val="hybridMultilevel"/>
    <w:lvl w:ilvl="0">
      <w:lvlJc w:val="left"/>
      <w:lvlText w:val="(%1)"/>
      <w:numFmt w:val="lowerLetter"/>
      <w:start w:val="10"/>
    </w:lvl>
  </w:abstractNum>
  <w:abstractNum w:abstractNumId="81">
    <w:nsid w:val="5F3534A4"/>
    <w:multiLevelType w:val="hybridMultilevel"/>
    <w:lvl w:ilvl="0">
      <w:lvlJc w:val="left"/>
      <w:lvlText w:val="(%1)"/>
      <w:numFmt w:val="lowerLetter"/>
      <w:start w:val="11"/>
    </w:lvl>
  </w:abstractNum>
  <w:abstractNum w:abstractNumId="82">
    <w:nsid w:val="73A1821B"/>
    <w:multiLevelType w:val="hybridMultilevel"/>
    <w:lvl w:ilvl="0">
      <w:lvlJc w:val="left"/>
      <w:lvlText w:val="%1"/>
      <w:numFmt w:val="decimal"/>
      <w:start w:val="1"/>
    </w:lvl>
    <w:lvl w:ilvl="1">
      <w:lvlJc w:val="left"/>
      <w:lvlText w:val="(%2)"/>
      <w:numFmt w:val="decimal"/>
      <w:start w:val="1"/>
    </w:lvl>
  </w:abstractNum>
  <w:abstractNum w:abstractNumId="83">
    <w:nsid w:val="7DE67713"/>
    <w:multiLevelType w:val="hybridMultilevel"/>
    <w:lvl w:ilvl="0">
      <w:lvlJc w:val="left"/>
      <w:lvlText w:val="%1."/>
      <w:numFmt w:val="decimal"/>
      <w:start w:val="9"/>
    </w:lvl>
    <w:lvl w:ilvl="1">
      <w:lvlJc w:val="left"/>
      <w:lvlText w:val="%2"/>
      <w:numFmt w:val="decimal"/>
      <w:start w:val="1"/>
    </w:lvl>
  </w:abstractNum>
  <w:abstractNum w:abstractNumId="84">
    <w:nsid w:val="555C55B5"/>
    <w:multiLevelType w:val="hybridMultilevel"/>
    <w:lvl w:ilvl="0">
      <w:lvlJc w:val="left"/>
      <w:lvlText w:val="%1"/>
      <w:numFmt w:val="decimal"/>
      <w:start w:val="1"/>
    </w:lvl>
    <w:lvl w:ilvl="1">
      <w:lvlJc w:val="left"/>
      <w:lvlText w:val="%2."/>
      <w:numFmt w:val="decimal"/>
      <w:start w:val="10"/>
    </w:lvl>
  </w:abstractNum>
  <w:abstractNum w:abstractNumId="85">
    <w:nsid w:val="3FA62ACA"/>
    <w:multiLevelType w:val="hybridMultilevel"/>
    <w:lvl w:ilvl="0">
      <w:lvlJc w:val="left"/>
      <w:lvlText w:val="%1."/>
      <w:numFmt w:val="decimal"/>
      <w:start w:val="13"/>
    </w:lvl>
    <w:lvl w:ilvl="1">
      <w:lvlJc w:val="left"/>
      <w:lvlText w:val="%2"/>
      <w:numFmt w:val="decimal"/>
      <w:start w:val="1"/>
    </w:lvl>
  </w:abstractNum>
  <w:abstractNum w:abstractNumId="86">
    <w:nsid w:val="14FCE74E"/>
    <w:multiLevelType w:val="hybridMultilevel"/>
    <w:lvl w:ilvl="0">
      <w:lvlJc w:val="left"/>
      <w:lvlText w:val="%1."/>
      <w:numFmt w:val="decimal"/>
      <w:start w:val="14"/>
    </w:lvl>
    <w:lvl w:ilvl="1">
      <w:lvlJc w:val="left"/>
      <w:lvlText w:val="%2."/>
      <w:numFmt w:val="decimal"/>
      <w:start w:val="17"/>
    </w:lvl>
  </w:abstractNum>
  <w:abstractNum w:abstractNumId="87">
    <w:nsid w:val="6A3DD3E8"/>
    <w:multiLevelType w:val="hybridMultilevel"/>
    <w:lvl w:ilvl="0">
      <w:lvlJc w:val="left"/>
      <w:lvlText w:val="%1."/>
      <w:numFmt w:val="decimal"/>
      <w:start w:val="18"/>
    </w:lvl>
    <w:lvl w:ilvl="1">
      <w:lvlJc w:val="left"/>
      <w:lvlText w:val="%2."/>
      <w:numFmt w:val="decimal"/>
      <w:start w:val="19"/>
    </w:lvl>
  </w:abstractNum>
  <w:abstractNum w:abstractNumId="88">
    <w:nsid w:val="71C9129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89">
    <w:nsid w:val="9DAF632"/>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abstractNum>
  <w:abstractNum w:abstractNumId="90">
    <w:nsid w:val="53299938"/>
    <w:multiLevelType w:val="hybridMultilevel"/>
    <w:lvl w:ilvl="0">
      <w:lvlJc w:val="left"/>
      <w:lvlText w:val="(%1)"/>
      <w:numFmt w:val="lowerRoman"/>
      <w:start w:val="2"/>
    </w:lvl>
  </w:abstractNum>
  <w:abstractNum w:abstractNumId="91">
    <w:nsid w:val="1FBFE8E0"/>
    <w:multiLevelType w:val="hybridMultilevel"/>
    <w:lvl w:ilvl="0">
      <w:lvlJc w:val="left"/>
      <w:lvlText w:val="%1"/>
      <w:numFmt w:val="lowerRoman"/>
      <w:start w:val="1"/>
    </w:lvl>
    <w:lvl w:ilvl="1">
      <w:lvlJc w:val="left"/>
      <w:lvlText w:val="(%2)"/>
      <w:numFmt w:val="lowerRoman"/>
      <w:start w:val="3"/>
    </w:lvl>
  </w:abstractNum>
  <w:abstractNum w:abstractNumId="92">
    <w:nsid w:val="5092CA79"/>
    <w:multiLevelType w:val="hybridMultilevel"/>
    <w:lvl w:ilvl="0">
      <w:lvlJc w:val="left"/>
      <w:lvlText w:val="(%1)"/>
      <w:numFmt w:val="lowerRoman"/>
      <w:start w:val="4"/>
    </w:lvl>
    <w:lvl w:ilvl="1">
      <w:lvlJc w:val="left"/>
      <w:lvlText w:val="%2"/>
      <w:numFmt w:val="lowerRoman"/>
      <w:start w:val="1"/>
    </w:lvl>
  </w:abstractNum>
  <w:abstractNum w:abstractNumId="93">
    <w:nsid w:val="1D545C4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4">
    <w:nsid w:val="59ADEA3D"/>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95">
    <w:nsid w:val="288F1A34"/>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96">
    <w:nsid w:val="2A155DB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4"/>
    </w:lvl>
  </w:abstractNum>
  <w:abstractNum w:abstractNumId="97">
    <w:nsid w:val="1D9F6E5F"/>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abstractNum>
  <w:abstractNum w:abstractNumId="98">
    <w:nsid w:val="97E1B4E"/>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lvl w:ilvl="3">
      <w:lvlJc w:val="left"/>
      <w:lvlText w:val="%4"/>
      <w:numFmt w:val="decimal"/>
      <w:start w:val="1"/>
    </w:lvl>
  </w:abstractNum>
  <w:abstractNum w:abstractNumId="99">
    <w:nsid w:val="51088277"/>
    <w:multiLevelType w:val="hybridMultilevel"/>
    <w:lvl w:ilvl="0">
      <w:lvlJc w:val="left"/>
      <w:lvlText w:val="%1."/>
      <w:numFmt w:val="decimal"/>
      <w:start w:val="7"/>
    </w:lvl>
    <w:lvl w:ilvl="1">
      <w:lvlJc w:val="left"/>
      <w:lvlText w:val="%2."/>
      <w:numFmt w:val="decimal"/>
      <w:start w:val="9"/>
    </w:lvl>
    <w:lvl w:ilvl="2">
      <w:lvlJc w:val="left"/>
      <w:lvlText w:val="%3"/>
      <w:numFmt w:val="decimal"/>
      <w:start w:val="1"/>
    </w:lvl>
    <w:lvl w:ilvl="3">
      <w:lvlJc w:val="left"/>
      <w:lvlText w:val="%4."/>
      <w:numFmt w:val="decimal"/>
      <w:start w:val="10"/>
    </w:lvl>
  </w:abstractNum>
  <w:abstractNum w:abstractNumId="100">
    <w:nsid w:val="1CA0C5FA"/>
    <w:multiLevelType w:val="hybridMultilevel"/>
    <w:lvl w:ilvl="0">
      <w:lvlJc w:val="left"/>
      <w:lvlText w:val="%1"/>
      <w:numFmt w:val="lowerRoman"/>
      <w:start w:val="1"/>
    </w:lvl>
    <w:lvl w:ilvl="1">
      <w:lvlJc w:val="left"/>
      <w:lvlText w:val="%2."/>
      <w:numFmt w:val="decimal"/>
      <w:start w:val="11"/>
    </w:lvl>
  </w:abstractNum>
  <w:abstractNum w:abstractNumId="101">
    <w:nsid w:val="53584BCB"/>
    <w:multiLevelType w:val="hybridMultilevel"/>
    <w:lvl w:ilvl="0">
      <w:lvlJc w:val="left"/>
      <w:lvlText w:val="(%1)"/>
      <w:numFmt w:val="lowerRoman"/>
      <w:start w:val="5"/>
    </w:lvl>
    <w:lvl w:ilvl="1">
      <w:lvlJc w:val="left"/>
      <w:lvlText w:val="%2."/>
      <w:numFmt w:val="decimal"/>
      <w:start w:val="12"/>
    </w:lvl>
  </w:abstractNum>
  <w:abstractNum w:abstractNumId="102">
    <w:nsid w:val="415E286C"/>
    <w:multiLevelType w:val="hybridMultilevel"/>
    <w:lvl w:ilvl="0">
      <w:lvlJc w:val="left"/>
      <w:lvlText w:val="(%1)"/>
      <w:numFmt w:val="lowerLetter"/>
      <w:start w:val="1"/>
    </w:lvl>
  </w:abstractNum>
  <w:abstractNum w:abstractNumId="103">
    <w:nsid w:val="7C58FD05"/>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4"/>
    </w:lvl>
  </w:abstractNum>
  <w:abstractNum w:abstractNumId="104">
    <w:nsid w:val="23D86AAC"/>
    <w:multiLevelType w:val="hybridMultilevel"/>
    <w:lvl w:ilvl="0">
      <w:lvlJc w:val="left"/>
      <w:lvlText w:val="(%1)"/>
      <w:numFmt w:val="lowerLetter"/>
      <w:start w:val="7"/>
    </w:lvl>
  </w:abstractNum>
  <w:abstractNum w:abstractNumId="105">
    <w:nsid w:val="45E6D486"/>
    <w:multiLevelType w:val="hybridMultilevel"/>
    <w:lvl w:ilvl="0">
      <w:lvlJc w:val="left"/>
      <w:lvlText w:val="(%1)"/>
      <w:numFmt w:val="decimal"/>
      <w:start w:val="270"/>
    </w:lvl>
  </w:abstractNum>
  <w:abstractNum w:abstractNumId="106">
    <w:nsid w:val="5C10FE21"/>
    <w:multiLevelType w:val="hybridMultilevel"/>
    <w:lvl w:ilvl="0">
      <w:lvlJc w:val="left"/>
      <w:lvlText w:val="●"/>
      <w:numFmt w:val="bullet"/>
      <w:start w:val="1"/>
    </w:lvl>
  </w:abstractNum>
  <w:abstractNum w:abstractNumId="107">
    <w:nsid w:val="E7FFA2B"/>
    <w:multiLevelType w:val="hybridMultilevel"/>
    <w:lvl w:ilvl="0">
      <w:lvlJc w:val="left"/>
      <w:lvlText w:val="(%1)"/>
      <w:numFmt w:val="lowerRoman"/>
      <w:start w:val="2"/>
    </w:lvl>
  </w:abstractNum>
  <w:abstractNum w:abstractNumId="108">
    <w:nsid w:val="3C5991AA"/>
    <w:multiLevelType w:val="hybridMultilevel"/>
    <w:lvl w:ilvl="0">
      <w:lvlJc w:val="left"/>
      <w:lvlText w:val="%1."/>
      <w:numFmt w:val="decimal"/>
      <w:start w:val="1"/>
    </w:lvl>
  </w:abstractNum>
  <w:abstractNum w:abstractNumId="109">
    <w:nsid w:val="4BD8591A"/>
    <w:multiLevelType w:val="hybridMultilevel"/>
    <w:lvl w:ilvl="0">
      <w:lvlJc w:val="left"/>
      <w:lvlText w:val="%1."/>
      <w:numFmt w:val="decimal"/>
      <w:start w:val="1"/>
    </w:lvl>
  </w:abstractNum>
  <w:abstractNum w:abstractNumId="110">
    <w:nsid w:val="78DF6A55"/>
    <w:multiLevelType w:val="hybridMultilevel"/>
    <w:lvl w:ilvl="0">
      <w:lvlJc w:val="left"/>
      <w:lvlText w:val="%1."/>
      <w:numFmt w:val="decimal"/>
      <w:start w:val="1"/>
    </w:lvl>
  </w:abstractNum>
  <w:abstractNum w:abstractNumId="111">
    <w:nsid w:val="39B7AAA2"/>
    <w:multiLevelType w:val="hybridMultilevel"/>
    <w:lvl w:ilvl="0">
      <w:lvlJc w:val="left"/>
      <w:lvlText w:val="%1)"/>
      <w:numFmt w:val="lowerLetter"/>
      <w:start w:val="1"/>
    </w:lvl>
  </w:abstractNum>
  <w:abstractNum w:abstractNumId="112">
    <w:nsid w:val="2B0D8DBE"/>
    <w:multiLevelType w:val="hybridMultilevel"/>
    <w:lvl w:ilvl="0">
      <w:lvlJc w:val="left"/>
      <w:lvlText w:val="%1."/>
      <w:numFmt w:val="decimal"/>
      <w:start w:val="5"/>
    </w:lvl>
  </w:abstractNum>
  <w:abstractNum w:abstractNumId="113">
    <w:nsid w:val="6C80EC70"/>
    <w:multiLevelType w:val="hybridMultilevel"/>
    <w:lvl w:ilvl="0">
      <w:lvlJc w:val="left"/>
      <w:lvlText w:val="%1)"/>
      <w:numFmt w:val="lowerLetter"/>
      <w:start w:val="1"/>
    </w:lvl>
  </w:abstractNum>
  <w:abstractNum w:abstractNumId="114">
    <w:nsid w:val="379E21B5"/>
    <w:multiLevelType w:val="hybridMultilevel"/>
    <w:lvl w:ilvl="0">
      <w:lvlJc w:val="left"/>
      <w:lvlText w:val="%1."/>
      <w:numFmt w:val="decimal"/>
      <w:start w:val="1"/>
    </w:lvl>
  </w:abstractNum>
  <w:abstractNum w:abstractNumId="115">
    <w:nsid w:val="69E373"/>
    <w:multiLevelType w:val="hybridMultilevel"/>
    <w:lvl w:ilvl="0">
      <w:lvlJc w:val="left"/>
      <w:lvlText w:val="%1)"/>
      <w:numFmt w:val="lowerLetter"/>
      <w:start w:val="1"/>
    </w:lvl>
  </w:abstractNum>
  <w:abstractNum w:abstractNumId="116">
    <w:nsid w:val="2C27173B"/>
    <w:multiLevelType w:val="hybridMultilevel"/>
    <w:lvl w:ilvl="0">
      <w:lvlJc w:val="left"/>
      <w:lvlText w:val="%1."/>
      <w:numFmt w:val="decimal"/>
      <w:start w:val="5"/>
    </w:lvl>
  </w:abstractNum>
  <w:abstractNum w:abstractNumId="117">
    <w:nsid w:val="4C9B0904"/>
    <w:multiLevelType w:val="hybridMultilevel"/>
    <w:lvl w:ilvl="0">
      <w:lvlJc w:val="left"/>
      <w:lvlText w:val="%1)"/>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jpe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96" Type="http://schemas.openxmlformats.org/officeDocument/2006/relationships/hyperlink" Target="http://www.sec.gov/Archives/edgar/data/1822928/000121390021015000/ea137482ex2_1empower.htm" TargetMode="External"/><Relationship Id="rId97" Type="http://schemas.openxmlformats.org/officeDocument/2006/relationships/hyperlink" Target="http://www.sec.gov/Archives/edgar/data/1822928/000119312521220722/d185405dex31.htm" TargetMode="External"/><Relationship Id="rId98" Type="http://schemas.openxmlformats.org/officeDocument/2006/relationships/hyperlink" Target="http://www.sec.gov/Archives/edgar/data/1822928/000119312521220722/d185405dex32.htm" TargetMode="External"/><Relationship Id="rId99" Type="http://schemas.openxmlformats.org/officeDocument/2006/relationships/hyperlink" Target="http://www.sec.gov/Archives/edgar/data/1822928/000095017022003648/hlly-ex4_1.htm" TargetMode="External"/><Relationship Id="rId100" Type="http://schemas.openxmlformats.org/officeDocument/2006/relationships/hyperlink" Target="http://www.sec.gov/Archives/edgar/data/1822928/000121390020027362/fs12020ex4-3_empower.htm" TargetMode="External"/><Relationship Id="rId101" Type="http://schemas.openxmlformats.org/officeDocument/2006/relationships/hyperlink" Target="http://www.sec.gov/Archives/edgar/data/1822928/000119312521171422/d147763dex45.htm" TargetMode="External"/><Relationship Id="rId102" Type="http://schemas.openxmlformats.org/officeDocument/2006/relationships/hyperlink" Target="http://www.sec.gov/Archives/edgar/data/1822928/000119312521220722/d185405dex105.htm" TargetMode="External"/><Relationship Id="rId103" Type="http://schemas.openxmlformats.org/officeDocument/2006/relationships/hyperlink" Target="http://www.sec.gov/Archives/edgar/data/1822928/000119312521220722/d185405dex106.htm" TargetMode="External"/><Relationship Id="rId104" Type="http://schemas.openxmlformats.org/officeDocument/2006/relationships/hyperlink" Target="http://www.sec.gov/Archives/edgar/data/1822928/000119312521171422/d147763ds4a.htm#anxi" TargetMode="External"/><Relationship Id="rId105" Type="http://schemas.openxmlformats.org/officeDocument/2006/relationships/hyperlink" Target="http://www.sec.gov/Archives/edgar/data/1822928/000119312521220722/d185405dex109.htm" TargetMode="External"/><Relationship Id="rId106" Type="http://schemas.openxmlformats.org/officeDocument/2006/relationships/hyperlink" Target="http://www.sec.gov/Archives/edgar/data/1822928/000143774922028911/ex_454033.htm" TargetMode="External"/><Relationship Id="rId107" Type="http://schemas.openxmlformats.org/officeDocument/2006/relationships/hyperlink" Target="http://www.sec.gov/Archives/edgar/data/1822928/000119312521220722/d185405dex1011.htm" TargetMode="External"/><Relationship Id="rId108" Type="http://schemas.openxmlformats.org/officeDocument/2006/relationships/hyperlink" Target="http://www.sec.gov/Archives/edgar/data/1822928/000119312521220722/d185405dex1012.htm" TargetMode="External"/><Relationship Id="rId109" Type="http://schemas.openxmlformats.org/officeDocument/2006/relationships/hyperlink" Target="http://www.sec.gov/Archives/edgar/data/1822928/000119312521220722/d185405dex1013.htm" TargetMode="External"/><Relationship Id="rId110" Type="http://schemas.openxmlformats.org/officeDocument/2006/relationships/hyperlink" Target="http://www.sec.gov/Archives/edgar/data/1822928/000119312521220722/d185405dex1014.htm" TargetMode="External"/><Relationship Id="rId111" Type="http://schemas.openxmlformats.org/officeDocument/2006/relationships/hyperlink" Target="http://www.sec.gov/Archives/edgar/data/1822928/000119312521220722/d185405dex1022.htm" TargetMode="External"/><Relationship Id="rId112" Type="http://schemas.openxmlformats.org/officeDocument/2006/relationships/hyperlink" Target="http://www.sec.gov/Archives/edgar/data/1822928/000119312521220722/d185405dex1023.htm" TargetMode="External"/><Relationship Id="rId113" Type="http://schemas.openxmlformats.org/officeDocument/2006/relationships/hyperlink" Target="http://www.sec.gov/Archives/edgar/data/1822928/000119312521243736/d171134dex101.htm" TargetMode="External"/><Relationship Id="rId114" Type="http://schemas.openxmlformats.org/officeDocument/2006/relationships/hyperlink" Target="http://www.sec.gov/Archives/edgar/data/1822928/000119312521243736/d171134dex102.htm" TargetMode="External"/><Relationship Id="rId115" Type="http://schemas.openxmlformats.org/officeDocument/2006/relationships/hyperlink" Target="http://www.sec.gov/Archives/edgar/data/1822928/000095017021004814/hlly-ex10_1.htm" TargetMode="External"/><Relationship Id="rId116" Type="http://schemas.openxmlformats.org/officeDocument/2006/relationships/hyperlink" Target="http://www.sec.gov/Archives/edgar/data/1822928/000143774923005867/ex_483640.htm" TargetMode="External"/><Relationship Id="rId117" Type="http://schemas.openxmlformats.org/officeDocument/2006/relationships/hyperlink" Target="http://www.sec.gov/Archives/edgar/data/1822928/000119312521110312/d147763ds4.htm#anxh" TargetMode="External"/><Relationship Id="rId118" Type="http://schemas.openxmlformats.org/officeDocument/2006/relationships/hyperlink" Target="http://www.sec.gov/Archives/edgar/data/1822928/000121390021015000/ea137482ex10-4_empower.htm" TargetMode="External"/><Relationship Id="rId119" Type="http://schemas.openxmlformats.org/officeDocument/2006/relationships/hyperlink" Target="http://www.sec.gov/Archives/edgar/data/1822928/000121390021015000/ea137482ex10-1_empower.htm" TargetMode="External"/><Relationship Id="rId120" Type="http://schemas.openxmlformats.org/officeDocument/2006/relationships/hyperlink" Target="http://www.sec.gov/Archives/edgar/data/1822928/000121390021013817/f10k2020ex10-7_empowerltd.htm" TargetMode="External"/><Relationship Id="rId121" Type="http://schemas.openxmlformats.org/officeDocument/2006/relationships/hyperlink" Target="http://www.sec.gov/Archives/edgar/data/1822928/000121390021013817/f10k2020ex10-10_empower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2023-03-15T06:20:58Z</dcterms:created>
  <dcterms:modified xsi:type="dcterms:W3CDTF">2023-03-15T06:20:58Z</dcterms:modified>
</cp:coreProperties>
</file>