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3" w:lineRule="exact"/>
        <w:rPr>
          <w:sz w:val="24"/>
          <w:szCs w:val="24"/>
          <w:color w:val="auto"/>
        </w:rPr>
      </w:pPr>
    </w:p>
    <w:p>
      <w:pPr>
        <w:ind w:left="560" w:hanging="534"/>
        <w:spacing w:after="0"/>
        <w:tabs>
          <w:tab w:leader="none" w:pos="56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28, 2025</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560" w:hanging="534"/>
        <w:spacing w:after="0"/>
        <w:tabs>
          <w:tab w:leader="none" w:pos="560"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2"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001-39599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9"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87-1727560</w:t>
      </w:r>
    </w:p>
    <w:p>
      <w:pPr>
        <w:spacing w:after="0" w:line="55" w:lineRule="exact"/>
        <w:rPr>
          <w:sz w:val="24"/>
          <w:szCs w:val="24"/>
          <w:color w:val="auto"/>
        </w:rPr>
      </w:pPr>
    </w:p>
    <w:p>
      <w:pPr>
        <w:ind w:left="1040"/>
        <w:spacing w:after="0"/>
        <w:tabs>
          <w:tab w:leader="none" w:pos="7380" w:val="left"/>
        </w:tabs>
        <w:rPr>
          <w:sz w:val="20"/>
          <w:szCs w:val="20"/>
          <w:color w:val="auto"/>
        </w:rPr>
      </w:pPr>
      <w:r>
        <w:rPr>
          <w:rFonts w:ascii="Arial" w:cs="Arial" w:eastAsia="Arial" w:hAnsi="Arial"/>
          <w:sz w:val="13"/>
          <w:szCs w:val="13"/>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No.)</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2445 Nashville Road, Suite B1,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Trading</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25"/>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par value $0.0001</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HLLY</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43"/>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Warrants to purchase common stock</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HLLY WS</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r>
        <w:trPr>
          <w:trHeight w:val="391"/>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r>
        <w:trPr>
          <w:trHeight w:val="391"/>
        </w:trPr>
        <w:tc>
          <w:tcPr>
            <w:tcW w:w="1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6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0" w:lineRule="exact"/>
        <w:rPr>
          <w:sz w:val="24"/>
          <w:szCs w:val="24"/>
          <w:color w:val="auto"/>
        </w:rPr>
      </w:pPr>
    </w:p>
    <w:p>
      <w:pPr>
        <w:ind w:right="20"/>
        <w:spacing w:after="0" w:line="304"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3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120,509,897 shares of Common Stock, including 1,093,750 restricted earn-out shares, par value $0.0001 per share, issued and outstanding as of November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0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8"/>
              </w:rPr>
              <w:t>TABLE OF CONTENTS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3"/>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 – FINANCIAL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Item 1. Financial Statements.</w:t>
            </w:r>
          </w:p>
        </w:tc>
        <w:tc>
          <w:tcPr>
            <w:tcW w:w="660" w:type="dxa"/>
            <w:vAlign w:val="bottom"/>
            <w:tcBorders>
              <w:top w:val="single" w:sz="8" w:color="0000FF"/>
            </w:tcBorders>
            <w:gridSpan w:val="3"/>
          </w:tcPr>
          <w:p>
            <w:pPr>
              <w:spacing w:after="0"/>
              <w:rPr>
                <w:sz w:val="21"/>
                <w:szCs w:val="21"/>
                <w:color w:val="auto"/>
              </w:rPr>
            </w:pPr>
          </w:p>
        </w:tc>
        <w:tc>
          <w:tcPr>
            <w:tcW w:w="6300" w:type="dxa"/>
            <w:vAlign w:val="bottom"/>
            <w:gridSpan w:val="5"/>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98"/>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Arial" w:cs="Arial" w:eastAsia="Arial" w:hAnsi="Arial"/>
                <w:sz w:val="18"/>
                <w:szCs w:val="18"/>
                <w:color w:val="0000FF"/>
                <w:w w:val="96"/>
              </w:rPr>
              <w:t>Item 4. Controls and Procedures</w:t>
            </w:r>
          </w:p>
        </w:tc>
        <w:tc>
          <w:tcPr>
            <w:tcW w:w="2820" w:type="dxa"/>
            <w:vAlign w:val="bottom"/>
            <w:gridSpan w:val="4"/>
          </w:tcPr>
          <w:p>
            <w:pPr>
              <w:spacing w:after="0"/>
              <w:rPr>
                <w:sz w:val="24"/>
                <w:szCs w:val="24"/>
                <w:color w:val="auto"/>
              </w:rPr>
            </w:pPr>
          </w:p>
        </w:tc>
        <w:tc>
          <w:tcPr>
            <w:tcW w:w="3940" w:type="dxa"/>
            <w:vAlign w:val="bottom"/>
            <w:gridSpan w:val="3"/>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43</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II – OTHER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7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Legal Proceedings.</w:t>
            </w:r>
          </w:p>
        </w:tc>
        <w:tc>
          <w:tcPr>
            <w:tcW w:w="6560" w:type="dxa"/>
            <w:vAlign w:val="bottom"/>
            <w:gridSpan w:val="6"/>
          </w:tcPr>
          <w:p>
            <w:pPr>
              <w:spacing w:after="0"/>
              <w:rPr>
                <w:sz w:val="21"/>
                <w:szCs w:val="21"/>
                <w:color w:val="auto"/>
              </w:rPr>
            </w:pPr>
          </w:p>
        </w:tc>
        <w:tc>
          <w:tcPr>
            <w:tcW w:w="1920" w:type="dxa"/>
            <w:vAlign w:val="bottom"/>
            <w:gridSpan w:val="5"/>
          </w:tcPr>
          <w:p>
            <w:pPr>
              <w:jc w:val="right"/>
              <w:ind w:right="20"/>
              <w:spacing w:after="0"/>
              <w:rPr>
                <w:sz w:val="20"/>
                <w:szCs w:val="20"/>
                <w:color w:val="auto"/>
              </w:rPr>
            </w:pPr>
            <w:r>
              <w:rPr>
                <w:rFonts w:ascii="Arial" w:cs="Arial" w:eastAsia="Arial" w:hAnsi="Arial"/>
                <w:sz w:val="18"/>
                <w:szCs w:val="18"/>
                <w:color w:val="0000FF"/>
              </w:rPr>
              <w:t>45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0000FF"/>
                <w:w w:val="99"/>
              </w:rPr>
              <w:t>Item 1A. Risk Factors.</w:t>
            </w:r>
          </w:p>
        </w:tc>
        <w:tc>
          <w:tcPr>
            <w:tcW w:w="360" w:type="dxa"/>
            <w:vAlign w:val="bottom"/>
            <w:gridSpan w:val="2"/>
          </w:tcPr>
          <w:p>
            <w:pPr>
              <w:spacing w:after="0"/>
              <w:rPr>
                <w:sz w:val="24"/>
                <w:szCs w:val="24"/>
                <w:color w:val="auto"/>
              </w:rPr>
            </w:pPr>
          </w:p>
        </w:tc>
        <w:tc>
          <w:tcPr>
            <w:tcW w:w="7160" w:type="dxa"/>
            <w:vAlign w:val="bottom"/>
            <w:gridSpan w:val="9"/>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45</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900" w:type="dxa"/>
            <w:vAlign w:val="bottom"/>
            <w:gridSpan w:val="4"/>
          </w:tcPr>
          <w:p>
            <w:pPr>
              <w:ind w:left="1540"/>
              <w:spacing w:after="0"/>
              <w:rPr>
                <w:sz w:val="20"/>
                <w:szCs w:val="20"/>
                <w:color w:val="auto"/>
              </w:rPr>
            </w:pPr>
            <w:r>
              <w:rPr>
                <w:rFonts w:ascii="Arial" w:cs="Arial" w:eastAsia="Arial" w:hAnsi="Arial"/>
                <w:sz w:val="18"/>
                <w:szCs w:val="18"/>
                <w:color w:val="0000FF"/>
              </w:rPr>
              <w:t>45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3.</w:t>
            </w:r>
          </w:p>
        </w:tc>
        <w:tc>
          <w:tcPr>
            <w:tcW w:w="4920" w:type="dxa"/>
            <w:vAlign w:val="bottom"/>
            <w:gridSpan w:val="12"/>
          </w:tcPr>
          <w:p>
            <w:pPr>
              <w:ind w:left="2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0000FF"/>
              </w:rPr>
              <w:t>45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4.</w:t>
            </w:r>
          </w:p>
        </w:tc>
        <w:tc>
          <w:tcPr>
            <w:tcW w:w="1960" w:type="dxa"/>
            <w:vAlign w:val="bottom"/>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60" w:type="dxa"/>
            <w:vAlign w:val="bottom"/>
            <w:gridSpan w:val="3"/>
          </w:tcPr>
          <w:p>
            <w:pPr>
              <w:spacing w:after="0"/>
              <w:rPr>
                <w:sz w:val="24"/>
                <w:szCs w:val="24"/>
                <w:color w:val="auto"/>
              </w:rPr>
            </w:pPr>
          </w:p>
        </w:tc>
        <w:tc>
          <w:tcPr>
            <w:tcW w:w="6100" w:type="dxa"/>
            <w:vAlign w:val="bottom"/>
            <w:gridSpan w:val="4"/>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5.</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w w:val="99"/>
              </w:rPr>
              <w:t>Other Information.</w:t>
            </w:r>
          </w:p>
        </w:tc>
        <w:tc>
          <w:tcPr>
            <w:tcW w:w="480" w:type="dxa"/>
            <w:vAlign w:val="bottom"/>
            <w:gridSpan w:val="3"/>
          </w:tcPr>
          <w:p>
            <w:pPr>
              <w:spacing w:after="0"/>
              <w:rPr>
                <w:sz w:val="24"/>
                <w:szCs w:val="24"/>
                <w:color w:val="auto"/>
              </w:rPr>
            </w:pPr>
          </w:p>
        </w:tc>
        <w:tc>
          <w:tcPr>
            <w:tcW w:w="676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rPr>
              <w:t>45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6.</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rPr>
              <w:t>Exhibits.</w:t>
            </w:r>
          </w:p>
        </w:tc>
        <w:tc>
          <w:tcPr>
            <w:tcW w:w="7240" w:type="dxa"/>
            <w:vAlign w:val="bottom"/>
            <w:gridSpan w:val="10"/>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0000FF"/>
              </w:rPr>
              <w:t>46</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174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SIGNATURE</w:t>
            </w:r>
          </w:p>
        </w:tc>
        <w:tc>
          <w:tcPr>
            <w:tcW w:w="8020" w:type="dxa"/>
            <w:vAlign w:val="bottom"/>
            <w:gridSpan w:val="12"/>
          </w:tcPr>
          <w:p>
            <w:pPr>
              <w:spacing w:after="0"/>
              <w:rPr>
                <w:sz w:val="24"/>
                <w:szCs w:val="24"/>
                <w:color w:val="auto"/>
              </w:rPr>
            </w:pPr>
          </w:p>
        </w:tc>
        <w:tc>
          <w:tcPr>
            <w:tcW w:w="1740" w:type="dxa"/>
            <w:vAlign w:val="bottom"/>
            <w:gridSpan w:val="3"/>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0000FF"/>
                <w:w w:val="73"/>
              </w:rPr>
              <w:t>47</w:t>
            </w:r>
          </w:p>
        </w:tc>
      </w:tr>
      <w:tr>
        <w:trPr>
          <w:trHeight w:val="740"/>
        </w:trPr>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700" w:type="dxa"/>
            <w:vAlign w:val="bottom"/>
            <w:gridSpan w:val="12"/>
          </w:tcPr>
          <w:p>
            <w:pPr>
              <w:jc w:val="right"/>
              <w:ind w:right="208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the context otherwise requires or indicates, references to "Holley," "the Company," "we," "our," and "us"are to Holley Inc. and its subsidiaries. 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85"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tariffs, the interruption from catastrophic events and problems such as terrorism, and public health crises;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 material weakness our internal control over financial reporting which, if not remediated in a timely manner or at all, could affect the reliability of our financial statements;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 and tariffs;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manage and mitigate the impact of changing trade policies, including tariffs;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operations on an economically viable basis;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the Company’s New York Stock Exchange (“NYSE”) listing of its common stock (“Common Stock”) and warrants to purchase Common Stock ("Warrants");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or climate-related disclosures;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2024, as filed with the U.S. Securities and Exchange Commission (the "SEC") on March 14, 2025, and/or as disclosed in any subsequent filings with the SEC.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20" w:type="dxa"/>
            <w:vAlign w:val="bottom"/>
          </w:tcPr>
          <w:p>
            <w:pPr>
              <w:spacing w:after="0"/>
              <w:rPr>
                <w:sz w:val="20"/>
                <w:szCs w:val="20"/>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32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50,723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56,087</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less allowance for credit losses of $2,000 and $2,026 respectively</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36,123</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195,657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192,523</w:t>
            </w: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12,614</w:t>
            </w:r>
          </w:p>
        </w:tc>
        <w:tc>
          <w:tcPr>
            <w:tcW w:w="0" w:type="dxa"/>
            <w:vAlign w:val="bottom"/>
          </w:tcPr>
          <w:p>
            <w:pPr>
              <w:spacing w:after="0"/>
              <w:rPr>
                <w:sz w:val="1"/>
                <w:szCs w:val="1"/>
                <w:color w:val="auto"/>
              </w:rPr>
            </w:pPr>
          </w:p>
        </w:tc>
      </w:tr>
      <w:tr>
        <w:trPr>
          <w:trHeight w:val="235"/>
        </w:trPr>
        <w:tc>
          <w:tcPr>
            <w:tcW w:w="70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316,057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297,347</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40,983</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372,340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372,340</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assets, net</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386,676</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Right-of-use assets</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1,165,114</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1,133,320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44,781</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43,190</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7,201</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95,172</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528,856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545,385</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37,391</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32,259</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725,377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712,168</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Commitments and contingencies (Refer to Note 15 - Commitments and Contingencies)</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6"/>
                <w:szCs w:val="16"/>
                <w:color w:val="auto"/>
              </w:rPr>
              <w:t>Preferred stock, $0.0001 par value, 5,000,000 shares authorized, none issued and outstanding on</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80" w:type="dxa"/>
            <w:vAlign w:val="bottom"/>
          </w:tcPr>
          <w:p>
            <w:pPr>
              <w:ind w:left="180"/>
              <w:spacing w:after="0"/>
              <w:rPr>
                <w:sz w:val="20"/>
                <w:szCs w:val="20"/>
                <w:color w:val="auto"/>
              </w:rPr>
            </w:pPr>
            <w:r>
              <w:rPr>
                <w:rFonts w:ascii="Arial" w:cs="Arial" w:eastAsia="Arial" w:hAnsi="Arial"/>
                <w:sz w:val="16"/>
                <w:szCs w:val="16"/>
                <w:color w:val="auto"/>
              </w:rPr>
              <w:t>September 28, 2025 and December 31, 2024</w:t>
            </w:r>
          </w:p>
        </w:tc>
        <w:tc>
          <w:tcPr>
            <w:tcW w:w="2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$0.0001 par value, 550,000,000 shares authorized, 119,405,911 and 118,748,697</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and outstanding on September 28, 2025 and December 31, 2024, respectively</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381,932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377,557</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44,745</w:t>
            </w:r>
          </w:p>
        </w:tc>
        <w:tc>
          <w:tcPr>
            <w:tcW w:w="0" w:type="dxa"/>
            <w:vAlign w:val="bottom"/>
          </w:tcPr>
          <w:p>
            <w:pPr>
              <w:spacing w:after="0"/>
              <w:rPr>
                <w:sz w:val="1"/>
                <w:szCs w:val="1"/>
                <w:color w:val="auto"/>
              </w:rPr>
            </w:pPr>
          </w:p>
        </w:tc>
      </w:tr>
      <w:tr>
        <w:trPr>
          <w:trHeight w:val="236"/>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439,737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421,152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1,165,114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1,133,320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24"/>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color w:val="auto"/>
              </w:rPr>
              <w:t>For the thirteen weeks ended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color w:val="auto"/>
              </w:rPr>
              <w:t>For the thirty-nine weeks ended</w:t>
            </w:r>
          </w:p>
        </w:tc>
      </w:tr>
      <w:tr>
        <w:trPr>
          <w:trHeight w:val="202"/>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September 28,</w:t>
            </w:r>
          </w:p>
        </w:tc>
        <w:tc>
          <w:tcPr>
            <w:tcW w:w="18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color w:val="auto"/>
              </w:rPr>
              <w:t>September 29,</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auto"/>
              </w:rPr>
              <w:t>September 28,</w:t>
            </w:r>
          </w:p>
        </w:tc>
        <w:tc>
          <w:tcPr>
            <w:tcW w:w="160" w:type="dxa"/>
            <w:vAlign w:val="bottom"/>
          </w:tcPr>
          <w:p>
            <w:pPr>
              <w:spacing w:after="0"/>
              <w:rPr>
                <w:sz w:val="17"/>
                <w:szCs w:val="17"/>
                <w:color w:val="auto"/>
              </w:rPr>
            </w:pPr>
          </w:p>
        </w:tc>
        <w:tc>
          <w:tcPr>
            <w:tcW w:w="1340" w:type="dxa"/>
            <w:vAlign w:val="bottom"/>
          </w:tcPr>
          <w:p>
            <w:pPr>
              <w:jc w:val="right"/>
              <w:ind w:right="131"/>
              <w:spacing w:after="0"/>
              <w:rPr>
                <w:sz w:val="20"/>
                <w:szCs w:val="20"/>
                <w:color w:val="auto"/>
              </w:rPr>
            </w:pPr>
            <w:r>
              <w:rPr>
                <w:rFonts w:ascii="Arial" w:cs="Arial" w:eastAsia="Arial" w:hAnsi="Arial"/>
                <w:sz w:val="16"/>
                <w:szCs w:val="16"/>
                <w:color w:val="auto"/>
              </w:rPr>
              <w:t>September 29,</w:t>
            </w:r>
          </w:p>
        </w:tc>
      </w:tr>
      <w:tr>
        <w:trPr>
          <w:trHeight w:val="215"/>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91"/>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91"/>
              <w:spacing w:after="0"/>
              <w:rPr>
                <w:sz w:val="20"/>
                <w:szCs w:val="20"/>
                <w:color w:val="auto"/>
              </w:rPr>
            </w:pPr>
            <w:r>
              <w:rPr>
                <w:rFonts w:ascii="Arial" w:cs="Arial" w:eastAsia="Arial" w:hAnsi="Arial"/>
                <w:sz w:val="16"/>
                <w:szCs w:val="16"/>
                <w:color w:val="auto"/>
              </w:rPr>
              <w:t>2024</w:t>
            </w:r>
          </w:p>
        </w:tc>
      </w:tr>
      <w:tr>
        <w:trPr>
          <w:trHeight w:val="29"/>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134,038</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462,170</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81,732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264,593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287,512</w:t>
            </w:r>
          </w:p>
        </w:tc>
      </w:tr>
      <w:tr>
        <w:trPr>
          <w:trHeight w:val="23"/>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52,306</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174,658</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30,109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97,675</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13,743</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10,307</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Write-down of assets held for sale</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7,505</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1"/>
        </w:trPr>
        <w:tc>
          <w:tcPr>
            <w:tcW w:w="4080" w:type="dxa"/>
            <w:vAlign w:val="bottom"/>
          </w:tcPr>
          <w:p>
            <w:pPr>
              <w:ind w:left="34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43,972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46,743</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130,761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131,009</w:t>
            </w:r>
          </w:p>
        </w:tc>
      </w:tr>
      <w:tr>
        <w:trPr>
          <w:trHeight w:val="23"/>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43,649</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(7,570)</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40"/>
        </w:trPr>
        <w:tc>
          <w:tcPr>
            <w:tcW w:w="4080" w:type="dxa"/>
            <w:vAlign w:val="bottom"/>
          </w:tcPr>
          <w:p>
            <w:pPr>
              <w:ind w:left="340"/>
              <w:spacing w:after="0"/>
              <w:rPr>
                <w:sz w:val="20"/>
                <w:szCs w:val="20"/>
                <w:color w:val="auto"/>
              </w:rPr>
            </w:pPr>
            <w:r>
              <w:rPr>
                <w:rFonts w:ascii="Arial" w:cs="Arial" w:eastAsia="Arial" w:hAnsi="Arial"/>
                <w:sz w:val="18"/>
                <w:szCs w:val="18"/>
                <w:color w:val="auto"/>
              </w:rPr>
              <w:t>Total non-operating expense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13,335</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44,002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29,422</w:t>
            </w:r>
          </w:p>
        </w:tc>
      </w:tr>
      <w:tr>
        <w:trPr>
          <w:trHeight w:val="23"/>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14,227</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8"/>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63"/>
        </w:trPr>
        <w:tc>
          <w:tcPr>
            <w:tcW w:w="408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2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14,791</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 Data:</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119,405,911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118,694,139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119,140,257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118,345,442</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119,405,911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118,694,139</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119,810,987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119,153,568</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
        </w:trPr>
        <w:tc>
          <w:tcPr>
            <w:tcW w:w="4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 (unaudited)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80" w:type="dxa"/>
            <w:vAlign w:val="bottom"/>
            <w:gridSpan w:val="5"/>
          </w:tcPr>
          <w:p>
            <w:pPr>
              <w:ind w:left="4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2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3"/>
                <w:szCs w:val="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Paid-In</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Comprehensive</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Capital</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Income (Loss)</w:t>
            </w: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117,707,280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373,869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related to vesting of restricted</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604,061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118,311,341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374,089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related to vesting of restricted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372,131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118,683,472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375,194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related to vesting of restricted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19,811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September 29,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118,703,283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376,670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458,743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160" w:type="dxa"/>
            <w:vAlign w:val="bottom"/>
            <w:gridSpan w:val="4"/>
            <w:vMerge w:val="restart"/>
          </w:tcPr>
          <w:p>
            <w:pPr>
              <w:jc w:val="right"/>
              <w:ind w:right="390"/>
              <w:spacing w:after="0"/>
              <w:rPr>
                <w:sz w:val="20"/>
                <w:szCs w:val="20"/>
                <w:color w:val="auto"/>
              </w:rPr>
            </w:pPr>
            <w:r>
              <w:rPr>
                <w:rFonts w:ascii="Arial" w:cs="Arial" w:eastAsia="Arial" w:hAnsi="Arial"/>
                <w:sz w:val="18"/>
                <w:szCs w:val="18"/>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Other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rPr>
              <w:t>Paid-In</w:t>
            </w:r>
          </w:p>
        </w:tc>
        <w:tc>
          <w:tcPr>
            <w:tcW w:w="1440" w:type="dxa"/>
            <w:vAlign w:val="bottom"/>
            <w:gridSpan w:val="3"/>
          </w:tcPr>
          <w:p>
            <w:pPr>
              <w:jc w:val="center"/>
              <w:ind w:right="100"/>
              <w:spacing w:after="0" w:line="195" w:lineRule="exact"/>
              <w:rPr>
                <w:sz w:val="20"/>
                <w:szCs w:val="20"/>
                <w:color w:val="auto"/>
              </w:rPr>
            </w:pPr>
            <w:r>
              <w:rPr>
                <w:rFonts w:ascii="Arial" w:cs="Arial" w:eastAsia="Arial" w:hAnsi="Arial"/>
                <w:sz w:val="18"/>
                <w:szCs w:val="18"/>
                <w:color w:val="auto"/>
                <w:w w:val="99"/>
              </w:rPr>
              <w:t>Comprehensive</w:t>
            </w:r>
          </w:p>
        </w:tc>
        <w:tc>
          <w:tcPr>
            <w:tcW w:w="120" w:type="dxa"/>
            <w:vAlign w:val="bottom"/>
          </w:tcPr>
          <w:p>
            <w:pPr>
              <w:spacing w:after="0"/>
              <w:rPr>
                <w:sz w:val="16"/>
                <w:szCs w:val="16"/>
                <w:color w:val="auto"/>
              </w:rPr>
            </w:pPr>
          </w:p>
        </w:tc>
        <w:tc>
          <w:tcPr>
            <w:tcW w:w="9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Capital</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Income (Loss)</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118,748,697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377,557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421,152</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withholding related to vesting of restricted</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units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Issuance of shares for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333,960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30,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119,082,657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378,458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424,585</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19"/>
                <w:szCs w:val="19"/>
                <w:color w:val="auto"/>
              </w:rPr>
            </w:pPr>
          </w:p>
        </w:tc>
        <w:tc>
          <w:tcPr>
            <w:tcW w:w="4100" w:type="dxa"/>
            <w:vAlign w:val="bottom"/>
            <w:vMerge w:val="continue"/>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withholding related to vesting of restricted</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units</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Issuance of shares for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323,254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29,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119,405,911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379,610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437,839</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19"/>
                <w:szCs w:val="19"/>
                <w:color w:val="auto"/>
              </w:rPr>
            </w:pPr>
          </w:p>
        </w:tc>
        <w:tc>
          <w:tcPr>
            <w:tcW w:w="4100" w:type="dxa"/>
            <w:vAlign w:val="bottom"/>
            <w:vMerge w:val="continue"/>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Equity compensation</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Balance at September 28,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119,405,911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381,932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439,737</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(unaudited)</w:t>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6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color w:val="auto"/>
              </w:rPr>
              <w:t>For the thirty-nine weeks ended</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color w:val="auto"/>
              </w:rPr>
              <w:t>September 29, 2024</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12,874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14,547</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from operating activities: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7,183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Amortization of deferred loan costs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right of use assets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Write-down of assets held-for-sale</w:t>
            </w:r>
          </w:p>
        </w:tc>
        <w:tc>
          <w:tcPr>
            <w:tcW w:w="18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7,505</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adjustments to warrant liability</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Fair value adjustments to earn-out liability</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adjustments to interest rate collar</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Equity compensation</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deferred taxes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Loss on early extinguishment of long-term debt</w:t>
            </w:r>
          </w:p>
        </w:tc>
        <w:tc>
          <w:tcPr>
            <w:tcW w:w="18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disposal of property, plant and equipment</w:t>
            </w: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Provision for inventory reserves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10,451</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credit losses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5"/>
        </w:trPr>
        <w:tc>
          <w:tcPr>
            <w:tcW w:w="674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235"/>
        </w:trPr>
        <w:tc>
          <w:tcPr>
            <w:tcW w:w="6740" w:type="dxa"/>
            <w:vAlign w:val="bottom"/>
          </w:tcPr>
          <w:p>
            <w:pPr>
              <w:ind w:left="66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Prepaids and other assets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5"/>
        </w:trPr>
        <w:tc>
          <w:tcPr>
            <w:tcW w:w="67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42,773</w:t>
            </w:r>
          </w:p>
        </w:tc>
        <w:tc>
          <w:tcPr>
            <w:tcW w:w="0" w:type="dxa"/>
            <w:vAlign w:val="bottom"/>
          </w:tcPr>
          <w:p>
            <w:pPr>
              <w:spacing w:after="0"/>
              <w:rPr>
                <w:sz w:val="1"/>
                <w:szCs w:val="1"/>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0" w:type="dxa"/>
            <w:vAlign w:val="bottom"/>
          </w:tcPr>
          <w:p>
            <w:pPr>
              <w:spacing w:after="0"/>
              <w:rPr>
                <w:sz w:val="1"/>
                <w:szCs w:val="1"/>
                <w:color w:val="auto"/>
              </w:rPr>
            </w:pPr>
          </w:p>
        </w:tc>
      </w:tr>
      <w:tr>
        <w:trPr>
          <w:trHeight w:val="235"/>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license agreement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disposal of fixed assets</w:t>
            </w: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35"/>
        </w:trPr>
        <w:tc>
          <w:tcPr>
            <w:tcW w:w="67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40" w:type="dxa"/>
            <w:vAlign w:val="bottom"/>
          </w:tcPr>
          <w:p>
            <w:pPr>
              <w:ind w:left="180"/>
              <w:spacing w:after="0"/>
              <w:rPr>
                <w:sz w:val="20"/>
                <w:szCs w:val="20"/>
                <w:color w:val="auto"/>
              </w:rPr>
            </w:pPr>
            <w:r>
              <w:rPr>
                <w:rFonts w:ascii="Arial" w:cs="Arial" w:eastAsia="Arial" w:hAnsi="Arial"/>
                <w:sz w:val="16"/>
                <w:szCs w:val="16"/>
                <w:color w:val="auto"/>
              </w:rPr>
              <w:t>Principal payments on long-term debt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(28,832)</w:t>
            </w: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from stock-based award activities</w:t>
            </w: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rate fluctuations on cash</w:t>
            </w: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5"/>
        </w:trPr>
        <w:tc>
          <w:tcPr>
            <w:tcW w:w="67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9,670</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of period</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56,087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41,081</w:t>
            </w:r>
          </w:p>
        </w:tc>
        <w:tc>
          <w:tcPr>
            <w:tcW w:w="0" w:type="dxa"/>
            <w:vAlign w:val="bottom"/>
          </w:tcPr>
          <w:p>
            <w:pPr>
              <w:spacing w:after="0"/>
              <w:rPr>
                <w:sz w:val="1"/>
                <w:szCs w:val="1"/>
                <w:color w:val="auto"/>
              </w:rPr>
            </w:pPr>
          </w:p>
        </w:tc>
      </w:tr>
      <w:tr>
        <w:trPr>
          <w:trHeight w:val="26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39,453</w:t>
            </w: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8,325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7,596</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non-cash investing activity:</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40" w:type="dxa"/>
            <w:vAlign w:val="bottom"/>
          </w:tcPr>
          <w:p>
            <w:pPr>
              <w:ind w:left="340"/>
              <w:spacing w:after="0"/>
              <w:rPr>
                <w:sz w:val="20"/>
                <w:szCs w:val="20"/>
                <w:color w:val="auto"/>
              </w:rPr>
            </w:pPr>
            <w:r>
              <w:rPr>
                <w:rFonts w:ascii="Arial" w:cs="Arial" w:eastAsia="Arial" w:hAnsi="Arial"/>
                <w:sz w:val="16"/>
                <w:szCs w:val="16"/>
                <w:color w:val="auto"/>
              </w:rPr>
              <w:t>Property and equipment additions included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price of license agreement included in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040"/>
          </w:cols>
          <w:pgMar w:left="320" w:top="12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76"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5"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but not limited to inflation, fuel costs, wage rates, trade restrictions, including tariffs, supply chain disruptions, hiring, and other economic conditions. The global and regional economic and political conditions, as well as changes in trade policies, may cause volatility in demand for the Company's products, materials and logistics, and transportation delays, and as a result may impact the pricing of the Company's products and product availability.</w:t>
      </w:r>
    </w:p>
    <w:p>
      <w:pPr>
        <w:spacing w:after="0" w:line="182"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2025, the U.S. introduced trade policy actions that have increased import tariffs across a wide range of countries at various rates, with certain exemptions, and these evolving tariff policies in the U.S., along with responsive measures enacted by other countries, have created additional uncertainty and complexity in the global trade environment. In response, the Company has implemented a range of initiatives to mitigate the impact of tariffs, including conducting harmonized tariff code audits to ensure accurate classification and compliance, diversifying supplier locations outside of China, reshoring products to North America, and exploring direct shipping from suppliers to international customers to reduce tariff exposure on goods entering the U.S. The Company continues to monitor international trade developments, including potential changes in tariff rates and the possibility of new exemptions or retaliatory actions, in order to analyze their impact on the business. The Company additionally continues to evaluate and implement additional strategies to further minimize the impact of tariffs on its operations. If current tariff levels are sustained or increased, there remains a risk that our profitability, cash flows, and financial estimates could be negatively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Additionally,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2024, as filed with the SEC on March 14, 2025,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1"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 operates on a fiscal year that ends on December 31. The three- and nine-month periods ended September 28, 2025 and September 29, 2024 each included 13 weeks and 39 weeks,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2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October 2023, the FASB issued ASU 2023-06, Disclosure Improvements: Codification Amendments in Response to SEC's Disclosure Update and Simplification Initiative. This ASU amends the disclosure or presentation requirements related to various subtopics in the 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8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While early adoption is permitted, the Company has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determined it will not early adopt the standard. The Company does not believe the adoption of the standard will have a material effect on the Company’s consolidated financial position or results of operations.</w:t>
      </w:r>
    </w:p>
    <w:p>
      <w:pPr>
        <w:spacing w:after="0" w:line="15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The objective of ASU 2024-03 is to improve disclosures about a public entity's expenses, primarily through additional disaggregation of income statement expenses. In January 2025, the FASB further clarified the effective date of ASU 2024-03 with the issuance of Accounting Standards Update 2025-01, Income Statement — Reporting Comprehensive Income — Expense Disaggregation Disclosures (Subtopic 220-40)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spacing w:after="0" w:line="1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40" w:type="dxa"/>
            <w:vAlign w:val="bottom"/>
            <w:tcBorders>
              <w:bottom w:val="single" w:sz="8" w:color="auto"/>
            </w:tcBorders>
          </w:tcPr>
          <w:p>
            <w:pPr>
              <w:spacing w:after="0"/>
              <w:rPr>
                <w:sz w:val="19"/>
                <w:szCs w:val="19"/>
                <w:color w:val="auto"/>
              </w:rPr>
            </w:pPr>
          </w:p>
        </w:tc>
      </w:tr>
      <w:tr>
        <w:trPr>
          <w:trHeight w:val="237"/>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740" w:type="dxa"/>
            <w:vAlign w:val="bottom"/>
          </w:tcPr>
          <w:p>
            <w:pPr>
              <w:jc w:val="right"/>
              <w:ind w:right="172"/>
              <w:spacing w:after="0"/>
              <w:rPr>
                <w:sz w:val="20"/>
                <w:szCs w:val="20"/>
                <w:color w:val="auto"/>
              </w:rPr>
            </w:pPr>
            <w:r>
              <w:rPr>
                <w:rFonts w:ascii="Arial" w:cs="Arial" w:eastAsia="Arial" w:hAnsi="Arial"/>
                <w:sz w:val="16"/>
                <w:szCs w:val="16"/>
                <w:color w:val="auto"/>
              </w:rPr>
              <w:t>December 31, 2024</w:t>
            </w: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58,858</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130,249</w:t>
            </w:r>
          </w:p>
        </w:tc>
      </w:tr>
      <w:tr>
        <w:trPr>
          <w:trHeight w:val="240"/>
        </w:trPr>
        <w:tc>
          <w:tcPr>
            <w:tcW w:w="65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192,523</w:t>
            </w:r>
          </w:p>
        </w:tc>
      </w:tr>
      <w:tr>
        <w:trPr>
          <w:trHeight w:val="2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740" w:type="dxa"/>
            <w:vAlign w:val="bottom"/>
          </w:tcPr>
          <w:p>
            <w:pPr>
              <w:jc w:val="right"/>
              <w:ind w:right="172"/>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46,675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Company’s long-lived assets by geographic location are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740" w:type="dxa"/>
            <w:vAlign w:val="bottom"/>
          </w:tcPr>
          <w:p>
            <w:pPr>
              <w:jc w:val="right"/>
              <w:ind w:right="172"/>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38,606</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5" w:lineRule="exact"/>
        <w:rPr>
          <w:rFonts w:ascii="Arial" w:cs="Arial" w:eastAsia="Arial" w:hAnsi="Arial"/>
          <w:sz w:val="18"/>
          <w:szCs w:val="18"/>
          <w:b w:val="1"/>
          <w:bCs w:val="1"/>
          <w:color w:val="auto"/>
        </w:rPr>
      </w:pPr>
    </w:p>
    <w:p>
      <w:pPr>
        <w:ind w:left="340" w:right="2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There were no changes to goodwill during the 39-week period ended September 28, 2025.</w:t>
      </w:r>
    </w:p>
    <w:p>
      <w:pPr>
        <w:spacing w:after="0" w:line="15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 goodwill impairment charges were incurred during the 13-week and 39-week periods ended September 28, 2025 and September 29, 2024, respectively.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8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 agreement of $23,800 is included in other intangible assets, net in the condensed consolidated balance sheets. As of September 28, 2025, the Company has paid $16,660 to Cataclean and the remaining $7,140 is included in accrued liabilities in the condensed consolidated balance sheets.</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rPr>
              <w:t>September 28, 2025</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
        </w:trPr>
        <w:tc>
          <w:tcPr>
            <w:tcW w:w="3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9"/>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Net Carrying Value</w:t>
            </w:r>
          </w:p>
        </w:tc>
      </w:tr>
      <w:tr>
        <w:trPr>
          <w:trHeight w:val="23"/>
        </w:trPr>
        <w:tc>
          <w:tcPr>
            <w:tcW w:w="3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269,235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(75,490)</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193,745</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10,563</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211,246</w:t>
            </w:r>
          </w:p>
        </w:tc>
        <w:tc>
          <w:tcPr>
            <w:tcW w:w="40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165,278</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agreement</w:t>
            </w:r>
          </w:p>
        </w:tc>
        <w:tc>
          <w:tcPr>
            <w:tcW w:w="1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400" w:type="dxa"/>
            <w:vAlign w:val="bottom"/>
          </w:tcPr>
          <w:p>
            <w:pPr>
              <w:spacing w:after="0"/>
              <w:rPr>
                <w:sz w:val="23"/>
                <w:szCs w:val="23"/>
                <w:color w:val="auto"/>
              </w:rPr>
            </w:pPr>
          </w:p>
        </w:tc>
      </w:tr>
      <w:tr>
        <w:trPr>
          <w:trHeight w:val="240"/>
        </w:trPr>
        <w:tc>
          <w:tcPr>
            <w:tcW w:w="3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15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189,078</w:t>
            </w:r>
          </w:p>
        </w:tc>
        <w:tc>
          <w:tcPr>
            <w:tcW w:w="400" w:type="dxa"/>
            <w:vAlign w:val="bottom"/>
          </w:tcPr>
          <w:p>
            <w:pPr>
              <w:spacing w:after="0"/>
              <w:rPr>
                <w:sz w:val="20"/>
                <w:szCs w:val="20"/>
                <w:color w:val="auto"/>
              </w:rPr>
            </w:pPr>
          </w:p>
        </w:tc>
      </w:tr>
      <w:tr>
        <w:trPr>
          <w:trHeight w:val="932"/>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9"/>
              </w:rPr>
              <w:t>December 31, 2024</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9"/>
              </w:rPr>
              <w:t>Net Carrying Value</w:t>
            </w:r>
          </w:p>
        </w:tc>
      </w:tr>
      <w:tr>
        <w:trPr>
          <w:trHeight w:val="23"/>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(67,426)</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202,524</w:t>
            </w:r>
          </w:p>
        </w:tc>
      </w:tr>
      <w:tr>
        <w:trPr>
          <w:trHeight w:val="23"/>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11,411</w:t>
            </w:r>
          </w:p>
        </w:tc>
      </w:tr>
      <w:tr>
        <w:trPr>
          <w:trHeight w:val="23"/>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310,401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221,416</w:t>
            </w: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165,260</w:t>
            </w:r>
          </w:p>
        </w:tc>
      </w:tr>
    </w:tbl>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amortization expense related to finite-lived intangible assets held as of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172085</wp:posOffset>
            </wp:positionV>
            <wp:extent cx="66694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2025 (excluding the thirty-nine weeks ended September 28, 2025)</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6694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2027</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6694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2029</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66940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9405" cy="197485"/>
                    </a:xfrm>
                    <a:prstGeom prst="rect">
                      <a:avLst/>
                    </a:prstGeom>
                    <a:noFill/>
                  </pic:spPr>
                </pic:pic>
              </a:graphicData>
            </a:graphic>
          </wp:anchor>
        </w:drawing>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180"/>
        <w:spacing w:after="0"/>
        <w:tabs>
          <w:tab w:leader="none" w:pos="3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3,414</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13,552</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13,546</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13,546</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13,546</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153,642</w:t>
      </w:r>
    </w:p>
    <w:p>
      <w:pPr>
        <w:spacing w:after="0" w:line="77"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211,246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67945</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29210</wp:posOffset>
            </wp:positionV>
            <wp:extent cx="2528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53"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September 28, 2025</w:t>
      </w:r>
      <w:r>
        <w:rPr>
          <w:sz w:val="20"/>
          <w:szCs w:val="20"/>
          <w:color w:val="auto"/>
        </w:rPr>
        <w:tab/>
      </w:r>
      <w:r>
        <w:rPr>
          <w:rFonts w:ascii="Arial" w:cs="Arial" w:eastAsia="Arial" w:hAnsi="Arial"/>
          <w:sz w:val="16"/>
          <w:szCs w:val="16"/>
          <w:color w:val="auto"/>
        </w:rPr>
        <w:t>December 31, 2024</w:t>
      </w:r>
    </w:p>
    <w:p>
      <w:pPr>
        <w:spacing w:after="0" w:line="31"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0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11,646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returns and allowances</w:t>
            </w:r>
          </w:p>
        </w:tc>
        <w:tc>
          <w:tcPr>
            <w:tcW w:w="2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warranties</w:t>
            </w:r>
          </w:p>
        </w:tc>
        <w:tc>
          <w:tcPr>
            <w:tcW w:w="2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Cataclean license accrual</w:t>
            </w:r>
          </w:p>
        </w:tc>
        <w:tc>
          <w:tcPr>
            <w:tcW w:w="2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14</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740" w:type="dxa"/>
            <w:vAlign w:val="bottom"/>
            <w:tcBorders>
              <w:bottom w:val="single" w:sz="8" w:color="auto"/>
            </w:tcBorders>
          </w:tcPr>
          <w:p>
            <w:pPr>
              <w:spacing w:after="0"/>
              <w:rPr>
                <w:sz w:val="19"/>
                <w:szCs w:val="19"/>
                <w:color w:val="auto"/>
              </w:rPr>
            </w:pPr>
          </w:p>
        </w:tc>
      </w:tr>
      <w:tr>
        <w:trPr>
          <w:trHeight w:val="237"/>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740" w:type="dxa"/>
            <w:vAlign w:val="bottom"/>
          </w:tcPr>
          <w:p>
            <w:pPr>
              <w:jc w:val="right"/>
              <w:ind w:right="171"/>
              <w:spacing w:after="0"/>
              <w:rPr>
                <w:sz w:val="20"/>
                <w:szCs w:val="20"/>
                <w:color w:val="auto"/>
              </w:rPr>
            </w:pPr>
            <w:r>
              <w:rPr>
                <w:rFonts w:ascii="Arial" w:cs="Arial" w:eastAsia="Arial" w:hAnsi="Arial"/>
                <w:sz w:val="16"/>
                <w:szCs w:val="16"/>
                <w:color w:val="auto"/>
              </w:rPr>
              <w:t>December 31, 2024</w:t>
            </w: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 due November 17, 2028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560,933</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(8,977)</w:t>
            </w: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552,586</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(7,201)</w:t>
            </w: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545,385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("Wells Fargo")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September 28, 2025.</w:t>
      </w:r>
    </w:p>
    <w:p>
      <w:pPr>
        <w:spacing w:after="0" w:line="171"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2024, no excess cash flow payment is expected to be required in 2025. Any such payments offset future mandatory quarterly payments. The Credit Agreement permits voluntary prepayments at any time, in whole or in part. The Company repaid $15,000 outstanding principal on its first lien term loan at a discount to par during the 39-week periods ended September 28, 2025.</w:t>
      </w:r>
    </w:p>
    <w:p>
      <w:pPr>
        <w:spacing w:after="0" w:line="18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September 28, 2025,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September 28, 2025, the weighted average interest rate on the Company's borrowings under the credit facility was 8.2%. As of September 28, 2025, the Company did not have any borrowings outstanding on its revolving credit facility.</w:t>
      </w:r>
    </w:p>
    <w:p>
      <w:pPr>
        <w:spacing w:after="0" w:line="18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has entered into interest rate collars in the notional amounts of $500,000 and $400,000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headquarters, with a carrying value of $3,271.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October 1, 2023 to initially 7.25:1.00, and provides for modified step-down levels for such covenant thereafter through the fiscal quarter ending June 30, 2024 (the “Covenant Relief Period”). As of June 30, 2024, the required Total Leverage Ratio was 5.00:1.00. 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October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$ 2,106 of deferred financing fees related to these amendments. On September 28, 2025, the Company was in compliance with all financial covenants.</w:t>
      </w:r>
    </w:p>
    <w:p>
      <w:pPr>
        <w:spacing w:after="0" w:line="182"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$100,000. The amendment permits our Total Leverage Ratio for the benefit of the revolving credit lenders to be tested only for fiscal quarters in which there are outstanding revolving credit loans on the last day of such fiscal quarter.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September 28, 2025 are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Debt Issuance</w:t>
            </w:r>
          </w:p>
        </w:tc>
      </w:tr>
      <w:tr>
        <w:trPr>
          <w:trHeight w:val="239"/>
        </w:trPr>
        <w:tc>
          <w:tcPr>
            <w:tcW w:w="7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Costs</w:t>
            </w:r>
          </w:p>
        </w:tc>
      </w:tr>
      <w:tr>
        <w:trPr>
          <w:trHeight w:val="23"/>
        </w:trPr>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(excluding the thirty-nine weeks ended September 28, 2025)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3"/>
        </w:trPr>
        <w:tc>
          <w:tcPr>
            <w:tcW w:w="7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23"/>
        </w:trPr>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542,728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6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7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September 28, 2025 and December 31, 2024, a warrant liability with a fair value of $3,752 and $813, respectively, was reflected as a long-term liability in the condensed consolidated balance sheet. An increase of $3,019 and a decrease of $1,041 in the fair value of the warrant liability was reflected as change in fair value of warrant liability in the condensed consolidated statements of comprehensive income (loss) for the 13-week periods ended September 28, 2025 and September 29, 2024, respectively. An increase of $2,939 and a decrease of $7,570 in the fair value of the warrant liability was reflected as change in fair value of warrant liability in the condensed consolidated statements of comprehensive income (loss) for the 39-week periods ended September 28, 2025 and September 29, 2024, respectively.</w:t>
      </w:r>
    </w:p>
    <w:p>
      <w:pPr>
        <w:spacing w:after="0" w:line="18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September 28, 2025 and December 31, 2024, an earn-out liability with a fair value of $1,870 and $1,148, respectively, was reflected as a long-term liability in the condensed consolidated balance sheet. An increase of $1,126 and a decrease of $634 in the fair value of the earn-out liability was reflected as change in fair value of earn-out liability 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condensed consolidated statements of comprehensive income (loss) for the 13-week periods ended September 28, 2025 and September 29, 2024, respectively. An increase of $722 and a decrease of $2,341 in the fair value of the earn-out liability was reflected as change in fair value of earn-out liability in the condensed consolidated statements of comprehensive income (loss) for the 39-week periods ended September 28, 2025 and September 29, 2024, respectively.</w:t>
      </w:r>
    </w:p>
    <w:p>
      <w:pPr>
        <w:spacing w:after="0" w:line="17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with a notional amount of $500,000 that expires on February 18, 2026. The Collar has a floor of 2.811% and a cap of 5% (based on three-month SOFR). On January 30, 2025, the Company entered into another Collar with Wells Fargo with a notional amount of $400,000 that expires on November 18, 2028. The Collar has a floor of 3.35% and a cap of 4.99% (based on three-month SOFR). The structure of these Collars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84"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September 28, 2025, the Company recognized a derivative liability of $4,331 for the Collar in other noncurrent liabilities on the condensed consolidated balance sheets. The Company recorded a net change in the fair value of the Collar as an increase (decrease) to interest expense of $(972) and $4,271 for the 13-week and 39-week periods ended September 28, 2025, respectively.</w:t>
      </w:r>
    </w:p>
    <w:p>
      <w:pPr>
        <w:spacing w:after="0" w:line="170"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20" w:type="dxa"/>
            <w:vAlign w:val="bottom"/>
            <w:gridSpan w:val="9"/>
          </w:tcPr>
          <w:p>
            <w:pPr>
              <w:jc w:val="right"/>
              <w:ind w:right="70"/>
              <w:spacing w:after="0"/>
              <w:rPr>
                <w:sz w:val="20"/>
                <w:szCs w:val="20"/>
                <w:color w:val="auto"/>
              </w:rPr>
            </w:pPr>
            <w:r>
              <w:rPr>
                <w:rFonts w:ascii="Arial" w:cs="Arial" w:eastAsia="Arial" w:hAnsi="Arial"/>
                <w:sz w:val="18"/>
                <w:szCs w:val="18"/>
                <w:color w:val="auto"/>
              </w:rPr>
              <w:t>Fair Value Measured on September 28, 2025</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Warrant liability (Public)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2,482</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Earn-out liability</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1,870</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collar liability</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400" w:type="dxa"/>
            <w:vAlign w:val="bottom"/>
          </w:tcPr>
          <w:p>
            <w:pPr>
              <w:spacing w:after="0"/>
              <w:rPr>
                <w:sz w:val="23"/>
                <w:szCs w:val="23"/>
                <w:color w:val="auto"/>
              </w:rPr>
            </w:pPr>
          </w:p>
        </w:tc>
      </w:tr>
      <w:tr>
        <w:trPr>
          <w:trHeight w:val="264"/>
        </w:trPr>
        <w:tc>
          <w:tcPr>
            <w:tcW w:w="34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fair value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9,953</w:t>
            </w:r>
          </w:p>
        </w:tc>
        <w:tc>
          <w:tcPr>
            <w:tcW w:w="40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02"/>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940" w:type="dxa"/>
            <w:vAlign w:val="bottom"/>
            <w:gridSpan w:val="9"/>
          </w:tcPr>
          <w:p>
            <w:pPr>
              <w:jc w:val="right"/>
              <w:ind w:right="90"/>
              <w:spacing w:after="0"/>
              <w:rPr>
                <w:sz w:val="20"/>
                <w:szCs w:val="20"/>
                <w:color w:val="auto"/>
              </w:rPr>
            </w:pPr>
            <w:r>
              <w:rPr>
                <w:rFonts w:ascii="Arial" w:cs="Arial" w:eastAsia="Arial" w:hAnsi="Arial"/>
                <w:sz w:val="18"/>
                <w:szCs w:val="18"/>
                <w:color w:val="auto"/>
              </w:rPr>
              <w:t>Fair Value Measured on December 31, 2024</w:t>
            </w:r>
          </w:p>
        </w:tc>
        <w:tc>
          <w:tcPr>
            <w:tcW w:w="1080" w:type="dxa"/>
            <w:vAlign w:val="bottom"/>
          </w:tcPr>
          <w:p>
            <w:pPr>
              <w:spacing w:after="0"/>
              <w:rPr>
                <w:sz w:val="20"/>
                <w:szCs w:val="20"/>
                <w:color w:val="auto"/>
              </w:rPr>
            </w:pPr>
          </w:p>
        </w:tc>
      </w:tr>
      <w:tr>
        <w:trPr>
          <w:trHeight w:val="23"/>
        </w:trPr>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1"/>
        </w:trPr>
        <w:tc>
          <w:tcPr>
            <w:tcW w:w="4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Level 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3"/>
        </w:trPr>
        <w:tc>
          <w:tcPr>
            <w:tcW w:w="4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4440" w:type="dxa"/>
            <w:vAlign w:val="bottom"/>
          </w:tcPr>
          <w:p>
            <w:pPr>
              <w:ind w:left="180"/>
              <w:spacing w:after="0"/>
              <w:rPr>
                <w:sz w:val="20"/>
                <w:szCs w:val="20"/>
                <w:color w:val="auto"/>
              </w:rPr>
            </w:pPr>
            <w:r>
              <w:rPr>
                <w:rFonts w:ascii="Arial" w:cs="Arial" w:eastAsia="Arial" w:hAnsi="Arial"/>
                <w:sz w:val="18"/>
                <w:szCs w:val="18"/>
                <w:color w:val="auto"/>
              </w:rPr>
              <w:t>Warrant liability (Public)</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548</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3"/>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7"/>
        </w:trPr>
        <w:tc>
          <w:tcPr>
            <w:tcW w:w="4440" w:type="dxa"/>
            <w:vAlign w:val="bottom"/>
          </w:tcPr>
          <w:p>
            <w:pPr>
              <w:ind w:left="180"/>
              <w:spacing w:after="0"/>
              <w:rPr>
                <w:sz w:val="20"/>
                <w:szCs w:val="20"/>
                <w:color w:val="auto"/>
              </w:rPr>
            </w:pPr>
            <w:r>
              <w:rPr>
                <w:rFonts w:ascii="Arial" w:cs="Arial" w:eastAsia="Arial" w:hAnsi="Arial"/>
                <w:sz w:val="18"/>
                <w:szCs w:val="18"/>
                <w:color w:val="auto"/>
              </w:rPr>
              <w:t>Earn-out liability</w:t>
            </w:r>
          </w:p>
        </w:tc>
        <w:tc>
          <w:tcPr>
            <w:tcW w:w="104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collar liability</w:t>
            </w: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4440" w:type="dxa"/>
            <w:vAlign w:val="bottom"/>
          </w:tcPr>
          <w:p>
            <w:pPr>
              <w:ind w:left="20"/>
              <w:spacing w:after="0"/>
              <w:rPr>
                <w:sz w:val="20"/>
                <w:szCs w:val="20"/>
                <w:color w:val="auto"/>
              </w:rPr>
            </w:pPr>
            <w:r>
              <w:rPr>
                <w:rFonts w:ascii="Arial" w:cs="Arial" w:eastAsia="Arial" w:hAnsi="Arial"/>
                <w:sz w:val="18"/>
                <w:szCs w:val="18"/>
                <w:color w:val="auto"/>
              </w:rPr>
              <w:t>Total fair value liabilities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548</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1"/>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 of September 28, 2025, the Company's derivative liabilities for its Private and Public Warrants, earn-out liability, and derivative liability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condensed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(loss). Changes in the fair value of the Collar is recognized as an adjustment to interest expense in the condensed consolidated statements of comprehensive income (loss).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8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September 28, 2025</w:t>
            </w:r>
          </w:p>
        </w:tc>
        <w:tc>
          <w:tcPr>
            <w:tcW w:w="180" w:type="dxa"/>
            <w:vAlign w:val="bottom"/>
          </w:tcPr>
          <w:p>
            <w:pPr>
              <w:spacing w:after="0"/>
              <w:rPr>
                <w:sz w:val="20"/>
                <w:szCs w:val="20"/>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December 31, 2024</w:t>
            </w: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11.50</w:t>
            </w:r>
          </w:p>
        </w:tc>
      </w:tr>
      <w:tr>
        <w:trPr>
          <w:trHeight w:val="2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life (in years)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Price threshold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18.00</w:t>
            </w:r>
          </w:p>
        </w:tc>
      </w:tr>
    </w:tbl>
    <w:p>
      <w:pPr>
        <w:spacing w:after="0" w:line="301"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rPr>
              <w:t>September 28, 2025</w:t>
            </w:r>
          </w:p>
        </w:tc>
        <w:tc>
          <w:tcPr>
            <w:tcW w:w="180" w:type="dxa"/>
            <w:vAlign w:val="bottom"/>
          </w:tcPr>
          <w:p>
            <w:pPr>
              <w:spacing w:after="0"/>
              <w:rPr>
                <w:sz w:val="20"/>
                <w:szCs w:val="20"/>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December 31, 2024</w:t>
            </w: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hurdle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r>
      <w:tr>
        <w:trPr>
          <w:trHeight w:val="23"/>
        </w:trPr>
        <w:tc>
          <w:tcPr>
            <w:tcW w:w="6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As of September 28, 2025 and December 31, 2024,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reconciliation of changes in Level 3 liabilities during the 39-week periods ended September 28, 2025 and September 29, 2024 is as follows: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Private Warrants</w:t>
            </w: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Earn-Out Liability</w:t>
            </w:r>
          </w:p>
        </w:tc>
        <w:tc>
          <w:tcPr>
            <w:tcW w:w="3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Total</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6,382</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Gains included in earnings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470"/>
              <w:spacing w:after="0"/>
              <w:rPr>
                <w:sz w:val="20"/>
                <w:szCs w:val="20"/>
                <w:color w:val="auto"/>
              </w:rPr>
            </w:pPr>
            <w:r>
              <w:rPr>
                <w:rFonts w:ascii="Arial" w:cs="Arial" w:eastAsia="Arial" w:hAnsi="Arial"/>
                <w:sz w:val="18"/>
                <w:szCs w:val="18"/>
                <w:color w:val="auto"/>
                <w:w w:val="98"/>
              </w:rPr>
              <w:t>(4,979)</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29,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rPr>
              <w:t>1,403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1,413</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Losses included in earnings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490"/>
              <w:spacing w:after="0"/>
              <w:rPr>
                <w:sz w:val="20"/>
                <w:szCs w:val="20"/>
                <w:color w:val="auto"/>
              </w:rPr>
            </w:pPr>
            <w:r>
              <w:rPr>
                <w:rFonts w:ascii="Arial" w:cs="Arial" w:eastAsia="Arial" w:hAnsi="Arial"/>
                <w:sz w:val="18"/>
                <w:szCs w:val="18"/>
                <w:color w:val="auto"/>
              </w:rPr>
              <w:t>1,728</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28, 2025</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rPr>
              <w:t>3,141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79"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70"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79"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for more information.</w:t>
      </w:r>
    </w:p>
    <w:p>
      <w:pPr>
        <w:spacing w:after="0" w:line="18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following table summarizes total revenue by division category during the 13-week and 39-week periods ended September 28, 2025 and September 29, 2024. The Company's category definitions were revised by management during the first quarter of 2025. The prior-year period has been revised to conform with the current presentation. There is no change to total sales.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6"/>
                <w:szCs w:val="16"/>
                <w:color w:val="auto"/>
              </w:rPr>
              <w:t>For the thirteen weeks ended</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color w:val="auto"/>
              </w:rPr>
              <w:t>For the thirty-nine weeks ended</w:t>
            </w:r>
          </w:p>
        </w:tc>
      </w:tr>
      <w:tr>
        <w:trPr>
          <w:trHeight w:val="236"/>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color w:val="auto"/>
              </w:rPr>
              <w:t>September 29, 2024</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60" w:type="dxa"/>
            <w:vAlign w:val="bottom"/>
          </w:tcPr>
          <w:p>
            <w:pPr>
              <w:jc w:val="right"/>
              <w:ind w:right="212"/>
              <w:spacing w:after="0"/>
              <w:rPr>
                <w:sz w:val="20"/>
                <w:szCs w:val="20"/>
                <w:color w:val="auto"/>
              </w:rPr>
            </w:pPr>
            <w:r>
              <w:rPr>
                <w:rFonts w:ascii="Arial" w:cs="Arial" w:eastAsia="Arial" w:hAnsi="Arial"/>
                <w:sz w:val="16"/>
                <w:szCs w:val="16"/>
                <w:color w:val="auto"/>
              </w:rPr>
              <w:t>September 29, 2024</w:t>
            </w:r>
          </w:p>
        </w:tc>
      </w:tr>
      <w:tr>
        <w:trPr>
          <w:trHeight w:val="250"/>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Muscle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295,497</w:t>
            </w:r>
          </w:p>
        </w:tc>
      </w:tr>
      <w:tr>
        <w:trPr>
          <w:trHeight w:val="247"/>
        </w:trPr>
        <w:tc>
          <w:tcPr>
            <w:tcW w:w="2460" w:type="dxa"/>
            <w:vAlign w:val="bottom"/>
          </w:tcPr>
          <w:p>
            <w:pPr>
              <w:ind w:left="20"/>
              <w:spacing w:after="0"/>
              <w:rPr>
                <w:sz w:val="20"/>
                <w:szCs w:val="20"/>
                <w:color w:val="auto"/>
              </w:rPr>
            </w:pPr>
            <w:r>
              <w:rPr>
                <w:rFonts w:ascii="Arial" w:cs="Arial" w:eastAsia="Arial" w:hAnsi="Arial"/>
                <w:sz w:val="18"/>
                <w:szCs w:val="18"/>
                <w:color w:val="auto"/>
              </w:rPr>
              <w:t>Euro &amp; Import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6,980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19,841</w:t>
            </w:r>
          </w:p>
        </w:tc>
      </w:tr>
      <w:tr>
        <w:trPr>
          <w:trHeight w:val="23"/>
        </w:trPr>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Truck &amp; Off-Road</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93,527</w:t>
            </w:r>
          </w:p>
        </w:tc>
      </w:tr>
      <w:tr>
        <w:trPr>
          <w:trHeight w:val="247"/>
        </w:trPr>
        <w:tc>
          <w:tcPr>
            <w:tcW w:w="2460" w:type="dxa"/>
            <w:vAlign w:val="bottom"/>
          </w:tcPr>
          <w:p>
            <w:pPr>
              <w:ind w:left="20"/>
              <w:spacing w:after="0"/>
              <w:rPr>
                <w:sz w:val="20"/>
                <w:szCs w:val="20"/>
                <w:color w:val="auto"/>
              </w:rPr>
            </w:pPr>
            <w:r>
              <w:rPr>
                <w:rFonts w:ascii="Arial" w:cs="Arial" w:eastAsia="Arial" w:hAnsi="Arial"/>
                <w:sz w:val="18"/>
                <w:szCs w:val="18"/>
                <w:color w:val="auto"/>
              </w:rPr>
              <w:t>Safety &amp; Racing</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13,137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53,306</w:t>
            </w:r>
          </w:p>
        </w:tc>
      </w:tr>
      <w:tr>
        <w:trPr>
          <w:trHeight w:val="23"/>
        </w:trPr>
        <w:tc>
          <w:tcPr>
            <w:tcW w:w="2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9"/>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134,038</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462,170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color w:val="auto"/>
              </w:rPr>
              <w:t>For the thirteen weeks ended</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6"/>
                <w:szCs w:val="16"/>
                <w:color w:val="auto"/>
              </w:rPr>
              <w:t>For the thirty-nine weeks ended</w:t>
            </w:r>
          </w:p>
        </w:tc>
      </w:tr>
      <w:tr>
        <w:trPr>
          <w:trHeight w:val="236"/>
        </w:trPr>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color w:val="auto"/>
              </w:rPr>
              <w:t>September 29, 2024</w:t>
            </w:r>
          </w:p>
        </w:tc>
      </w:tr>
      <w:tr>
        <w:trPr>
          <w:trHeight w:val="250"/>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130,459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447,206</w:t>
            </w:r>
          </w:p>
        </w:tc>
      </w:tr>
      <w:tr>
        <w:trPr>
          <w:trHeight w:val="247"/>
        </w:trPr>
        <w:tc>
          <w:tcPr>
            <w:tcW w:w="2460" w:type="dxa"/>
            <w:vAlign w:val="bottom"/>
          </w:tcPr>
          <w:p>
            <w:pPr>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14,964</w:t>
            </w:r>
          </w:p>
        </w:tc>
      </w:tr>
      <w:tr>
        <w:trPr>
          <w:trHeight w:val="23"/>
        </w:trPr>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9"/>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134,038</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462,170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less allowance was $51,011 and $36,123 as of June 29, 2025 and December 31, 2024, respectively.</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reflects the expected income tax rate. Significant judgment is required in determining the effective tax rate and in evaluating tax positions.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6"/>
                <w:szCs w:val="16"/>
                <w:color w:val="auto"/>
              </w:rPr>
              <w:t>For the thirteen weeks ended</w:t>
            </w:r>
          </w:p>
        </w:tc>
        <w:tc>
          <w:tcPr>
            <w:tcW w:w="28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6"/>
                <w:szCs w:val="16"/>
                <w:color w:val="auto"/>
              </w:rPr>
              <w:t>For the thirty-nine weeks ended</w:t>
            </w:r>
          </w:p>
        </w:tc>
      </w:tr>
      <w:tr>
        <w:trPr>
          <w:trHeight w:val="237"/>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80" w:type="dxa"/>
            <w:vAlign w:val="bottom"/>
          </w:tcPr>
          <w:p>
            <w:pPr>
              <w:jc w:val="right"/>
              <w:ind w:right="253"/>
              <w:spacing w:after="0"/>
              <w:rPr>
                <w:sz w:val="20"/>
                <w:szCs w:val="20"/>
                <w:color w:val="auto"/>
              </w:rPr>
            </w:pPr>
            <w:r>
              <w:rPr>
                <w:rFonts w:ascii="Arial" w:cs="Arial" w:eastAsia="Arial" w:hAnsi="Arial"/>
                <w:sz w:val="16"/>
                <w:szCs w:val="16"/>
                <w:color w:val="auto"/>
              </w:rPr>
              <w:t>September 29, 2024</w:t>
            </w:r>
          </w:p>
        </w:tc>
        <w:tc>
          <w:tcPr>
            <w:tcW w:w="280" w:type="dxa"/>
            <w:vAlign w:val="bottom"/>
          </w:tcPr>
          <w:p>
            <w:pPr>
              <w:spacing w:after="0"/>
              <w:rPr>
                <w:sz w:val="20"/>
                <w:szCs w:val="20"/>
                <w:color w:val="auto"/>
              </w:rPr>
            </w:pPr>
          </w:p>
        </w:tc>
        <w:tc>
          <w:tcPr>
            <w:tcW w:w="1880" w:type="dxa"/>
            <w:vAlign w:val="bottom"/>
          </w:tcPr>
          <w:p>
            <w:pPr>
              <w:jc w:val="right"/>
              <w:ind w:right="255"/>
              <w:spacing w:after="0"/>
              <w:rPr>
                <w:sz w:val="20"/>
                <w:szCs w:val="20"/>
                <w:color w:val="auto"/>
              </w:rPr>
            </w:pPr>
            <w:r>
              <w:rPr>
                <w:rFonts w:ascii="Arial" w:cs="Arial" w:eastAsia="Arial" w:hAnsi="Arial"/>
                <w:sz w:val="16"/>
                <w:szCs w:val="16"/>
                <w:color w:val="auto"/>
              </w:rPr>
              <w:t>September 28, 2025</w:t>
            </w:r>
          </w:p>
        </w:tc>
        <w:tc>
          <w:tcPr>
            <w:tcW w:w="260" w:type="dxa"/>
            <w:vAlign w:val="bottom"/>
          </w:tcPr>
          <w:p>
            <w:pPr>
              <w:spacing w:after="0"/>
              <w:rPr>
                <w:sz w:val="20"/>
                <w:szCs w:val="20"/>
                <w:color w:val="auto"/>
              </w:rPr>
            </w:pPr>
          </w:p>
        </w:tc>
        <w:tc>
          <w:tcPr>
            <w:tcW w:w="1880" w:type="dxa"/>
            <w:vAlign w:val="bottom"/>
          </w:tcPr>
          <w:p>
            <w:pPr>
              <w:jc w:val="right"/>
              <w:ind w:right="233"/>
              <w:spacing w:after="0"/>
              <w:rPr>
                <w:sz w:val="20"/>
                <w:szCs w:val="20"/>
                <w:color w:val="auto"/>
              </w:rPr>
            </w:pPr>
            <w:r>
              <w:rPr>
                <w:rFonts w:ascii="Arial" w:cs="Arial" w:eastAsia="Arial" w:hAnsi="Arial"/>
                <w:sz w:val="16"/>
                <w:szCs w:val="16"/>
                <w:color w:val="auto"/>
              </w:rPr>
              <w:t>September 29, 2024</w:t>
            </w:r>
          </w:p>
        </w:tc>
      </w:tr>
      <w:tr>
        <w:trPr>
          <w:trHeight w:val="211"/>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42"/>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(1,484)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5,848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(320)</w:t>
            </w:r>
          </w:p>
        </w:tc>
      </w:tr>
      <w:tr>
        <w:trPr>
          <w:trHeight w:val="247"/>
        </w:trPr>
        <w:tc>
          <w:tcPr>
            <w:tcW w:w="2240" w:type="dxa"/>
            <w:vAlign w:val="bottom"/>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31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For the 13-week period ended September 28, 2025, the Company's effective tax rate of 274.1% differed from the 21% federal statutory tax rate primarily due to permanent differences related to changes in fair value of the warrant and earn-out liabilities recognized during the period, state taxes, and the impact of foreign taxes in higher rate jurisdictions. These items had a greater impact on the effective tax rate for the13-week period ended September 28, 2025 due to the low pre-tax net income result. For the 13-week period ended September 29, 2024, the Company’s effective tax rate of 19.1% differed from the 21% federal statutory rate primarily due to permanent differences related to changes in fair value of the warrant and earn-out liabilities recognized during the period and the impact of foreign taxes in higher tax rate jurisdictions.</w:t>
      </w:r>
    </w:p>
    <w:p>
      <w:pPr>
        <w:spacing w:after="0" w:line="18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For the 39-week period ended September 28, 2025, the Company's effective tax rate of 31.2% differed from the 21% federal statutory tax rate primarily due to permanent differences related to changes in fair value of the warrant and earn-out liabilities recognized during the period, state taxes, the impact of foreign taxes in higher tax rate jurisdictions, and excess tax deficiencies from share-based compensation recognized during the period. For the 39-week period ended September 29, 2024, the Company’s effective tax rate of (2.2)%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were recorded during the year as a discrete adjustment.</w:t>
      </w:r>
    </w:p>
    <w:p>
      <w:pPr>
        <w:spacing w:after="0" w:line="18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July 4, 2025, the U.S. enacted the One Big Beautiful Bill Act (“OBBBA”) that includes several U.S. corporate tax provisions, including the restoration of 100% bonus depreciation on qualified property, the current deductibility of domestic research and experimental expenditures, and changes to the interest expense limitation. The provisions of the OBBBA did not have a material impact to our income tax expense or effective tax rate. We expect the provisions of OBBBA to result in a reduction to current tax expense for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6"/>
                <w:szCs w:val="16"/>
                <w:color w:val="auto"/>
              </w:rPr>
              <w:t>For the thirteen weeks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color w:val="auto"/>
              </w:rPr>
              <w:t>For the thirty-nine weeks ended</w:t>
            </w:r>
          </w:p>
        </w:tc>
      </w:tr>
      <w:tr>
        <w:trPr>
          <w:trHeight w:val="236"/>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00" w:type="dxa"/>
            <w:vAlign w:val="bottom"/>
          </w:tcPr>
          <w:p>
            <w:pPr>
              <w:jc w:val="right"/>
              <w:ind w:right="171"/>
              <w:spacing w:after="0"/>
              <w:rPr>
                <w:sz w:val="20"/>
                <w:szCs w:val="20"/>
                <w:color w:val="auto"/>
              </w:rPr>
            </w:pPr>
            <w:r>
              <w:rPr>
                <w:rFonts w:ascii="Arial" w:cs="Arial" w:eastAsia="Arial" w:hAnsi="Arial"/>
                <w:sz w:val="16"/>
                <w:szCs w:val="16"/>
                <w:color w:val="auto"/>
              </w:rPr>
              <w:t>September 29, 2024</w:t>
            </w:r>
          </w:p>
        </w:tc>
      </w:tr>
      <w:tr>
        <w:trPr>
          <w:trHeight w:val="257"/>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r>
      <w:tr>
        <w:trPr>
          <w:trHeight w:val="247"/>
        </w:trPr>
        <w:tc>
          <w:tcPr>
            <w:tcW w:w="2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14,547</w:t>
            </w:r>
          </w:p>
        </w:tc>
      </w:tr>
      <w:tr>
        <w:trPr>
          <w:trHeight w:val="2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28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9"/>
        </w:trPr>
        <w:tc>
          <w:tcPr>
            <w:tcW w:w="2840" w:type="dxa"/>
            <w:vAlign w:val="bottom"/>
          </w:tcPr>
          <w:p>
            <w:pPr>
              <w:ind w:left="20"/>
              <w:spacing w:after="0"/>
              <w:rPr>
                <w:sz w:val="20"/>
                <w:szCs w:val="20"/>
                <w:color w:val="auto"/>
              </w:rPr>
            </w:pPr>
            <w:r>
              <w:rPr>
                <w:rFonts w:ascii="Arial" w:cs="Arial" w:eastAsia="Arial" w:hAnsi="Arial"/>
                <w:sz w:val="18"/>
                <w:szCs w:val="18"/>
                <w:color w:val="auto"/>
              </w:rPr>
              <w:t>outstanding - basic</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119,405,911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118,694,139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119,140,257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118,345,442</w:t>
            </w:r>
          </w:p>
        </w:tc>
      </w:tr>
      <w:tr>
        <w:trPr>
          <w:trHeight w:val="23"/>
        </w:trPr>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4"/>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potential common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from RSUs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740,025</w:t>
            </w:r>
          </w:p>
        </w:tc>
      </w:tr>
      <w:tr>
        <w:trPr>
          <w:trHeight w:val="224"/>
        </w:trPr>
        <w:tc>
          <w:tcPr>
            <w:tcW w:w="2840" w:type="dxa"/>
            <w:vAlign w:val="bottom"/>
          </w:tcPr>
          <w:p>
            <w:pPr>
              <w:ind w:left="20"/>
              <w:spacing w:after="0"/>
              <w:rPr>
                <w:sz w:val="20"/>
                <w:szCs w:val="20"/>
                <w:color w:val="auto"/>
              </w:rPr>
            </w:pPr>
            <w:r>
              <w:rPr>
                <w:rFonts w:ascii="Arial" w:cs="Arial" w:eastAsia="Arial" w:hAnsi="Arial"/>
                <w:sz w:val="18"/>
                <w:szCs w:val="18"/>
                <w:color w:val="auto"/>
              </w:rPr>
              <w:t>Dilutive effect of potential common</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9"/>
        </w:trPr>
        <w:tc>
          <w:tcPr>
            <w:tcW w:w="2840" w:type="dxa"/>
            <w:vAlign w:val="bottom"/>
          </w:tcPr>
          <w:p>
            <w:pPr>
              <w:ind w:left="20"/>
              <w:spacing w:after="0"/>
              <w:rPr>
                <w:sz w:val="20"/>
                <w:szCs w:val="20"/>
                <w:color w:val="auto"/>
              </w:rPr>
            </w:pPr>
            <w:r>
              <w:rPr>
                <w:rFonts w:ascii="Arial" w:cs="Arial" w:eastAsia="Arial" w:hAnsi="Arial"/>
                <w:sz w:val="18"/>
                <w:szCs w:val="18"/>
                <w:color w:val="auto"/>
              </w:rPr>
              <w:t>shares from PSUs</w:t>
            </w:r>
          </w:p>
        </w:tc>
        <w:tc>
          <w:tcPr>
            <w:tcW w:w="18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208,230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68,101</w:t>
            </w:r>
          </w:p>
        </w:tc>
      </w:tr>
      <w:tr>
        <w:trPr>
          <w:trHeight w:val="23"/>
        </w:trPr>
        <w:tc>
          <w:tcPr>
            <w:tcW w:w="2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28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Weighted average common shares</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119,405,911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118,694,139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119,810,987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119,153,568</w:t>
            </w:r>
          </w:p>
        </w:tc>
      </w:tr>
      <w:tr>
        <w:trPr>
          <w:trHeight w:val="262"/>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8"/>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7"/>
        </w:trPr>
        <w:tc>
          <w:tcPr>
            <w:tcW w:w="284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31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2880" w:type="dxa"/>
            <w:vAlign w:val="bottom"/>
          </w:tcPr>
          <w:p>
            <w:pPr>
              <w:spacing w:after="0"/>
              <w:rPr>
                <w:sz w:val="19"/>
                <w:szCs w:val="19"/>
                <w:color w:val="auto"/>
              </w:rPr>
            </w:pPr>
          </w:p>
        </w:tc>
        <w:tc>
          <w:tcPr>
            <w:tcW w:w="406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6"/>
                <w:szCs w:val="16"/>
                <w:color w:val="auto"/>
              </w:rPr>
              <w:t>For the thirteen weeks ended</w:t>
            </w:r>
          </w:p>
        </w:tc>
        <w:tc>
          <w:tcPr>
            <w:tcW w:w="80" w:type="dxa"/>
            <w:vAlign w:val="bottom"/>
          </w:tcPr>
          <w:p>
            <w:pPr>
              <w:spacing w:after="0"/>
              <w:rPr>
                <w:sz w:val="19"/>
                <w:szCs w:val="19"/>
                <w:color w:val="auto"/>
              </w:rPr>
            </w:pPr>
          </w:p>
        </w:tc>
        <w:tc>
          <w:tcPr>
            <w:tcW w:w="4080" w:type="dxa"/>
            <w:vAlign w:val="bottom"/>
            <w:tcBorders>
              <w:bottom w:val="single" w:sz="8" w:color="auto"/>
            </w:tcBorders>
            <w:gridSpan w:val="3"/>
          </w:tcPr>
          <w:p>
            <w:pPr>
              <w:jc w:val="right"/>
              <w:ind w:right="831"/>
              <w:spacing w:after="0"/>
              <w:rPr>
                <w:sz w:val="20"/>
                <w:szCs w:val="20"/>
                <w:color w:val="auto"/>
              </w:rPr>
            </w:pPr>
            <w:r>
              <w:rPr>
                <w:rFonts w:ascii="Arial" w:cs="Arial" w:eastAsia="Arial" w:hAnsi="Arial"/>
                <w:sz w:val="16"/>
                <w:szCs w:val="16"/>
                <w:color w:val="auto"/>
              </w:rPr>
              <w:t>For the thirty-nine weeks ended</w:t>
            </w:r>
          </w:p>
        </w:tc>
      </w:tr>
      <w:tr>
        <w:trPr>
          <w:trHeight w:val="237"/>
        </w:trPr>
        <w:tc>
          <w:tcPr>
            <w:tcW w:w="288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color w:val="auto"/>
              </w:rPr>
              <w:t>September 28, 2025</w:t>
            </w:r>
          </w:p>
        </w:tc>
        <w:tc>
          <w:tcPr>
            <w:tcW w:w="2080" w:type="dxa"/>
            <w:vAlign w:val="bottom"/>
            <w:gridSpan w:val="2"/>
          </w:tcPr>
          <w:p>
            <w:pPr>
              <w:ind w:left="260"/>
              <w:spacing w:after="0"/>
              <w:rPr>
                <w:sz w:val="20"/>
                <w:szCs w:val="20"/>
                <w:color w:val="auto"/>
              </w:rPr>
            </w:pPr>
            <w:r>
              <w:rPr>
                <w:rFonts w:ascii="Arial" w:cs="Arial" w:eastAsia="Arial" w:hAnsi="Arial"/>
                <w:sz w:val="16"/>
                <w:szCs w:val="16"/>
                <w:color w:val="auto"/>
              </w:rPr>
              <w:t>September 29, 2024</w:t>
            </w:r>
          </w:p>
        </w:tc>
        <w:tc>
          <w:tcPr>
            <w:tcW w:w="2080" w:type="dxa"/>
            <w:vAlign w:val="bottom"/>
            <w:gridSpan w:val="2"/>
          </w:tcPr>
          <w:p>
            <w:pPr>
              <w:ind w:left="260"/>
              <w:spacing w:after="0"/>
              <w:rPr>
                <w:sz w:val="20"/>
                <w:szCs w:val="20"/>
                <w:color w:val="auto"/>
              </w:rPr>
            </w:pPr>
            <w:r>
              <w:rPr>
                <w:rFonts w:ascii="Arial" w:cs="Arial" w:eastAsia="Arial" w:hAnsi="Arial"/>
                <w:sz w:val="16"/>
                <w:szCs w:val="16"/>
                <w:color w:val="auto"/>
              </w:rPr>
              <w:t>September 28, 2025</w:t>
            </w:r>
          </w:p>
        </w:tc>
        <w:tc>
          <w:tcPr>
            <w:tcW w:w="2000" w:type="dxa"/>
            <w:vAlign w:val="bottom"/>
          </w:tcPr>
          <w:p>
            <w:pPr>
              <w:jc w:val="right"/>
              <w:ind w:right="191"/>
              <w:spacing w:after="0"/>
              <w:rPr>
                <w:sz w:val="20"/>
                <w:szCs w:val="20"/>
                <w:color w:val="auto"/>
              </w:rPr>
            </w:pPr>
            <w:r>
              <w:rPr>
                <w:rFonts w:ascii="Arial" w:cs="Arial" w:eastAsia="Arial" w:hAnsi="Arial"/>
                <w:sz w:val="16"/>
                <w:szCs w:val="16"/>
                <w:color w:val="auto"/>
              </w:rPr>
              <w:t>September 29, 2024</w:t>
            </w: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 excluded from</w:t>
            </w:r>
          </w:p>
        </w:tc>
        <w:tc>
          <w:tcPr>
            <w:tcW w:w="1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42"/>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calculation of diluted EPS:</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7"/>
        </w:trPr>
        <w:tc>
          <w:tcPr>
            <w:tcW w:w="28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980" w:type="dxa"/>
            <w:vAlign w:val="bottom"/>
          </w:tcPr>
          <w:p>
            <w:pPr>
              <w:jc w:val="right"/>
              <w:spacing w:after="0"/>
              <w:rPr>
                <w:sz w:val="20"/>
                <w:szCs w:val="20"/>
                <w:color w:val="auto"/>
              </w:rPr>
            </w:pPr>
            <w:r>
              <w:rPr>
                <w:rFonts w:ascii="Arial" w:cs="Arial" w:eastAsia="Arial" w:hAnsi="Arial"/>
                <w:sz w:val="18"/>
                <w:szCs w:val="18"/>
                <w:color w:val="auto"/>
              </w:rPr>
              <w:t>14,633,311</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14,633,311</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14,633,311</w:t>
            </w:r>
          </w:p>
        </w:tc>
        <w:tc>
          <w:tcPr>
            <w:tcW w:w="8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14,633,311</w:t>
            </w:r>
          </w:p>
        </w:tc>
      </w:tr>
      <w:tr>
        <w:trPr>
          <w:trHeight w:val="23"/>
        </w:trPr>
        <w:tc>
          <w:tcPr>
            <w:tcW w:w="2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454,064</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437,268</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454,064</w:t>
            </w:r>
          </w:p>
        </w:tc>
      </w:tr>
      <w:tr>
        <w:trPr>
          <w:trHeight w:val="247"/>
        </w:trPr>
        <w:tc>
          <w:tcPr>
            <w:tcW w:w="288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3,600,584</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557,828</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3,138,084</w:t>
            </w:r>
          </w:p>
        </w:tc>
        <w:tc>
          <w:tcPr>
            <w:tcW w:w="8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557,828</w:t>
            </w:r>
          </w:p>
        </w:tc>
      </w:tr>
      <w:tr>
        <w:trPr>
          <w:trHeight w:val="23"/>
        </w:trPr>
        <w:tc>
          <w:tcPr>
            <w:tcW w:w="2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 stock units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2,697,537</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2,087,400</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2,489,307</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2,087,400</w:t>
            </w:r>
          </w:p>
        </w:tc>
      </w:tr>
      <w:tr>
        <w:trPr>
          <w:trHeight w:val="247"/>
        </w:trPr>
        <w:tc>
          <w:tcPr>
            <w:tcW w:w="2880" w:type="dxa"/>
            <w:vAlign w:val="bottom"/>
          </w:tcPr>
          <w:p>
            <w:pPr>
              <w:ind w:left="180"/>
              <w:spacing w:after="0"/>
              <w:rPr>
                <w:sz w:val="20"/>
                <w:szCs w:val="20"/>
                <w:color w:val="auto"/>
              </w:rPr>
            </w:pPr>
            <w:r>
              <w:rPr>
                <w:rFonts w:ascii="Arial" w:cs="Arial" w:eastAsia="Arial" w:hAnsi="Arial"/>
                <w:sz w:val="18"/>
                <w:szCs w:val="18"/>
                <w:color w:val="auto"/>
              </w:rPr>
              <w:t>Unvested Earn-Out Shares</w:t>
            </w:r>
          </w:p>
        </w:tc>
        <w:tc>
          <w:tcPr>
            <w:tcW w:w="1980" w:type="dxa"/>
            <w:vAlign w:val="bottom"/>
          </w:tcPr>
          <w:p>
            <w:pPr>
              <w:jc w:val="right"/>
              <w:spacing w:after="0"/>
              <w:rPr>
                <w:sz w:val="20"/>
                <w:szCs w:val="20"/>
                <w:color w:val="auto"/>
              </w:rPr>
            </w:pPr>
            <w:r>
              <w:rPr>
                <w:rFonts w:ascii="Arial" w:cs="Arial" w:eastAsia="Arial" w:hAnsi="Arial"/>
                <w:sz w:val="18"/>
                <w:szCs w:val="18"/>
                <w:color w:val="auto"/>
              </w:rPr>
              <w:t>1,093,750</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1,093,750</w:t>
            </w: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1,093,750</w:t>
            </w:r>
          </w:p>
        </w:tc>
        <w:tc>
          <w:tcPr>
            <w:tcW w:w="8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1,093,750</w:t>
            </w:r>
          </w:p>
        </w:tc>
      </w:tr>
      <w:tr>
        <w:trPr>
          <w:trHeight w:val="23"/>
        </w:trPr>
        <w:tc>
          <w:tcPr>
            <w:tcW w:w="28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shares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22,462,450</w:t>
            </w:r>
          </w:p>
        </w:tc>
        <w:tc>
          <w:tcPr>
            <w:tcW w:w="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18,826,353</w:t>
            </w:r>
          </w:p>
        </w:tc>
        <w:tc>
          <w:tcPr>
            <w:tcW w:w="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21,791,720</w:t>
            </w:r>
          </w:p>
        </w:tc>
        <w:tc>
          <w:tcPr>
            <w:tcW w:w="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18,826,353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September 28, 2025, 1,250,425 shares of Common Stock remained available for future issuance under the 2021 Plan.</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color w:val="auto"/>
              </w:rPr>
              <w:t>For the thirteen weeks ended</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color w:val="auto"/>
              </w:rPr>
              <w:t>For the thirty-nine weeks ended</w:t>
            </w:r>
          </w:p>
        </w:tc>
      </w:tr>
      <w:tr>
        <w:trPr>
          <w:trHeight w:val="237"/>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780" w:type="dxa"/>
            <w:vAlign w:val="bottom"/>
          </w:tcPr>
          <w:p>
            <w:pPr>
              <w:jc w:val="right"/>
              <w:ind w:right="172"/>
              <w:spacing w:after="0"/>
              <w:rPr>
                <w:sz w:val="20"/>
                <w:szCs w:val="20"/>
                <w:color w:val="auto"/>
              </w:rPr>
            </w:pPr>
            <w:r>
              <w:rPr>
                <w:rFonts w:ascii="Arial" w:cs="Arial" w:eastAsia="Arial" w:hAnsi="Arial"/>
                <w:sz w:val="16"/>
                <w:szCs w:val="16"/>
                <w:color w:val="auto"/>
              </w:rPr>
              <w:t>September 29, 2024</w:t>
            </w: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r>
      <w:tr>
        <w:trPr>
          <w:trHeight w:val="247"/>
        </w:trPr>
        <w:tc>
          <w:tcPr>
            <w:tcW w:w="2860" w:type="dxa"/>
            <w:vAlign w:val="bottom"/>
          </w:tcPr>
          <w:p>
            <w:pPr>
              <w:ind w:left="20"/>
              <w:spacing w:after="0"/>
              <w:rPr>
                <w:sz w:val="20"/>
                <w:szCs w:val="20"/>
                <w:color w:val="auto"/>
              </w:rPr>
            </w:pPr>
            <w:r>
              <w:rPr>
                <w:rFonts w:ascii="Arial" w:cs="Arial" w:eastAsia="Arial" w:hAnsi="Arial"/>
                <w:sz w:val="18"/>
                <w:szCs w:val="18"/>
                <w:color w:val="auto"/>
              </w:rPr>
              <w:t>Performance stock units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7"/>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
        </w:trPr>
        <w:tc>
          <w:tcPr>
            <w:tcW w:w="2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 (loss).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or board services, as applicable.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September 28, 2025, there was $12,081 of unrecognized compensation cost related to unvested Restricted Stock Awards that is expected to be recognized over a remaining weighted average period of 2.0 years.</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weighted-average grant-date fair value of Restricted Stock Awards granted during the 13-week periods ended September 28, 2025 and September 29, 2024, was $2.89 and $3.83, respectively. The fair value of Restricted Stock Awards vested and converted to shares of Common Stock during the 39-week period ended September 28, 2025 and September 29, 2024, was $2,444 and $5,190,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39-week period ended September 28, 2025:</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p>
        </w:tc>
        <w:tc>
          <w:tcPr>
            <w:tcW w:w="3200" w:type="dxa"/>
            <w:vAlign w:val="bottom"/>
            <w:gridSpan w:val="4"/>
          </w:tcPr>
          <w:p>
            <w:pPr>
              <w:jc w:val="right"/>
              <w:ind w:right="130"/>
              <w:spacing w:after="0"/>
              <w:rPr>
                <w:sz w:val="20"/>
                <w:szCs w:val="20"/>
                <w:color w:val="auto"/>
              </w:rPr>
            </w:pPr>
            <w:r>
              <w:rPr>
                <w:rFonts w:ascii="Arial" w:cs="Arial" w:eastAsia="Arial" w:hAnsi="Arial"/>
                <w:sz w:val="18"/>
                <w:szCs w:val="18"/>
                <w:color w:val="auto"/>
              </w:rPr>
              <w:t>Unvested Restricted Stock Awards</w:t>
            </w:r>
          </w:p>
        </w:tc>
      </w:tr>
      <w:tr>
        <w:trPr>
          <w:trHeight w:val="23"/>
        </w:trPr>
        <w:tc>
          <w:tcPr>
            <w:tcW w:w="7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8"/>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Weighted Average</w:t>
            </w:r>
          </w:p>
        </w:tc>
      </w:tr>
      <w:tr>
        <w:trPr>
          <w:trHeight w:val="216"/>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9"/>
              </w:rPr>
              <w:t>Grant Date Fair</w:t>
            </w:r>
          </w:p>
        </w:tc>
      </w:tr>
      <w:tr>
        <w:trPr>
          <w:trHeight w:val="239"/>
        </w:trPr>
        <w:tc>
          <w:tcPr>
            <w:tcW w:w="730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Number of RSAs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9"/>
              </w:rPr>
              <w:t>Value</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December 31,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4,195,161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4,342,344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
        </w:trPr>
        <w:tc>
          <w:tcPr>
            <w:tcW w:w="7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(1,051,186)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(418,252)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September 28,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7,068,067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21, 2025, the Company granted 812,256 PSUs under the 2021 Plan to key employees with a grant date fair value of $2.53. On March 31, 2025 the Company granted 10,943 PSUs with a grant date fair value of $2.57; and on April 21, 2025, the Company granted 27,134 PSUs with a grant date fair value of $1.98.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 to 150% of the initial target awards.</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August 12, 2025, the Company granted 433,034 PSUs to its President and Chief Executive Officer, which are potentially issuable in the future based on a combination of achievement of a certain stock price metric and service requirements through the expiration date of August 12, 2032. The fair value of $3.26 for this award is determined using a Monte Carlo simulation as of the date of the grant and share-based compensation expense will not be adjusted should the target awards vary from actual awards. The Company's estimates of fair value may be impacted by certain variables including, but not limited to, stock price volatility, the risk-free interest rate, expected dividend yields, and the Company's performance.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September 28, 2025, all stock options vested and there was no additional compensation cost to recognize.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39-week period ended September 28, 2025:</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Weighted Average</w:t>
            </w:r>
          </w:p>
        </w:tc>
      </w:t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Weighted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Remaining</w:t>
            </w:r>
          </w:p>
        </w:tc>
      </w:tr>
      <w:tr>
        <w:trPr>
          <w:trHeight w:val="216"/>
        </w:trPr>
        <w:tc>
          <w:tcPr>
            <w:tcW w:w="566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Contractual</w:t>
            </w:r>
          </w:p>
        </w:tc>
      </w:tr>
      <w:tr>
        <w:trPr>
          <w:trHeight w:val="239"/>
        </w:trPr>
        <w:tc>
          <w:tcPr>
            <w:tcW w:w="56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Exercise Price</w:t>
            </w: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Term (years)</w:t>
            </w:r>
          </w:p>
        </w:tc>
      </w:tr>
      <w:tr>
        <w:trPr>
          <w:trHeight w:val="23"/>
        </w:trPr>
        <w:tc>
          <w:tcPr>
            <w:tcW w:w="5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on December 31,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7"/>
        </w:trPr>
        <w:tc>
          <w:tcPr>
            <w:tcW w:w="5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
        </w:trPr>
        <w:tc>
          <w:tcPr>
            <w:tcW w:w="5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64"/>
        </w:trPr>
        <w:tc>
          <w:tcPr>
            <w:tcW w:w="5660" w:type="dxa"/>
            <w:vAlign w:val="bottom"/>
          </w:tcPr>
          <w:p>
            <w:pPr>
              <w:ind w:left="20"/>
              <w:spacing w:after="0"/>
              <w:rPr>
                <w:sz w:val="20"/>
                <w:szCs w:val="20"/>
                <w:color w:val="auto"/>
              </w:rPr>
            </w:pPr>
            <w:r>
              <w:rPr>
                <w:rFonts w:ascii="Arial" w:cs="Arial" w:eastAsia="Arial" w:hAnsi="Arial"/>
                <w:sz w:val="18"/>
                <w:szCs w:val="18"/>
                <w:color w:val="auto"/>
              </w:rPr>
              <w:t>Options outstanding on September 28, 2025</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4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on September 28, 2025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
        </w:trPr>
        <w:tc>
          <w:tcPr>
            <w:tcW w:w="56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25"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10 years, inclusive of renewal options that the Company is reasonably certain to exercise.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840" w:type="dxa"/>
            <w:vAlign w:val="bottom"/>
            <w:tcBorders>
              <w:bottom w:val="single" w:sz="8" w:color="auto"/>
            </w:tcBorders>
          </w:tcPr>
          <w:p>
            <w:pPr>
              <w:spacing w:after="0"/>
              <w:rPr>
                <w:sz w:val="19"/>
                <w:szCs w:val="19"/>
                <w:color w:val="auto"/>
              </w:rPr>
            </w:pPr>
          </w:p>
        </w:tc>
      </w:tr>
      <w:tr>
        <w:trPr>
          <w:trHeight w:val="237"/>
        </w:trPr>
        <w:tc>
          <w:tcPr>
            <w:tcW w:w="6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September 28, 2025</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color w:val="auto"/>
              </w:rPr>
              <w:t>December 31, 2024</w:t>
            </w:r>
          </w:p>
        </w:tc>
      </w:tr>
      <w:tr>
        <w:trPr>
          <w:trHeight w:val="25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47"/>
        </w:trPr>
        <w:tc>
          <w:tcPr>
            <w:tcW w:w="6300" w:type="dxa"/>
            <w:vAlign w:val="bottom"/>
          </w:tcPr>
          <w:p>
            <w:pPr>
              <w:ind w:left="180"/>
              <w:spacing w:after="0"/>
              <w:rPr>
                <w:sz w:val="20"/>
                <w:szCs w:val="20"/>
                <w:color w:val="auto"/>
              </w:rPr>
            </w:pPr>
            <w:r>
              <w:rPr>
                <w:rFonts w:ascii="Arial" w:cs="Arial" w:eastAsia="Arial" w:hAnsi="Arial"/>
                <w:sz w:val="18"/>
                <w:szCs w:val="18"/>
                <w:color w:val="auto"/>
              </w:rPr>
              <w:t>Operating right of 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32,635</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52"/>
              <w:spacing w:after="0"/>
              <w:rPr>
                <w:sz w:val="20"/>
                <w:szCs w:val="20"/>
                <w:color w:val="auto"/>
              </w:rPr>
            </w:pPr>
            <w:r>
              <w:rPr>
                <w:rFonts w:ascii="Arial" w:cs="Arial" w:eastAsia="Arial" w:hAnsi="Arial"/>
                <w:sz w:val="18"/>
                <w:szCs w:val="18"/>
                <w:color w:val="auto"/>
              </w:rPr>
              <w:t>35,974</w:t>
            </w:r>
          </w:p>
        </w:tc>
      </w:tr>
      <w:tr>
        <w:trPr>
          <w:trHeight w:val="23"/>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47"/>
        </w:trPr>
        <w:tc>
          <w:tcPr>
            <w:tcW w:w="6300" w:type="dxa"/>
            <w:vAlign w:val="bottom"/>
          </w:tcPr>
          <w:p>
            <w:pPr>
              <w:ind w:left="180"/>
              <w:spacing w:after="0"/>
              <w:rPr>
                <w:sz w:val="20"/>
                <w:szCs w:val="20"/>
                <w:color w:val="auto"/>
              </w:rPr>
            </w:pPr>
            <w:r>
              <w:rPr>
                <w:rFonts w:ascii="Arial" w:cs="Arial" w:eastAsia="Arial" w:hAnsi="Arial"/>
                <w:sz w:val="18"/>
                <w:szCs w:val="18"/>
                <w:color w:val="auto"/>
              </w:rPr>
              <w:t>Current operating lease liabilities - Accrued liabilities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5,579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52"/>
              <w:spacing w:after="0"/>
              <w:rPr>
                <w:sz w:val="20"/>
                <w:szCs w:val="20"/>
                <w:color w:val="auto"/>
              </w:rPr>
            </w:pPr>
            <w:r>
              <w:rPr>
                <w:rFonts w:ascii="Arial" w:cs="Arial" w:eastAsia="Arial" w:hAnsi="Arial"/>
                <w:sz w:val="18"/>
                <w:szCs w:val="18"/>
                <w:color w:val="auto"/>
              </w:rPr>
              <w:t>5,324</w:t>
            </w:r>
          </w:p>
        </w:tc>
      </w:tr>
      <w:tr>
        <w:trPr>
          <w:trHeight w:val="23"/>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liabilities - 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31,876</w:t>
            </w:r>
          </w:p>
        </w:tc>
      </w:tr>
      <w:tr>
        <w:trPr>
          <w:trHeight w:val="268"/>
        </w:trPr>
        <w:tc>
          <w:tcPr>
            <w:tcW w:w="63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33,738</w:t>
            </w:r>
          </w:p>
        </w:tc>
        <w:tc>
          <w:tcPr>
            <w:tcW w:w="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66940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9405" cy="18859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Lease term and discount rate</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980" w:type="dxa"/>
            <w:vAlign w:val="bottom"/>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3160" w:type="dxa"/>
            <w:vAlign w:val="bottom"/>
          </w:tcPr>
          <w:p>
            <w:pPr>
              <w:jc w:val="right"/>
              <w:ind w:right="710"/>
              <w:spacing w:after="0"/>
              <w:rPr>
                <w:sz w:val="20"/>
                <w:szCs w:val="20"/>
                <w:color w:val="auto"/>
              </w:rPr>
            </w:pPr>
            <w:r>
              <w:rPr>
                <w:rFonts w:ascii="Arial" w:cs="Arial" w:eastAsia="Arial" w:hAnsi="Arial"/>
                <w:sz w:val="18"/>
                <w:szCs w:val="18"/>
                <w:color w:val="auto"/>
              </w:rPr>
              <w:t>5.9</w:t>
            </w: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
        </w:trPr>
        <w:tc>
          <w:tcPr>
            <w:tcW w:w="59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31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6.50%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
        </w:trPr>
        <w:tc>
          <w:tcPr>
            <w:tcW w:w="59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color w:val="auto"/>
              </w:rPr>
              <w:t>For the thirteen weeks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For the thirty-nine weeks ended</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September 29, 2024</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lease expense:</w:t>
            </w:r>
          </w:p>
        </w:tc>
        <w:tc>
          <w:tcPr>
            <w:tcW w:w="1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80" w:type="dxa"/>
            <w:vAlign w:val="bottom"/>
          </w:tcPr>
          <w:p>
            <w:pPr>
              <w:ind w:left="180"/>
              <w:spacing w:after="0"/>
              <w:rPr>
                <w:sz w:val="20"/>
                <w:szCs w:val="20"/>
                <w:color w:val="auto"/>
              </w:rPr>
            </w:pPr>
            <w:r>
              <w:rPr>
                <w:rFonts w:ascii="Arial" w:cs="Arial" w:eastAsia="Arial" w:hAnsi="Arial"/>
                <w:sz w:val="16"/>
                <w:szCs w:val="16"/>
                <w:color w:val="auto"/>
              </w:rPr>
              <w:t>Operating lease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5,897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5,346</w:t>
            </w:r>
          </w:p>
        </w:tc>
        <w:tc>
          <w:tcPr>
            <w:tcW w:w="0" w:type="dxa"/>
            <w:vAlign w:val="bottom"/>
          </w:tcPr>
          <w:p>
            <w:pPr>
              <w:spacing w:after="0"/>
              <w:rPr>
                <w:sz w:val="1"/>
                <w:szCs w:val="1"/>
                <w:color w:val="auto"/>
              </w:rPr>
            </w:pPr>
          </w:p>
        </w:tc>
      </w:tr>
      <w:tr>
        <w:trPr>
          <w:trHeight w:val="251"/>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Lease Expense</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lease expense</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6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related to leases: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7071995"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1995" cy="402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80" w:right="1280"/>
        <w:spacing w:after="0" w:line="256" w:lineRule="auto"/>
        <w:rPr>
          <w:sz w:val="20"/>
          <w:szCs w:val="20"/>
          <w:color w:val="auto"/>
        </w:rPr>
      </w:pPr>
      <w:r>
        <w:rPr>
          <w:rFonts w:ascii="Arial" w:cs="Arial" w:eastAsia="Arial" w:hAnsi="Arial"/>
          <w:sz w:val="16"/>
          <w:szCs w:val="16"/>
          <w:color w:val="auto"/>
        </w:rPr>
        <w:t>Cash paid for amounts included in measurement of operating lease</w:t>
      </w:r>
    </w:p>
    <w:p>
      <w:pPr>
        <w:spacing w:after="0" w:line="1" w:lineRule="exact"/>
        <w:rPr>
          <w:sz w:val="20"/>
          <w:szCs w:val="20"/>
          <w:color w:val="auto"/>
        </w:rPr>
      </w:pPr>
    </w:p>
    <w:p>
      <w:pPr>
        <w:ind w:left="80"/>
        <w:spacing w:after="0"/>
        <w:tabs>
          <w:tab w:leader="none" w:pos="3020" w:val="left"/>
        </w:tabs>
        <w:rPr>
          <w:sz w:val="20"/>
          <w:szCs w:val="20"/>
          <w:color w:val="auto"/>
        </w:rPr>
      </w:pPr>
      <w:r>
        <w:rPr>
          <w:rFonts w:ascii="Arial" w:cs="Arial" w:eastAsia="Arial" w:hAnsi="Arial"/>
          <w:sz w:val="16"/>
          <w:szCs w:val="16"/>
          <w:color w:val="auto"/>
        </w:rPr>
        <w:t>liabilities</w:t>
      </w:r>
      <w:r>
        <w:rPr>
          <w:sz w:val="20"/>
          <w:szCs w:val="20"/>
          <w:color w:val="auto"/>
        </w:rPr>
        <w:tab/>
      </w:r>
      <w:r>
        <w:rPr>
          <w:rFonts w:ascii="Arial" w:cs="Arial" w:eastAsia="Arial" w:hAnsi="Arial"/>
          <w:sz w:val="16"/>
          <w:szCs w:val="16"/>
          <w:color w:val="auto"/>
        </w:rPr>
        <w:t>$</w:t>
      </w:r>
    </w:p>
    <w:p>
      <w:pPr>
        <w:spacing w:after="0" w:line="57" w:lineRule="exact"/>
        <w:rPr>
          <w:sz w:val="20"/>
          <w:szCs w:val="20"/>
          <w:color w:val="auto"/>
        </w:rPr>
      </w:pPr>
    </w:p>
    <w:p>
      <w:pPr>
        <w:ind w:left="80" w:right="1300"/>
        <w:spacing w:after="0" w:line="266" w:lineRule="auto"/>
        <w:rPr>
          <w:sz w:val="20"/>
          <w:szCs w:val="20"/>
          <w:color w:val="auto"/>
        </w:rPr>
      </w:pPr>
      <w:r>
        <w:rPr>
          <w:rFonts w:ascii="Arial" w:cs="Arial" w:eastAsia="Arial" w:hAnsi="Arial"/>
          <w:sz w:val="16"/>
          <w:szCs w:val="16"/>
          <w:color w:val="auto"/>
        </w:rPr>
        <w:t>Right-of-use assets obtained in exchange for new operating lease liabilities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Decapitalization of right-of-use assets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upon lease termination or modification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1,967</w:t>
            </w:r>
          </w:p>
        </w:tc>
        <w:tc>
          <w:tcPr>
            <w:tcW w:w="8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1,613</w:t>
            </w:r>
          </w:p>
        </w:tc>
        <w:tc>
          <w:tcPr>
            <w:tcW w:w="8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5,748</w:t>
            </w:r>
          </w:p>
        </w:tc>
        <w:tc>
          <w:tcPr>
            <w:tcW w:w="8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5,280</w:t>
            </w:r>
          </w:p>
        </w:tc>
      </w:tr>
      <w:tr>
        <w:trPr>
          <w:trHeight w:val="635"/>
        </w:trPr>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2,582</w:t>
            </w:r>
          </w:p>
        </w:tc>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1,125</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6,958</w:t>
            </w:r>
          </w:p>
        </w:tc>
      </w:tr>
      <w:tr>
        <w:trPr>
          <w:trHeight w:val="445"/>
        </w:trPr>
        <w:tc>
          <w:tcPr>
            <w:tcW w:w="50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88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447</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-272415</wp:posOffset>
            </wp:positionV>
            <wp:extent cx="7071995"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71995"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121" w:right="339" w:bottom="1440" w:gutter="0" w:footer="0" w:header="0"/>
          <w:type w:val="continuous"/>
        </w:sectPr>
      </w:pP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maturities of the Company's operating lease liabilities as of September 28,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(excluding the thirty-nine weeks ended September 28, 2025)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3"/>
        </w:trPr>
        <w:tc>
          <w:tcPr>
            <w:tcW w:w="8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2028</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6,885</w:t>
            </w:r>
          </w:p>
        </w:tc>
      </w:tr>
      <w:tr>
        <w:trPr>
          <w:trHeight w:val="23"/>
        </w:trPr>
        <w:tc>
          <w:tcPr>
            <w:tcW w:w="8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11,722</w:t>
            </w:r>
          </w:p>
        </w:tc>
      </w:tr>
      <w:tr>
        <w:trPr>
          <w:trHeight w:val="23"/>
        </w:trPr>
        <w:tc>
          <w:tcPr>
            <w:tcW w:w="8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40,799</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(7,061)</w:t>
            </w:r>
          </w:p>
        </w:tc>
      </w:tr>
      <w:tr>
        <w:trPr>
          <w:trHeight w:val="23"/>
        </w:trPr>
        <w:tc>
          <w:tcPr>
            <w:tcW w:w="8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7540" w:hanging="332"/>
        <w:spacing w:after="0" w:line="500" w:lineRule="auto"/>
        <w:tabs>
          <w:tab w:leader="none" w:pos="35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84"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76"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the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 On January 7, 2025, the lead plaintiff filed a motion for leave to file a supplemented amended Complaint, which the court granted on March 20, 2025. The Company filed a motion to dismiss the supplemented amended Complaint on April 3, 2025, and briefing on the motion to dismiss was completed on May 8, 2025. On August 29, 2025, the court denied the motion to dismiss. The defendants’ answer to the operative Complaint is currently due on November 12, 2025.</w:t>
      </w:r>
    </w:p>
    <w:p>
      <w:pPr>
        <w:spacing w:after="0" w:line="185"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4"/>
          </w:tcPr>
          <w:p>
            <w:pPr>
              <w:ind w:left="780"/>
              <w:spacing w:after="0"/>
              <w:rPr>
                <w:sz w:val="20"/>
                <w:szCs w:val="20"/>
                <w:color w:val="auto"/>
              </w:rPr>
            </w:pPr>
            <w:r>
              <w:rPr>
                <w:rFonts w:ascii="Arial" w:cs="Arial" w:eastAsia="Arial" w:hAnsi="Arial"/>
                <w:sz w:val="16"/>
                <w:szCs w:val="16"/>
                <w:color w:val="auto"/>
              </w:rPr>
              <w:t>For the thirteen weeks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color w:val="auto"/>
              </w:rPr>
              <w:t>For the thirty-nine weeks ended</w:t>
            </w:r>
          </w:p>
        </w:tc>
      </w:tr>
      <w:tr>
        <w:trPr>
          <w:trHeight w:val="236"/>
        </w:trPr>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auto"/>
              </w:rPr>
              <w:t>September 29, 2024</w:t>
            </w:r>
          </w:p>
        </w:tc>
      </w:tr>
      <w:tr>
        <w:trPr>
          <w:trHeight w:val="25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center"/>
              <w:ind w:left="1093"/>
              <w:spacing w:after="0"/>
              <w:rPr>
                <w:sz w:val="20"/>
                <w:szCs w:val="20"/>
                <w:color w:val="auto"/>
              </w:rPr>
            </w:pPr>
            <w:r>
              <w:rPr>
                <w:rFonts w:ascii="Arial" w:cs="Arial" w:eastAsia="Arial" w:hAnsi="Arial"/>
                <w:sz w:val="18"/>
                <w:szCs w:val="18"/>
                <w:color w:val="auto"/>
              </w:rPr>
              <w:t>2,534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center"/>
              <w:ind w:left="1092"/>
              <w:spacing w:after="0"/>
              <w:rPr>
                <w:sz w:val="20"/>
                <w:szCs w:val="20"/>
                <w:color w:val="auto"/>
              </w:rPr>
            </w:pPr>
            <w:r>
              <w:rPr>
                <w:rFonts w:ascii="Arial" w:cs="Arial" w:eastAsia="Arial" w:hAnsi="Arial"/>
                <w:sz w:val="18"/>
                <w:szCs w:val="18"/>
                <w:color w:val="auto"/>
              </w:rPr>
              <w:t>6,046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center"/>
              <w:ind w:left="1093"/>
              <w:spacing w:after="0"/>
              <w:rPr>
                <w:sz w:val="20"/>
                <w:szCs w:val="20"/>
                <w:color w:val="auto"/>
              </w:rPr>
            </w:pPr>
            <w:r>
              <w:rPr>
                <w:rFonts w:ascii="Arial" w:cs="Arial" w:eastAsia="Arial" w:hAnsi="Arial"/>
                <w:sz w:val="18"/>
                <w:szCs w:val="18"/>
                <w:color w:val="auto"/>
                <w:w w:val="97"/>
              </w:rPr>
              <w:t>2,332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center"/>
              <w:ind w:left="1092"/>
              <w:spacing w:after="0"/>
              <w:rPr>
                <w:sz w:val="20"/>
                <w:szCs w:val="20"/>
                <w:color w:val="auto"/>
              </w:rPr>
            </w:pPr>
            <w:r>
              <w:rPr>
                <w:rFonts w:ascii="Arial" w:cs="Arial" w:eastAsia="Arial" w:hAnsi="Arial"/>
                <w:sz w:val="18"/>
                <w:szCs w:val="18"/>
                <w:color w:val="auto"/>
                <w:w w:val="97"/>
              </w:rPr>
              <w:t>3,325</w:t>
            </w:r>
          </w:p>
        </w:tc>
      </w:tr>
      <w:tr>
        <w:trPr>
          <w:trHeight w:val="224"/>
        </w:trPr>
        <w:tc>
          <w:tcPr>
            <w:tcW w:w="2800" w:type="dxa"/>
            <w:vAlign w:val="bottom"/>
          </w:tcPr>
          <w:p>
            <w:pPr>
              <w:ind w:left="20"/>
              <w:spacing w:after="0"/>
              <w:rPr>
                <w:sz w:val="20"/>
                <w:szCs w:val="20"/>
                <w:color w:val="auto"/>
              </w:rPr>
            </w:pPr>
            <w:r>
              <w:rPr>
                <w:rFonts w:ascii="Arial" w:cs="Arial" w:eastAsia="Arial" w:hAnsi="Arial"/>
                <w:sz w:val="18"/>
                <w:szCs w:val="18"/>
                <w:color w:val="auto"/>
              </w:rPr>
              <w:t>Accrued for current year warranty</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9"/>
        </w:trPr>
        <w:tc>
          <w:tcPr>
            <w:tcW w:w="2800" w:type="dxa"/>
            <w:vAlign w:val="bottom"/>
          </w:tcPr>
          <w:p>
            <w:pPr>
              <w:ind w:left="20"/>
              <w:spacing w:after="0"/>
              <w:rPr>
                <w:sz w:val="20"/>
                <w:szCs w:val="20"/>
                <w:color w:val="auto"/>
              </w:rPr>
            </w:pPr>
            <w:r>
              <w:rPr>
                <w:rFonts w:ascii="Arial" w:cs="Arial" w:eastAsia="Arial" w:hAnsi="Arial"/>
                <w:sz w:val="18"/>
                <w:szCs w:val="18"/>
                <w:color w:val="auto"/>
              </w:rPr>
              <w:t>claims</w:t>
            </w:r>
          </w:p>
        </w:tc>
        <w:tc>
          <w:tcPr>
            <w:tcW w:w="180" w:type="dxa"/>
            <w:vAlign w:val="bottom"/>
          </w:tcPr>
          <w:p>
            <w:pPr>
              <w:spacing w:after="0"/>
              <w:rPr>
                <w:sz w:val="20"/>
                <w:szCs w:val="20"/>
                <w:color w:val="auto"/>
              </w:rPr>
            </w:pPr>
          </w:p>
        </w:tc>
        <w:tc>
          <w:tcPr>
            <w:tcW w:w="1800" w:type="dxa"/>
            <w:vAlign w:val="bottom"/>
          </w:tcPr>
          <w:p>
            <w:pPr>
              <w:jc w:val="center"/>
              <w:ind w:left="1093"/>
              <w:spacing w:after="0"/>
              <w:rPr>
                <w:sz w:val="20"/>
                <w:szCs w:val="20"/>
                <w:color w:val="auto"/>
              </w:rPr>
            </w:pPr>
            <w:r>
              <w:rPr>
                <w:rFonts w:ascii="Arial" w:cs="Arial" w:eastAsia="Arial" w:hAnsi="Arial"/>
                <w:sz w:val="18"/>
                <w:szCs w:val="18"/>
                <w:color w:val="auto"/>
              </w:rPr>
              <w:t>1,620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center"/>
              <w:ind w:left="1092"/>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center"/>
              <w:ind w:left="1093"/>
              <w:spacing w:after="0"/>
              <w:rPr>
                <w:sz w:val="20"/>
                <w:szCs w:val="20"/>
                <w:color w:val="auto"/>
              </w:rPr>
            </w:pPr>
            <w:r>
              <w:rPr>
                <w:rFonts w:ascii="Arial" w:cs="Arial" w:eastAsia="Arial" w:hAnsi="Arial"/>
                <w:sz w:val="18"/>
                <w:szCs w:val="18"/>
                <w:color w:val="auto"/>
                <w:w w:val="97"/>
              </w:rPr>
              <w:t>5,780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center"/>
              <w:ind w:left="1092"/>
              <w:spacing w:after="0"/>
              <w:rPr>
                <w:sz w:val="20"/>
                <w:szCs w:val="20"/>
                <w:color w:val="auto"/>
              </w:rPr>
            </w:pPr>
            <w:r>
              <w:rPr>
                <w:rFonts w:ascii="Arial" w:cs="Arial" w:eastAsia="Arial" w:hAnsi="Arial"/>
                <w:sz w:val="18"/>
                <w:szCs w:val="18"/>
                <w:color w:val="auto"/>
                <w:w w:val="97"/>
              </w:rPr>
              <w:t>9,289</w:t>
            </w:r>
          </w:p>
        </w:tc>
      </w:tr>
      <w:tr>
        <w:trPr>
          <w:trHeight w:val="2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of warranty claims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ind w:left="1073"/>
              <w:spacing w:after="0"/>
              <w:rPr>
                <w:sz w:val="20"/>
                <w:szCs w:val="20"/>
                <w:color w:val="auto"/>
              </w:rPr>
            </w:pPr>
            <w:r>
              <w:rPr>
                <w:rFonts w:ascii="Arial" w:cs="Arial" w:eastAsia="Arial" w:hAnsi="Arial"/>
                <w:sz w:val="18"/>
                <w:szCs w:val="18"/>
                <w:color w:val="auto"/>
                <w:w w:val="98"/>
              </w:rPr>
              <w:t>(1,738)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ind w:left="1072"/>
              <w:spacing w:after="0"/>
              <w:rPr>
                <w:sz w:val="20"/>
                <w:szCs w:val="20"/>
                <w:color w:val="auto"/>
              </w:rPr>
            </w:pPr>
            <w:r>
              <w:rPr>
                <w:rFonts w:ascii="Arial" w:cs="Arial" w:eastAsia="Arial" w:hAnsi="Arial"/>
                <w:sz w:val="18"/>
                <w:szCs w:val="18"/>
                <w:color w:val="auto"/>
                <w:w w:val="98"/>
              </w:rPr>
              <w:t>(2,400)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ind w:left="1073"/>
              <w:spacing w:after="0"/>
              <w:rPr>
                <w:sz w:val="20"/>
                <w:szCs w:val="20"/>
                <w:color w:val="auto"/>
              </w:rPr>
            </w:pPr>
            <w:r>
              <w:rPr>
                <w:rFonts w:ascii="Arial" w:cs="Arial" w:eastAsia="Arial" w:hAnsi="Arial"/>
                <w:sz w:val="18"/>
                <w:szCs w:val="18"/>
                <w:color w:val="auto"/>
              </w:rPr>
              <w:t>(5,696)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ind w:left="1072"/>
              <w:spacing w:after="0"/>
              <w:rPr>
                <w:sz w:val="20"/>
                <w:szCs w:val="20"/>
                <w:color w:val="auto"/>
              </w:rPr>
            </w:pPr>
            <w:r>
              <w:rPr>
                <w:rFonts w:ascii="Arial" w:cs="Arial" w:eastAsia="Arial" w:hAnsi="Arial"/>
                <w:sz w:val="18"/>
                <w:szCs w:val="18"/>
                <w:color w:val="auto"/>
              </w:rPr>
              <w:t>(6,426)</w:t>
            </w:r>
          </w:p>
        </w:tc>
      </w:tr>
      <w:tr>
        <w:trPr>
          <w:trHeight w:val="264"/>
        </w:trPr>
        <w:tc>
          <w:tcPr>
            <w:tcW w:w="28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center"/>
              <w:ind w:left="1093"/>
              <w:spacing w:after="0"/>
              <w:rPr>
                <w:sz w:val="20"/>
                <w:szCs w:val="20"/>
                <w:color w:val="auto"/>
              </w:rPr>
            </w:pPr>
            <w:r>
              <w:rPr>
                <w:rFonts w:ascii="Arial" w:cs="Arial" w:eastAsia="Arial" w:hAnsi="Arial"/>
                <w:sz w:val="18"/>
                <w:szCs w:val="18"/>
                <w:color w:val="auto"/>
              </w:rPr>
              <w:t>2,416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center"/>
              <w:ind w:left="1092"/>
              <w:spacing w:after="0"/>
              <w:rPr>
                <w:sz w:val="20"/>
                <w:szCs w:val="20"/>
                <w:color w:val="auto"/>
              </w:rPr>
            </w:pPr>
            <w:r>
              <w:rPr>
                <w:rFonts w:ascii="Arial" w:cs="Arial" w:eastAsia="Arial" w:hAnsi="Arial"/>
                <w:sz w:val="18"/>
                <w:szCs w:val="18"/>
                <w:color w:val="auto"/>
              </w:rPr>
              <w:t>6,188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center"/>
              <w:ind w:left="1093"/>
              <w:spacing w:after="0"/>
              <w:rPr>
                <w:sz w:val="20"/>
                <w:szCs w:val="20"/>
                <w:color w:val="auto"/>
              </w:rPr>
            </w:pPr>
            <w:r>
              <w:rPr>
                <w:rFonts w:ascii="Arial" w:cs="Arial" w:eastAsia="Arial" w:hAnsi="Arial"/>
                <w:sz w:val="18"/>
                <w:szCs w:val="18"/>
                <w:color w:val="auto"/>
                <w:w w:val="97"/>
              </w:rPr>
              <w:t>2,416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center"/>
              <w:ind w:left="1092"/>
              <w:spacing w:after="0"/>
              <w:rPr>
                <w:sz w:val="20"/>
                <w:szCs w:val="20"/>
                <w:color w:val="auto"/>
              </w:rPr>
            </w:pPr>
            <w:r>
              <w:rPr>
                <w:rFonts w:ascii="Arial" w:cs="Arial" w:eastAsia="Arial" w:hAnsi="Arial"/>
                <w:sz w:val="18"/>
                <w:szCs w:val="18"/>
                <w:color w:val="auto"/>
                <w:w w:val="97"/>
              </w:rPr>
              <w:t>6,188</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 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13-week periods ended September 28, 2025 and September 29, 2024, the Company made matching contributions under the savings plans totaling $607 and $39, respectively. During the 39-week periods ended September 28, 2025 and September 29, 2024, the Company made matching contributions under the savings plan totaling $1,698 and $1,168, respectively.</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13-week and 39-week periods ended September 28, 2025 and September 29,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color w:val="auto"/>
              </w:rPr>
              <w:t>For the thirteen weeks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For the thirty-nine weeks ended</w:t>
            </w:r>
          </w:p>
        </w:tc>
      </w:tr>
      <w:tr>
        <w:trPr>
          <w:trHeight w:val="236"/>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color w:val="auto"/>
              </w:rPr>
              <w:t>September 29, 2024</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180" w:type="dxa"/>
            <w:vAlign w:val="bottom"/>
          </w:tcPr>
          <w:p>
            <w:pPr>
              <w:spacing w:after="0"/>
              <w:rPr>
                <w:sz w:val="20"/>
                <w:szCs w:val="20"/>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September 29, 2024</w:t>
            </w:r>
          </w:p>
        </w:tc>
      </w:tr>
      <w:tr>
        <w:trPr>
          <w:trHeight w:val="24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458,078</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462,170</w:t>
            </w:r>
          </w:p>
        </w:tc>
      </w:tr>
      <w:tr>
        <w:trPr>
          <w:trHeight w:val="23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81,732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264,593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287,512</w:t>
            </w:r>
          </w:p>
        </w:tc>
      </w:tr>
      <w:tr>
        <w:trPr>
          <w:trHeight w:val="243"/>
        </w:trPr>
        <w:tc>
          <w:tcPr>
            <w:tcW w:w="3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174,658</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103,119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97,675</w:t>
            </w: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costs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10,307</w:t>
            </w: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Write-down of assets held for sale</w:t>
            </w:r>
          </w:p>
        </w:tc>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7,505</w:t>
            </w:r>
          </w:p>
        </w:tc>
      </w:tr>
      <w:tr>
        <w:trPr>
          <w:trHeight w:val="244"/>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37"/>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131,009</w:t>
            </w:r>
          </w:p>
        </w:tc>
      </w:tr>
      <w:tr>
        <w:trPr>
          <w:trHeight w:val="243"/>
        </w:trPr>
        <w:tc>
          <w:tcPr>
            <w:tcW w:w="3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43,649</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(7,570)</w:t>
            </w: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earn-out liability</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Loss on early extinguishment of debt</w:t>
            </w:r>
          </w:p>
        </w:tc>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44"/>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39,192</w:t>
            </w:r>
          </w:p>
        </w:tc>
      </w:tr>
      <w:tr>
        <w:trPr>
          <w:trHeight w:val="236"/>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non-operating expense</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29,422</w:t>
            </w:r>
          </w:p>
        </w:tc>
      </w:tr>
      <w:tr>
        <w:trPr>
          <w:trHeight w:val="243"/>
        </w:trPr>
        <w:tc>
          <w:tcPr>
            <w:tcW w:w="3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before income taxes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14,227</w:t>
            </w:r>
          </w:p>
        </w:tc>
      </w:tr>
      <w:tr>
        <w:trPr>
          <w:trHeight w:val="23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26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October 27, 2025, the Company repaid $10,000 on the outstanding principal on its first lien term loan at a discount to par.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15, 2025, the Company entered into a new Lease Agreement (the "Lease"). The Lease has an initial term of ten years and two months with two three year extensions. The Lease has a common date of annual lease fixed escalators of 3.5% commencing on February 1, 2026 with an initial monthly base rent of $103. The Company is in the process of finalizing and determining an updated incremental borrowing rate ("IBR") to apply at lease commencement. The Company is responsible for its pro rata share of other periodic payments under the lease, including real property taxes, utilities and insurance expenses. The lease is within our strategic optimization for warehousing, storing, manufacturing and distributing automotive parts.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Unless the context otherwise requires or indicates, references to “Holley,” “we,” “us,” “our” and “the Company” in this section are to the business and operations of Holley Inc. and its subsidiaries.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2024, as filed with the SEC on March 14, 2025, and in our subsequent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 and International Trade Policy on Our Operations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February 2025, the United States government has imposed new tariffs on imports from certain countries and regions, including China, Canada, Mexico and the European Union. In response, some foreign governments have implemented retaliatory measures. These developments have introduced new complexities to global supply chains; however, we believe Holley's business model and sourcing strategies have positioned us to manage these challenges effectively.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international exposure is currently primarily centered in China. Tariffs on Chinese imports have been a factor in our sourcing strategies for several years, and we have proactively developed and implemented plans to mitigate their impact. These initiatives include, but are not limited to, conducting a harmonized tariff code audit to ensure accurate classification and compliance, changing to supplier locations outside of China, reshoring products to North America and exploring direct shipping from suppliers to international customers to reduce tariff exposure on goods entering the United States. We continue to evaluate additional strategies to further minimize the impact of tariffs on our operations.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our production costs are primarily U.S.-based and we have a broad product portfolio with a strong concentration of manufacturing and sourcing in the United States, we believe our U.S. focus enables us to better manage and mitigate the impact of tariffs on pricing more effectively than competitors who are less diversified and more reliant on single-source imports from China. During the second quarter of 2025, we undertook the initiatives discussed above to mitigate the economic impact of tariffs on our product portfolio. We believe these initiatives combined with our pricing actions have allowed us to successfully manage the impact of the latest tariff decisions. However, if current tariff levels are sustained or increased, there is a risk that our profitability, cash flows and estimates inherent in our financial statements could be negatively affected.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international trade developments closely, including potential changes in tariff rates and the possibility of new exemptions or retaliatory actions, in order to analyze their impact on our business and identify possible actions to minimize adverse effects. The extent and duration of these tariffs, as well as their broader impact on macroeconomic conditions and our business, remain uncertain and will depend on a variety of factors outside of our control. Nevertheless, we remain committed to optimizing our operations, managing costs and leveraging our diversified supply chain to minimize the impact of tariffs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September 28, 2025, $542.6 million was outstanding under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September 28, 2025 Compared With 13-Week Period Ended September 29, 2024</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Holley’s results of operations for the 13-week periods ended September 28, 2025 and September 29, 2024 (dollars in thousands):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6"/>
                <w:szCs w:val="16"/>
                <w:color w:val="auto"/>
              </w:rPr>
              <w:t>For the thirteen weeks ended</w:t>
            </w: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37"/>
        </w:trPr>
        <w:tc>
          <w:tcPr>
            <w:tcW w:w="3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color w:val="auto"/>
              </w:rPr>
              <w:t>September 28, 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September 29, 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color w:val="auto"/>
              </w:rPr>
              <w:t>Change ($)</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color w:val="auto"/>
              </w:rPr>
              <w:t>Change (%)</w:t>
            </w: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81,732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3"/>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Write-down of assets held for sale</w:t>
            </w:r>
          </w:p>
        </w:tc>
        <w:tc>
          <w:tcPr>
            <w:tcW w:w="160" w:type="dxa"/>
            <w:vAlign w:val="bottom"/>
          </w:tcPr>
          <w:p>
            <w:pPr>
              <w:spacing w:after="0"/>
              <w:rPr>
                <w:sz w:val="21"/>
                <w:szCs w:val="21"/>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185.2%</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0"/>
        </w:trPr>
        <w:tc>
          <w:tcPr>
            <w:tcW w:w="34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(106.0%)</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(185.5) %</w:t>
            </w:r>
          </w:p>
        </w:tc>
      </w:tr>
      <w:tr>
        <w:trPr>
          <w:trHeight w:val="240"/>
        </w:trPr>
        <w:tc>
          <w:tcPr>
            <w:tcW w:w="34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(87.2) %</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34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(92.8) %</w:t>
            </w:r>
          </w:p>
        </w:tc>
      </w:tr>
      <w:tr>
        <w:trPr>
          <w:trHeight w:val="21"/>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13-week period ended September 28, 2025 increased $4.3 million, or 3.2%, to $138.4 million, as compared to $ 134.0 million for the 13-week period ended September 29, 2024. Improved price realization of approximately $4.4 million, offset partially by lower sales volume resulted in a decrease of $0.1 million compared to the prior year period. The flat volume was related to SKU rationalization and divested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presents our net sales for the 13-week periods ended September 28, 2025 and September 29, 2024, as well as sales related to divestitures and sales related to our strategic product rationalization project. The divestitures sales relate to divested businesses prior to the divestiture date. The divestitures include Detroit Speed Engineering, Gear FX, and Proforged. The strategic product rationalization sales related to a 2024 initiative to discontinued stock keeping units ("SKUs").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6"/>
                <w:szCs w:val="16"/>
                <w:color w:val="auto"/>
              </w:rPr>
              <w:t>For the thirteen weeks ended</w:t>
            </w:r>
          </w:p>
        </w:tc>
      </w:tr>
      <w:tr>
        <w:trPr>
          <w:trHeight w:val="237"/>
        </w:trPr>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color w:val="auto"/>
              </w:rPr>
              <w:t>September 29, 2024</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134,038</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3"/>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Product Rationalization</w:t>
            </w:r>
          </w:p>
        </w:tc>
        <w:tc>
          <w:tcPr>
            <w:tcW w:w="2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3"/>
        </w:trPr>
        <w:tc>
          <w:tcPr>
            <w:tcW w:w="7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goods sold for the 13-week period ended September 28, 2025 decreased $3.2 million, or 3.9%, to $78.5 million, as compared to $81.7 million for the 13-week period ended September 29, 2024. The decrease in cost of goods sold in the third quarter of 2025, a period in which product sales increased 3.2%, was due to improved operational initiatives across facility efficiencies, and improvements in quality through reduced warranty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13-week period ended September 28, 2025 increased $7.5 million, or 14.4%, to $ 59.8 million, as compared to $52.3 million for the 13-week period ended September 29, 2024. Gross margin for the 13-week period ended September 28, 2025 was 43.2% as compared to a gross margin of 39.0% for the 13-week period ended September 29, 2024. This improvement was through a combination of pricing flow through as well as operational initiatives across facility efficiencies, and improvements in quality through reduced warranty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costs for the 13-week period ended September 28, 2025 increased $ 3.4 million, or 11.1%, to $33.5 million, as compared to $ 30.1 million for the 13-week period ended September 29, 2024. Selling, general and administrative costs expressed as a percentage of sales increased to 24.2% for the 13-week period ended September 28, 2025 compared to 22.5% for the 13-week period ended September 29, 2024. The increase in selling, general and administrative costs was due to an increase in salaries for the Company in the third quarter of 2025, compared to the third quarter of 2024. The increase is due to reduced payroll expense in 2024 from the furlough activity, reduced 2024 incentive compensation, and increased investments in 2025 related to SOX, cyber security and tariff mitigation.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costs for the 13-week period ended September 28, 2025 slightly increased to $4.7 million as compared to $4.6 million for the 13-week period ended September 29, 2024, primarily due to the Company's realignment of employees' roles and responsibilities from selling, general and administrative to research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of intangible assets was $3.5 million for the 13-week period ended September 28, 2025 compared to $3.4 million for the 13-week period ended September 29,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for the 13-week period ended September 28, 2025 increased by $0.4 million to $1.4 million, as compared to $1.0 million for the 13-week period ended September 29, 2024, reflecting restructuring and integration activities associated with our implementation of resource allocation efforts in support of portfolio development optimization.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Write-Down of Assets Held-For-Sale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Write-down of assets held-for-sale for the 13-week period ended September 29, 2024 related to the sale of Detroit Speed Engineering, reflecting a $7.5 million loss after adjusting the assets from carrying value to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operating income for the 13-week period ended September 28, 2025 increased $10.3 million, or 185.2%, to $15.9 million, as compared to $5.6 million for the 13-week period ended September 29,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September 28, 2025 and September 29, 2024, we recognized a loss of $3.0 million and a gain of $1.0 million, respectively. The warrant liability reflects the fair value of the Warrants issued in connection with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September 28, 2025 and September 29, 2024, we recognized a loss of $1.1 million and a gain of $0.6 million, respectively. The earn-out liability reflects the fair value of the unvested Earn-Out Shares resulting from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13-week period ended September 28, 2025 decreased $3.8 million, or 25.0%, to $ 11.3 million, as compared to $15.0 million for the 13-week period ended September 29, 2024. The increase was primarily attributable to the unfavorable impact of the interest rate collar, which resulted in recognized interest expense of $1.0 million and interest income of $2.2 million related to the interest rate collar for 13-week periods ended September 28, 2025 and September 29, 2024, respectively. This increase was partially offset by lower interest expense on outstanding debt due to a decrease in our debt balance.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a result of factors described above, we recognized $ 0.5 million of income before income taxes and $7.8 million of loss before income taxes for the 13-week periods ended September 28, 2025 and September 29,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13-week period ended September 28, 2025 was $1.3 million, as compared to income tax benefit of $1.5 million for the 13-week period ended September 29, 2024. Our effective tax rate for the 13-week period ended September 28, 2025 was 274.1%. The difference between the effective tax rate for the 13-week period ended September 28, 2025 and the federal statutory rate in 2025 was due to permanent differences related to changes in fair value of the warrant and earn-out liabilities recognized during the period, state taxes, and the impact of foreign taxes in higher rate jurisdictions. The effective tax rate for the 13-week period ended September 29, 2024 was 19.1%. The difference between the effective tax rate for the 13-week period ended September 29, 2024 and the federal statutory rate in 2024 was due to permanent differences related to changes in fair value of the warrant and earn-out liabilities recognized during the period and the impact of foreign taxes in higher tax rate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factors described above, we recognized net loss of $0.8 million and net loss of $6.3 million for the 13-week periods ended September 28, 2025 and September 29, 2024, respectively. Additionally, we recognized total comprehensive loss of $0.4 million for the 13-week period ended September 28, 2025, as compared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comprehensive loss of $5.9 million for the 13-week period ended September 29, 2024. Comprehensive loss includes the effect of foreign currency translation adjustments.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September 28, 2025 Compared With 39-Week Period Ended September 29, 2024</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Holley’s results of operations for the 39-week periods ended September 28, 2025 and September 29, 2024 (dollars in thousands):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color w:val="auto"/>
              </w:rPr>
              <w:t>For the thirty-nine weeks ended</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37"/>
        </w:trPr>
        <w:tc>
          <w:tcPr>
            <w:tcW w:w="3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color w:val="auto"/>
              </w:rPr>
              <w:t>September 28, 2025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September 29, 2024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color w:val="auto"/>
              </w:rPr>
              <w:t>Change ($)</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color w:val="auto"/>
              </w:rPr>
              <w:t>Change (%)</w:t>
            </w: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264,593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287,512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3"/>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103,119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97,675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Write-down of assets held-for-sale</w:t>
            </w:r>
          </w:p>
        </w:tc>
        <w:tc>
          <w:tcPr>
            <w:tcW w:w="16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478.4 %</w:t>
            </w:r>
          </w:p>
        </w:tc>
      </w:tr>
      <w:tr>
        <w:trPr>
          <w:trHeight w:val="241"/>
        </w:trPr>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62,724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43,649</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40,341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39,192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3"/>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(1927.5)%</w:t>
            </w:r>
          </w:p>
        </w:tc>
      </w:tr>
      <w:tr>
        <w:trPr>
          <w:trHeight w:val="23"/>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7"/>
        </w:trPr>
        <w:tc>
          <w:tcPr>
            <w:tcW w:w="34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447.5%</w:t>
            </w:r>
          </w:p>
        </w:tc>
      </w:tr>
      <w:tr>
        <w:trPr>
          <w:trHeight w:val="23"/>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39-week period ended September 28, 2025 decreased $4.1 million, or 0.9%, to $458.1 million, as compared to $462.2 million for the 39-week period ended September 29, 2024. Lower sales volume resulted in a decrease of approximately $12.5 million, offset partially by improved price realization of approximately $8.4 million compared to the prior year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presents our net sales for the 39-week periods ended September 28, 2025 and September 29, 2024, as well as sales related to divestitures and sales part of our strategic product rationalization project. The divestitures sales relate to divested businesses prior to the divestiture date. The divestitures include Detroit Speed Engineering, Gear FX, and Proforged. The strategic product rationalization sales related to a 2024 initiative to discontinued stock keeping units ("SKUs").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6"/>
                <w:szCs w:val="16"/>
                <w:color w:val="auto"/>
              </w:rPr>
              <w:t>For the thirty-nine weeks ended</w:t>
            </w:r>
          </w:p>
        </w:tc>
      </w:tr>
      <w:tr>
        <w:trPr>
          <w:trHeight w:val="237"/>
        </w:trPr>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color w:val="auto"/>
              </w:rPr>
              <w:t>September 28, 2025</w:t>
            </w:r>
          </w:p>
        </w:tc>
        <w:tc>
          <w:tcPr>
            <w:tcW w:w="200" w:type="dxa"/>
            <w:vAlign w:val="bottom"/>
          </w:tcPr>
          <w:p>
            <w:pPr>
              <w:spacing w:after="0"/>
              <w:rPr>
                <w:sz w:val="20"/>
                <w:szCs w:val="20"/>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color w:val="auto"/>
              </w:rPr>
              <w:t>September 29, 2024</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462,170</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9,961</w:t>
            </w:r>
          </w:p>
        </w:tc>
      </w:tr>
      <w:tr>
        <w:trPr>
          <w:trHeight w:val="23"/>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Product Rationalization</w:t>
            </w:r>
          </w:p>
        </w:tc>
        <w:tc>
          <w:tcPr>
            <w:tcW w:w="2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r>
      <w:tr>
        <w:trPr>
          <w:trHeight w:val="23"/>
        </w:trPr>
        <w:tc>
          <w:tcPr>
            <w:tcW w:w="7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goods sold for the 39-week period ended September 28, 2025 decreased $22.9 million, or 8.0%, to $264.6 million, as compared to $287.5 million for the 39-week period ended September 29, 2024. The decrease in cost of goods sold in 2025, a period in which product sales decreased 0.9%, was primarily due to the $9.1 million of product rationalization initiative in 2024. The initiative focused on eliminating unprofitable or slow-moving SKUs. Lower freight costs also contributed to the decrease.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39-week period ended September 28, 2025 increased $18.8 million, or 10.8%, to $193.5 million, as compared to $174.7 million for the 39-week period ended September 29, 2024. Gross margin for the 39-week period ended September 28, 2025 was 42.2% as compared to a gross margin of 37.8% for the 39-week period ended September 29, 2024. Gross profit margin increased primarily due to inventory charges in 2024, driven by the product rationalization initiative. The increase was also due to sales and improvements in freight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costs for the 39-week period ended September 28, 2025 increased $5.4 million, or 5.6%, to $103.1 million, as compared to $ 97.7 million for the 39-week period ended September 29, 2024. Selling, general and administrative costs expressed as a percentage of sales increased to 22.5% for the 39-week period ended September 28, 2025 compared to 21.1% for the 39-week period ended September 29, 2024. The increase in selling, general and administrative costs was driven by an increase in legal fees of $1.1 million, which was related to legal settlement costs. Overall, salaries increased for the Company in 2025, compared to 2024. The increase is due to the furlough that occurred during 2024. The increase was offset by a decrease in transformative consulting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costs for the 39-week period ended September 28, 2025 slightly increased to $13.9 million as compared to $13.7 million for the 39-week period ended September 29, 2024, primarily due to the Company's realignment of employees' roles and responsibilities from selling, general and administrative to research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of intangible assets was $10.3 million for the 39-week period ended September 28, 2025 compared to $10.3 million for the 39-week period ended September 29,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for the 39-week period ended September 28, 2025 increased by $0.6 million to $2.2 million, as compared to $1.6 million for the 39-week period ended September 29, 2024, reflecting restructuring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integration activities associated with our implementation of resource allocation efforts in support of portfolio development optimization.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Write-Down of Assets Held-For-Sale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Write-down of assets held-for-sale for the 39-week period ended September 29, 2024 related to the sale of Detroit Speed Engineering, reflecting a $7.5 million loss after adjusting the assets from carrying value to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operating income for the 39-week period ended September 28, 2025 increased $19.1 million, or 43.7%, to $62.7 million, as compared to $43.6 million for the 39-week period ended September 29,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39-week periods ended September 28, 2025 and September 29, 2024, we recognized a loss of $2.9 million and a gain of $7.6 million, respectively. The warrant liability reflects the fair value of the Warrants issued in connection with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39-week periods ended September 28, 2025 and September 29, 2024, we recognized a loss of $0.7 million and a gain of $2.3 million, respectively. The earn-out liability reflects the fair value of the unvested Earn-Out Shares resulting from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(Benefit)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39-week period ended September 28, 2025 increased $1.1 million, or 2.9%, to $40.3 million, as compared to $39.2 million for the 39-week period ended September 29, 2024. The increase was primarily attributable to the unfavorable impact of the interest rate collar, which resulted in recognized interest expense of $4.3 million and interest income of $0.2 million related to the interest rate collar for 39-week periods ended September 28, 2025 and September 29, 2024, respectively. This increase was partially offset by lower interest expense on outstanding debt due to a decrease in our debt balance.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we recognized $18.7 million and $14.2 million of income before income taxes for the 39-week periods ended September 28, 2025 and September 29,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for the 39-week period ended September 28, 2025 was $5.8 million, as compared to income tax benefit of $0.3 million for the 39-week period ended September 29, 2024. Our effective tax rate for the 39-week period ended September 28, 2025 was 31.2%. The difference between the effective tax rate for the 39-week period ended September 28, 2025 and the federal statutory rate in 2025 was due to permanent differences related to changes in fair value of the warrant and earn-out liabilities recognized during the period, state taxes, the impact of foreign taxes in higher tax rate jurisdictions, and excess tax deficiencies from share-based compensation recognized during the period. The effective tax rate for the 39 week period ended September 29, 2024 was (2.2)%. The difference between the effective tax rate and the federal statutory rate in 2024 was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year as a discrete adjustment.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factors described above, we recognized net income of $12.9 million and $14.5 million for the 39-week periods ended September 28, 2025 and September 29, 2024, respectively. Additionally, we recognized total comprehensive income of $14.2 million for the 39-week period ended September 28, 2025, as compared to total comprehensive income of $14.8 million for the 39-week period ended September 29, 2024. Comprehensive income includes the effect of foreign currency translation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certain information with respect to EBITDA, Adjusted EBITDA, Adjusted EBITDA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Adjusted EBITDA, Adjusted EBITDA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loss on the early extinguishment of debt; notable items that we do not believe are reflective of our underlying operating performance, including litigation settlements, transformative consulting fees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and 39-week periods ended September 28, 2025 and September 29, 2024 (dollars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gridSpan w:val="5"/>
          </w:tcPr>
          <w:p>
            <w:pPr>
              <w:ind w:left="780"/>
              <w:spacing w:after="0"/>
              <w:rPr>
                <w:sz w:val="20"/>
                <w:szCs w:val="20"/>
                <w:color w:val="auto"/>
              </w:rPr>
            </w:pPr>
            <w:r>
              <w:rPr>
                <w:rFonts w:ascii="Arial" w:cs="Arial" w:eastAsia="Arial" w:hAnsi="Arial"/>
                <w:sz w:val="14"/>
                <w:szCs w:val="14"/>
                <w:color w:val="auto"/>
              </w:rPr>
              <w:t>For the thirteen weeks ended</w:t>
            </w:r>
          </w:p>
        </w:tc>
        <w:tc>
          <w:tcPr>
            <w:tcW w:w="180" w:type="dxa"/>
            <w:vAlign w:val="bottom"/>
          </w:tcPr>
          <w:p>
            <w:pPr>
              <w:spacing w:after="0"/>
              <w:rPr>
                <w:sz w:val="16"/>
                <w:szCs w:val="16"/>
                <w:color w:val="auto"/>
              </w:rPr>
            </w:pPr>
          </w:p>
        </w:tc>
        <w:tc>
          <w:tcPr>
            <w:tcW w:w="3480" w:type="dxa"/>
            <w:vAlign w:val="bottom"/>
            <w:gridSpan w:val="4"/>
          </w:tcPr>
          <w:p>
            <w:pPr>
              <w:jc w:val="right"/>
              <w:ind w:right="748"/>
              <w:spacing w:after="0"/>
              <w:rPr>
                <w:sz w:val="20"/>
                <w:szCs w:val="20"/>
                <w:color w:val="auto"/>
              </w:rPr>
            </w:pPr>
            <w:r>
              <w:rPr>
                <w:rFonts w:ascii="Arial" w:cs="Arial" w:eastAsia="Arial" w:hAnsi="Arial"/>
                <w:sz w:val="14"/>
                <w:szCs w:val="14"/>
                <w:color w:val="auto"/>
              </w:rPr>
              <w:t>For the thirty-nine weeks ended</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3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September 28, 2025</w:t>
            </w:r>
          </w:p>
        </w:tc>
        <w:tc>
          <w:tcPr>
            <w:tcW w:w="1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September 29, 2024</w:t>
            </w:r>
          </w:p>
        </w:tc>
        <w:tc>
          <w:tcPr>
            <w:tcW w:w="1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September 29, 2024</w:t>
            </w:r>
          </w:p>
        </w:tc>
      </w:tr>
      <w:tr>
        <w:trPr>
          <w:trHeight w:val="202"/>
        </w:trPr>
        <w:tc>
          <w:tcPr>
            <w:tcW w:w="3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(6,288)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12,874</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14,547</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7,183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7,364</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intangible assets</w:t>
            </w: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3,456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3,436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10,307</w:t>
            </w: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11,259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15,010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40,341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39,192</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1,269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(320)</w:t>
            </w:r>
          </w:p>
        </w:tc>
      </w:tr>
      <w:tr>
        <w:trPr>
          <w:trHeight w:val="201"/>
        </w:trPr>
        <w:tc>
          <w:tcPr>
            <w:tcW w:w="304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17,847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12,905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76,584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71,090</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 in fair value of warrant liability</w:t>
            </w: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3,019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2,939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(7,570)</w:t>
            </w: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Change in fair value of earn-out liability</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(2,341)</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Write-down of assets held for sale</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7,505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7,505</w:t>
            </w: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Equity-based compensation expense</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2,322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5,225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4,283</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141</w:t>
            </w: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Restructuring costs</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1,566</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Notable items</w:t>
            </w: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6,479</w:t>
            </w: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Other operating expense</w:t>
            </w:r>
          </w:p>
        </w:tc>
        <w:tc>
          <w:tcPr>
            <w:tcW w:w="18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213</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27,106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22,114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81,366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138,373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134,038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458,078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462,170</w:t>
            </w: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margin</w:t>
            </w: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08"/>
        </w:trPr>
        <w:tc>
          <w:tcPr>
            <w:tcW w:w="30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18"/>
                <w:szCs w:val="18"/>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17.6%</w:t>
            </w:r>
          </w:p>
        </w:tc>
      </w:tr>
    </w:tbl>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for 2024 includes the impact of a $9.1 million, non-cash charge related to a previously announced strategic product rationalization. For 2024, Adjusted EBITDA includes $2.0 million benefit also related to the strategic product rationalization, netting to $7.1 million non-cash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and 39-week periods ended September 28, 2025 and September 29, 2024 (dollars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4"/>
          </w:tcPr>
          <w:p>
            <w:pPr>
              <w:jc w:val="right"/>
              <w:ind w:right="800"/>
              <w:spacing w:after="0"/>
              <w:rPr>
                <w:sz w:val="20"/>
                <w:szCs w:val="20"/>
                <w:color w:val="auto"/>
              </w:rPr>
            </w:pPr>
            <w:r>
              <w:rPr>
                <w:rFonts w:ascii="Arial" w:cs="Arial" w:eastAsia="Arial" w:hAnsi="Arial"/>
                <w:sz w:val="14"/>
                <w:szCs w:val="14"/>
                <w:color w:val="auto"/>
              </w:rPr>
              <w:t>For the thirteen weeks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4"/>
          </w:tcPr>
          <w:p>
            <w:pPr>
              <w:jc w:val="right"/>
              <w:ind w:right="720"/>
              <w:spacing w:after="0"/>
              <w:rPr>
                <w:sz w:val="20"/>
                <w:szCs w:val="20"/>
                <w:color w:val="auto"/>
              </w:rPr>
            </w:pPr>
            <w:r>
              <w:rPr>
                <w:rFonts w:ascii="Arial" w:cs="Arial" w:eastAsia="Arial" w:hAnsi="Arial"/>
                <w:sz w:val="14"/>
                <w:szCs w:val="14"/>
                <w:color w:val="auto"/>
              </w:rPr>
              <w:t>For the thirty-nine weeks ended</w:t>
            </w:r>
          </w:p>
        </w:tc>
      </w:tr>
      <w:tr>
        <w:trPr>
          <w:trHeight w:val="22"/>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2"/>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jc w:val="right"/>
              <w:ind w:right="160"/>
              <w:spacing w:after="0"/>
              <w:rPr>
                <w:sz w:val="20"/>
                <w:szCs w:val="20"/>
                <w:color w:val="auto"/>
              </w:rPr>
            </w:pPr>
            <w:r>
              <w:rPr>
                <w:rFonts w:ascii="Arial" w:cs="Arial" w:eastAsia="Arial" w:hAnsi="Arial"/>
                <w:sz w:val="14"/>
                <w:szCs w:val="14"/>
                <w:color w:val="auto"/>
              </w:rPr>
              <w:t>September 29, 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jc w:val="right"/>
              <w:ind w:right="140"/>
              <w:spacing w:after="0"/>
              <w:rPr>
                <w:sz w:val="20"/>
                <w:szCs w:val="20"/>
                <w:color w:val="auto"/>
              </w:rPr>
            </w:pPr>
            <w:r>
              <w:rPr>
                <w:rFonts w:ascii="Arial" w:cs="Arial" w:eastAsia="Arial" w:hAnsi="Arial"/>
                <w:sz w:val="14"/>
                <w:szCs w:val="14"/>
                <w:color w:val="auto"/>
              </w:rPr>
              <w:t>September 29, 2024</w:t>
            </w: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14,547</w:t>
            </w:r>
          </w:p>
        </w:tc>
      </w:tr>
      <w:tr>
        <w:trPr>
          <w:trHeight w:val="235"/>
        </w:trPr>
        <w:tc>
          <w:tcPr>
            <w:tcW w:w="3840" w:type="dxa"/>
            <w:vAlign w:val="bottom"/>
          </w:tcPr>
          <w:p>
            <w:pPr>
              <w:ind w:left="20"/>
              <w:spacing w:after="0"/>
              <w:rPr>
                <w:sz w:val="20"/>
                <w:szCs w:val="20"/>
                <w:color w:val="auto"/>
              </w:rPr>
            </w:pPr>
            <w:r>
              <w:rPr>
                <w:rFonts w:ascii="Arial" w:cs="Arial" w:eastAsia="Arial" w:hAnsi="Arial"/>
                <w:sz w:val="16"/>
                <w:szCs w:val="16"/>
                <w:color w:val="auto"/>
              </w:rPr>
              <w:t>Special items: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1"/>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 for: Change in fair value of Warrant liability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w:t>
            </w:r>
          </w:p>
        </w:tc>
      </w:tr>
      <w:tr>
        <w:trPr>
          <w:trHeight w:val="235"/>
        </w:trPr>
        <w:tc>
          <w:tcPr>
            <w:tcW w:w="3840" w:type="dxa"/>
            <w:vAlign w:val="bottom"/>
          </w:tcPr>
          <w:p>
            <w:pPr>
              <w:ind w:left="180"/>
              <w:spacing w:after="0"/>
              <w:rPr>
                <w:sz w:val="20"/>
                <w:szCs w:val="20"/>
                <w:color w:val="auto"/>
              </w:rPr>
            </w:pPr>
            <w:r>
              <w:rPr>
                <w:rFonts w:ascii="Arial" w:cs="Arial" w:eastAsia="Arial" w:hAnsi="Arial"/>
                <w:sz w:val="16"/>
                <w:szCs w:val="16"/>
                <w:color w:val="auto"/>
              </w:rPr>
              <w:t>Adjust for: Change in fair value of earn-out liability</w:t>
            </w:r>
          </w:p>
        </w:tc>
        <w:tc>
          <w:tcPr>
            <w:tcW w:w="180" w:type="dxa"/>
            <w:vAlign w:val="bottom"/>
          </w:tcPr>
          <w:p>
            <w:pPr>
              <w:spacing w:after="0"/>
              <w:rPr>
                <w:sz w:val="20"/>
                <w:szCs w:val="20"/>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(2,341)</w:t>
            </w:r>
          </w:p>
        </w:tc>
      </w:tr>
      <w:tr>
        <w:trPr>
          <w:trHeight w:val="251"/>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 for: Write-down of assets held for sale</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7,505</w:t>
            </w: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Adjust for: Loss on early extinguishment of debt</w:t>
            </w:r>
          </w:p>
        </w:tc>
        <w:tc>
          <w:tcPr>
            <w:tcW w:w="18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6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19"/>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4"/>
          </w:tcPr>
          <w:p>
            <w:pPr>
              <w:jc w:val="right"/>
              <w:ind w:right="800"/>
              <w:spacing w:after="0"/>
              <w:rPr>
                <w:sz w:val="20"/>
                <w:szCs w:val="20"/>
                <w:color w:val="auto"/>
              </w:rPr>
            </w:pPr>
            <w:r>
              <w:rPr>
                <w:rFonts w:ascii="Arial" w:cs="Arial" w:eastAsia="Arial" w:hAnsi="Arial"/>
                <w:sz w:val="14"/>
                <w:szCs w:val="14"/>
                <w:color w:val="auto"/>
              </w:rPr>
              <w:t>For the thirteen weeks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gridSpan w:val="4"/>
          </w:tcPr>
          <w:p>
            <w:pPr>
              <w:jc w:val="right"/>
              <w:ind w:right="720"/>
              <w:spacing w:after="0"/>
              <w:rPr>
                <w:sz w:val="20"/>
                <w:szCs w:val="20"/>
                <w:color w:val="auto"/>
              </w:rPr>
            </w:pPr>
            <w:r>
              <w:rPr>
                <w:rFonts w:ascii="Arial" w:cs="Arial" w:eastAsia="Arial" w:hAnsi="Arial"/>
                <w:sz w:val="14"/>
                <w:szCs w:val="14"/>
                <w:color w:val="auto"/>
              </w:rPr>
              <w:t>For the thirty-nine weeks ended</w:t>
            </w:r>
          </w:p>
        </w:tc>
      </w:tr>
      <w:tr>
        <w:trPr>
          <w:trHeight w:val="22"/>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2"/>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jc w:val="right"/>
              <w:ind w:right="160"/>
              <w:spacing w:after="0"/>
              <w:rPr>
                <w:sz w:val="20"/>
                <w:szCs w:val="20"/>
                <w:color w:val="auto"/>
              </w:rPr>
            </w:pPr>
            <w:r>
              <w:rPr>
                <w:rFonts w:ascii="Arial" w:cs="Arial" w:eastAsia="Arial" w:hAnsi="Arial"/>
                <w:sz w:val="14"/>
                <w:szCs w:val="14"/>
                <w:color w:val="auto"/>
              </w:rPr>
              <w:t>September 29, 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jc w:val="right"/>
              <w:ind w:right="140"/>
              <w:spacing w:after="0"/>
              <w:rPr>
                <w:sz w:val="20"/>
                <w:szCs w:val="20"/>
                <w:color w:val="auto"/>
              </w:rPr>
            </w:pPr>
            <w:r>
              <w:rPr>
                <w:rFonts w:ascii="Arial" w:cs="Arial" w:eastAsia="Arial" w:hAnsi="Arial"/>
                <w:sz w:val="14"/>
                <w:szCs w:val="14"/>
                <w:color w:val="auto"/>
              </w:rPr>
              <w:t>September 29, 2024</w:t>
            </w: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diluted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35"/>
        </w:trPr>
        <w:tc>
          <w:tcPr>
            <w:tcW w:w="3840" w:type="dxa"/>
            <w:vAlign w:val="bottom"/>
          </w:tcPr>
          <w:p>
            <w:pPr>
              <w:ind w:left="20"/>
              <w:spacing w:after="0"/>
              <w:rPr>
                <w:sz w:val="20"/>
                <w:szCs w:val="20"/>
                <w:color w:val="auto"/>
              </w:rPr>
            </w:pPr>
            <w:r>
              <w:rPr>
                <w:rFonts w:ascii="Arial" w:cs="Arial" w:eastAsia="Arial" w:hAnsi="Arial"/>
                <w:sz w:val="16"/>
                <w:szCs w:val="16"/>
                <w:color w:val="auto"/>
              </w:rPr>
              <w:t>Special items: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1"/>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 for: Change in fair value of Warrant liability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35"/>
        </w:trPr>
        <w:tc>
          <w:tcPr>
            <w:tcW w:w="3840" w:type="dxa"/>
            <w:vAlign w:val="bottom"/>
          </w:tcPr>
          <w:p>
            <w:pPr>
              <w:ind w:left="180"/>
              <w:spacing w:after="0"/>
              <w:rPr>
                <w:sz w:val="20"/>
                <w:szCs w:val="20"/>
                <w:color w:val="auto"/>
              </w:rPr>
            </w:pPr>
            <w:r>
              <w:rPr>
                <w:rFonts w:ascii="Arial" w:cs="Arial" w:eastAsia="Arial" w:hAnsi="Arial"/>
                <w:sz w:val="16"/>
                <w:szCs w:val="16"/>
                <w:color w:val="auto"/>
              </w:rPr>
              <w:t>Adjust for: Change in fair value of earn-out liability</w:t>
            </w:r>
          </w:p>
        </w:tc>
        <w:tc>
          <w:tcPr>
            <w:tcW w:w="180" w:type="dxa"/>
            <w:vAlign w:val="bottom"/>
          </w:tcPr>
          <w:p>
            <w:pPr>
              <w:spacing w:after="0"/>
              <w:rPr>
                <w:sz w:val="20"/>
                <w:szCs w:val="20"/>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44"/>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 for: Write-down of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43"/>
        </w:trPr>
        <w:tc>
          <w:tcPr>
            <w:tcW w:w="38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(0.01)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0"/>
        </w:trPr>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and 39-week periods ended September 28, 2025 and September 29, 2024 (dollars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4"/>
          </w:tcPr>
          <w:p>
            <w:pPr>
              <w:ind w:left="700"/>
              <w:spacing w:after="0"/>
              <w:rPr>
                <w:sz w:val="20"/>
                <w:szCs w:val="20"/>
                <w:color w:val="auto"/>
              </w:rPr>
            </w:pPr>
            <w:r>
              <w:rPr>
                <w:rFonts w:ascii="Arial" w:cs="Arial" w:eastAsia="Arial" w:hAnsi="Arial"/>
                <w:sz w:val="14"/>
                <w:szCs w:val="14"/>
                <w:color w:val="auto"/>
              </w:rPr>
              <w:t>For the thirteen weeks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4"/>
          </w:tcPr>
          <w:p>
            <w:pPr>
              <w:jc w:val="right"/>
              <w:ind w:right="721"/>
              <w:spacing w:after="0"/>
              <w:rPr>
                <w:sz w:val="20"/>
                <w:szCs w:val="20"/>
                <w:color w:val="auto"/>
              </w:rPr>
            </w:pPr>
            <w:r>
              <w:rPr>
                <w:rFonts w:ascii="Arial" w:cs="Arial" w:eastAsia="Arial" w:hAnsi="Arial"/>
                <w:sz w:val="14"/>
                <w:szCs w:val="14"/>
                <w:color w:val="auto"/>
              </w:rPr>
              <w:t>For the thirty-nine weeks ended</w:t>
            </w:r>
          </w:p>
        </w:tc>
      </w:tr>
      <w:tr>
        <w:trPr>
          <w:trHeight w:val="22"/>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1"/>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ind w:left="60"/>
              <w:spacing w:after="0"/>
              <w:rPr>
                <w:sz w:val="20"/>
                <w:szCs w:val="20"/>
                <w:color w:val="auto"/>
              </w:rPr>
            </w:pPr>
            <w:r>
              <w:rPr>
                <w:rFonts w:ascii="Arial" w:cs="Arial" w:eastAsia="Arial" w:hAnsi="Arial"/>
                <w:sz w:val="14"/>
                <w:szCs w:val="14"/>
                <w:color w:val="auto"/>
              </w:rPr>
              <w:t>September 29, 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28, 2025</w:t>
            </w:r>
          </w:p>
        </w:tc>
        <w:tc>
          <w:tcPr>
            <w:tcW w:w="160" w:type="dxa"/>
            <w:vAlign w:val="bottom"/>
          </w:tcPr>
          <w:p>
            <w:pPr>
              <w:spacing w:after="0"/>
              <w:rPr>
                <w:sz w:val="17"/>
                <w:szCs w:val="17"/>
                <w:color w:val="auto"/>
              </w:rPr>
            </w:pPr>
          </w:p>
        </w:tc>
        <w:tc>
          <w:tcPr>
            <w:tcW w:w="1600" w:type="dxa"/>
            <w:vAlign w:val="bottom"/>
          </w:tcPr>
          <w:p>
            <w:pPr>
              <w:jc w:val="right"/>
              <w:ind w:right="161"/>
              <w:spacing w:after="0"/>
              <w:rPr>
                <w:sz w:val="20"/>
                <w:szCs w:val="20"/>
                <w:color w:val="auto"/>
              </w:rPr>
            </w:pPr>
            <w:r>
              <w:rPr>
                <w:rFonts w:ascii="Arial" w:cs="Arial" w:eastAsia="Arial" w:hAnsi="Arial"/>
                <w:sz w:val="14"/>
                <w:szCs w:val="14"/>
                <w:color w:val="auto"/>
              </w:rPr>
              <w:t>September 29, 2024</w:t>
            </w:r>
          </w:p>
        </w:tc>
      </w:tr>
      <w:tr>
        <w:trPr>
          <w:trHeight w:val="22"/>
        </w:trPr>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center"/>
              <w:ind w:left="941"/>
              <w:spacing w:after="0"/>
              <w:rPr>
                <w:sz w:val="20"/>
                <w:szCs w:val="20"/>
                <w:color w:val="auto"/>
              </w:rPr>
            </w:pPr>
            <w:r>
              <w:rPr>
                <w:rFonts w:ascii="Arial" w:cs="Arial" w:eastAsia="Arial" w:hAnsi="Arial"/>
                <w:sz w:val="16"/>
                <w:szCs w:val="16"/>
                <w:color w:val="auto"/>
                <w:w w:val="98"/>
              </w:rPr>
              <w:t>(1,748)</w:t>
            </w:r>
          </w:p>
        </w:tc>
        <w:tc>
          <w:tcPr>
            <w:tcW w:w="10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42,773</w:t>
            </w:r>
          </w:p>
        </w:tc>
      </w:tr>
      <w:tr>
        <w:trPr>
          <w:trHeight w:val="235"/>
        </w:trPr>
        <w:tc>
          <w:tcPr>
            <w:tcW w:w="382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center"/>
              <w:ind w:left="941"/>
              <w:spacing w:after="0"/>
              <w:rPr>
                <w:sz w:val="20"/>
                <w:szCs w:val="20"/>
                <w:color w:val="auto"/>
              </w:rPr>
            </w:pPr>
            <w:r>
              <w:rPr>
                <w:rFonts w:ascii="Arial" w:cs="Arial" w:eastAsia="Arial" w:hAnsi="Arial"/>
                <w:sz w:val="16"/>
                <w:szCs w:val="16"/>
                <w:color w:val="auto"/>
                <w:w w:val="98"/>
              </w:rPr>
              <w:t>(1,727)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(4,372)</w:t>
            </w:r>
          </w:p>
        </w:tc>
      </w:tr>
      <w:tr>
        <w:trPr>
          <w:trHeight w:val="244"/>
        </w:trPr>
        <w:tc>
          <w:tcPr>
            <w:tcW w:w="3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the disposal of fixed assets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center"/>
              <w:ind w:left="961"/>
              <w:spacing w:after="0"/>
              <w:rPr>
                <w:sz w:val="20"/>
                <w:szCs w:val="20"/>
                <w:color w:val="auto"/>
              </w:rPr>
            </w:pPr>
            <w:r>
              <w:rPr>
                <w:rFonts w:ascii="Arial" w:cs="Arial" w:eastAsia="Arial" w:hAnsi="Arial"/>
                <w:sz w:val="16"/>
                <w:szCs w:val="16"/>
                <w:color w:val="auto"/>
                <w:w w:val="99"/>
              </w:rPr>
              <w:t>1,416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1,645</w:t>
            </w:r>
          </w:p>
        </w:tc>
      </w:tr>
      <w:tr>
        <w:trPr>
          <w:trHeight w:val="243"/>
        </w:trPr>
        <w:tc>
          <w:tcPr>
            <w:tcW w:w="3820" w:type="dxa"/>
            <w:vAlign w:val="bottom"/>
          </w:tcPr>
          <w:p>
            <w:pPr>
              <w:spacing w:after="0"/>
              <w:rPr>
                <w:sz w:val="20"/>
                <w:szCs w:val="20"/>
                <w:color w:val="auto"/>
              </w:rPr>
            </w:pPr>
            <w:r>
              <w:rPr>
                <w:rFonts w:ascii="Arial" w:cs="Arial" w:eastAsia="Arial" w:hAnsi="Arial"/>
                <w:sz w:val="16"/>
                <w:szCs w:val="16"/>
                <w:color w:val="auto"/>
              </w:rPr>
              <w:t>Free Cash Flow</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center"/>
              <w:ind w:left="941"/>
              <w:spacing w:after="0"/>
              <w:rPr>
                <w:sz w:val="20"/>
                <w:szCs w:val="20"/>
                <w:color w:val="auto"/>
              </w:rPr>
            </w:pPr>
            <w:r>
              <w:rPr>
                <w:rFonts w:ascii="Arial" w:cs="Arial" w:eastAsia="Arial" w:hAnsi="Arial"/>
                <w:sz w:val="16"/>
                <w:szCs w:val="16"/>
                <w:color w:val="auto"/>
                <w:w w:val="98"/>
              </w:rPr>
              <w:t>(2,059)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30,319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40,046</w:t>
            </w: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28, 2025, the Company had cash of $50.7 million and availability of $97.5 million under its $100.0 million senior secured revolving credit facility. As of September 28, 2025, the Company had $2.5 million in letters of credit outstanding under the revolving credit facility. In February 2023, the Company entered into an amendment to its Credit Agreement which, among other things, contains a minimum liquidity financial covenant of $45.0 million, which includes unrestricted cash and any available borrowing capacity under the revolving credit facility. The amendment also increased the Total Leverage Ratio applicable under the Credit Agreement as of the fiscal quarter ending April 2, 2023, to initially 7.25:1.00, and provides for modified step-down levels for such covenant thereafter through the fiscal quarter ending June 30, 2024. The Company successfully exited the Covenant Relief Period.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obligated under various operating leases for facilities, equipment and automobiles with estimated lease payments of approximately $1.9 million, including short term leases, due during the remainder of fiscal year 2025.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in the Notes to the condensed consolidated financial statements included elsewhere in this Quarterly Report on Form 10-Q for additional information related to the Company’s lease obligations.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condensed consolidated financial statements included in this Quarterly Report on Form 10-Q for further detail of our credit facility and the timing of principal maturities. As of September 28, 2025, based on the then current weighted average interest rate of 8.2%, expected interest payments associated with outstanding debt totaled approximately $11.6 million for the remainder of fiscal year 2025.</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September 28, 2025 Compared With 39-week period ended September 29, 2024</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color w:val="auto"/>
              </w:rPr>
              <w:t>For the thirty-nine weeks ended</w:t>
            </w:r>
          </w:p>
        </w:tc>
      </w:tr>
      <w:tr>
        <w:trPr>
          <w:trHeight w:val="237"/>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color w:val="auto"/>
              </w:rPr>
              <w:t>September 28, 2025</w:t>
            </w:r>
          </w:p>
        </w:tc>
        <w:tc>
          <w:tcPr>
            <w:tcW w:w="160" w:type="dxa"/>
            <w:vAlign w:val="bottom"/>
          </w:tcPr>
          <w:p>
            <w:pPr>
              <w:spacing w:after="0"/>
              <w:rPr>
                <w:sz w:val="20"/>
                <w:szCs w:val="20"/>
                <w:color w:val="auto"/>
              </w:rPr>
            </w:pPr>
          </w:p>
        </w:tc>
        <w:tc>
          <w:tcPr>
            <w:tcW w:w="1780" w:type="dxa"/>
            <w:vAlign w:val="bottom"/>
          </w:tcPr>
          <w:p>
            <w:pPr>
              <w:jc w:val="right"/>
              <w:ind w:right="152"/>
              <w:spacing w:after="0"/>
              <w:rPr>
                <w:sz w:val="20"/>
                <w:szCs w:val="20"/>
                <w:color w:val="auto"/>
              </w:rPr>
            </w:pPr>
            <w:r>
              <w:rPr>
                <w:rFonts w:ascii="Arial" w:cs="Arial" w:eastAsia="Arial" w:hAnsi="Arial"/>
                <w:sz w:val="16"/>
                <w:szCs w:val="16"/>
                <w:color w:val="auto"/>
              </w:rPr>
              <w:t>September 29, 2024</w:t>
            </w: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42,773</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(30,314)</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Effect of foreign currency rate fluctuations on cash</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39-week period ended September 28, 2025 was $40.1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net cash provided by operating activities of $42.8 million for the 39-week period ended September 29, 2024. Significant changes in the year-over-year change in working capital activity included negative fluctuations in accounts receivable, inventories, and accrued and other liabilities of $13.6 million, $ 3.0 million and $1.3 million, respectively. Partially offsetting the decrease were positive fluctuations from prepaids and other assets, accounts payable and accrued interest of $8.1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$6.4 million </w:t>
      </w:r>
      <w:r>
        <w:rPr>
          <w:rFonts w:ascii="Times New Roman" w:cs="Times New Roman" w:eastAsia="Times New Roman" w:hAnsi="Times New Roman"/>
          <w:sz w:val="18"/>
          <w:szCs w:val="18"/>
          <w:color w:val="auto"/>
        </w:rPr>
        <w:t>and</w:t>
      </w:r>
      <w:r>
        <w:rPr>
          <w:rFonts w:ascii="Arial" w:cs="Arial" w:eastAsia="Arial" w:hAnsi="Arial"/>
          <w:sz w:val="18"/>
          <w:szCs w:val="18"/>
          <w:color w:val="auto"/>
        </w:rPr>
        <w:t xml:space="preserve"> $4.3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for the 39-week periods ended September 28, 2025 and September 29, 2024 was</w:t>
      </w:r>
      <w:r>
        <w:rPr>
          <w:rFonts w:ascii="Arial" w:cs="Arial" w:eastAsia="Arial" w:hAnsi="Arial"/>
          <w:sz w:val="18"/>
          <w:szCs w:val="18"/>
          <w:i w:val="1"/>
          <w:iCs w:val="1"/>
          <w:color w:val="auto"/>
        </w:rPr>
        <w:t xml:space="preserve"> </w:t>
      </w:r>
      <w:r>
        <w:rPr>
          <w:rFonts w:ascii="Arial" w:cs="Arial" w:eastAsia="Arial" w:hAnsi="Arial"/>
          <w:sz w:val="18"/>
          <w:szCs w:val="18"/>
          <w:color w:val="auto"/>
        </w:rPr>
        <w:t>$26.4 million and $2.7 million, respectively, due to the cash payments related to the acquisition of the perpetual license agreement with Cataclean in January 2025 and other capital expenditures.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for the 39-week periods ended September 28, 2025 was $19.5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reflects principal payments on long-term debt and deferred financing fees. The principal payments of long-term debt during the 39-week periods ended September 28, 2025 include the repurchase of $15.0 million outstanding principal on the first lien term loan. Cash used in financing activities for the 39-week period ended September 29, 2024 was $30.3 million, which primarily reflects prepayments of principal of $28.8 million on the first lien term loan.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judgments and assumptions that affect the reported amounts of assets, liabilities, sales, expenses and related disclosures. We evaluate our estimates, judgments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2024, as filed with the SEC on March 14, 2025.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collars are intended to mitigate some of the effects of increases in interest rates. As of September 28, 2025, a total of $542.6 million of term loan and revolver borrowings were subject to variable interest rates, with a weighted average borrowing rate of 8.2%. A hypothetical 100 basis point increase in interest rates would result in an approximately $0.4 million increase in annual interest expense, while a hypothetical 100 basis point decrease in interest rates would result in an approximately $5.4 million decrease to Holley’s annual interest expense.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2025,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As of September 28, 2025, the Company is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Quarterly Report.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evaluated the effectiveness of the design and operation of our disclosure controls and procedures as of September 28, 2025, the end of the period covered by this Quarterly Report on Form 10-Q. Based on such evaluation, our Chief Executive Officer and Chief Financial Officer have concluded that, as of such date, our disclosure controls and procedures were not effective because of a previously reported material weakness in our internal control over financial reporting, which we describe in Part II, Item 9A of our Form 10-K for the fiscal year ended December 31, 2024, and because of the material weakness and is affecting the fiscal quarter ended September 28, 2025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disclosed in our Form 10-K, we concluded that we did not have sufficient resources with the appropriate accounting expertise that resulted in a lack of adequate controls with respect to the preparation and precision of review of reconciliations, manual journal entries and third-party reports supporting journal entries. Accordingly, management has determined that this control deficiency constituted a material weakness. This material weakness has not been remediated as of September 28,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the Material Weakness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undertaken and are continuing to design and implement remediation measures intended to address the material weakness. Following the identification of the material weakness, and with the oversight of the Audit Committee of our Board of Directors, we have commenced and will continue to implement remediation efforts to enhance our internal controls over financial reporting, which are described below.</w:t>
      </w:r>
    </w:p>
    <w:p>
      <w:pPr>
        <w:spacing w:after="0" w:line="176" w:lineRule="exact"/>
        <w:rPr>
          <w:sz w:val="20"/>
          <w:szCs w:val="20"/>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and augmenting our accounting team with knowledgeable and qualified accounting and finance professionals.</w:t>
      </w:r>
    </w:p>
    <w:p>
      <w:pPr>
        <w:spacing w:after="0" w:line="27"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a third-party expert to conduct an external evaluation, provide recommended options, support, and validate our approach.</w:t>
      </w:r>
    </w:p>
    <w:p>
      <w:pPr>
        <w:spacing w:after="0" w:line="9" w:lineRule="exact"/>
        <w:rPr>
          <w:rFonts w:ascii="Arial" w:cs="Arial" w:eastAsia="Arial" w:hAnsi="Arial"/>
          <w:sz w:val="18"/>
          <w:szCs w:val="18"/>
          <w:color w:val="auto"/>
        </w:rPr>
      </w:pPr>
    </w:p>
    <w:p>
      <w:pPr>
        <w:ind w:left="420" w:right="180" w:hanging="250"/>
        <w:spacing w:after="0" w:line="250"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related policies and process documentation, redesigning existing controls or implementing new controls, and improving the skills of process owners.</w:t>
      </w: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a reconciliation and review process.</w:t>
      </w:r>
    </w:p>
    <w:p>
      <w:pPr>
        <w:spacing w:after="0" w:line="9"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process owners, evaluating the adoption of revised policies and procedures, and monitoring results.</w:t>
      </w:r>
    </w:p>
    <w:p>
      <w:pPr>
        <w:spacing w:after="0" w:line="9"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maintaining documentation to promote knowledge transfer upon personnel and function changes.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successfully implementing the remediation plan as promptly as possible and believe that these actions will remediate the material weakness. Our plans can only be accomplished over time, and we can offer no assurance that these initiatives will ultimately have the intended effects. See our Form 10-K Risk Factors for the year ended December 31, 2024, as filed with the SEC on March 14,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plans for remediating the material weaknesses described above will constitute changes in our internal control over financial reporting, prospectively, when such remediation plans are effectively implemented. There were no changes in our internal control over financial reporting from the prior quarter, other than the remediation actions,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2024, as filed with the SEC on March 14, 2025 and those under the caption "Item 1A. Rick Factors" included in our Quarterly Report on Form 10-Q for the quarter ended June 29, 2025, as filed with the SEC on August 6, 2025.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fiscal quarter ended September 28, 2025, no director or Section 16 officer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95"/>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3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20" w:type="dxa"/>
            <w:vAlign w:val="bottom"/>
            <w:tcBorders>
              <w:top w:val="single" w:sz="8" w:color="auto"/>
            </w:tcBorders>
            <w:gridSpan w:val="11"/>
          </w:tcPr>
          <w:p>
            <w:pPr>
              <w:spacing w:after="0" w:line="202" w:lineRule="exact"/>
              <w:rPr>
                <w:rFonts w:ascii="Arial" w:cs="Arial" w:eastAsia="Arial" w:hAnsi="Arial"/>
                <w:sz w:val="18"/>
                <w:szCs w:val="18"/>
                <w:color w:val="0000FF"/>
              </w:rPr>
            </w:pPr>
            <w:hyperlink r:id="rId70">
              <w:r>
                <w:rPr>
                  <w:rFonts w:ascii="Arial" w:cs="Arial" w:eastAsia="Arial" w:hAnsi="Arial"/>
                  <w:sz w:val="18"/>
                  <w:szCs w:val="18"/>
                  <w:color w:val="0000FF"/>
                </w:rPr>
                <w:t>Agreement and Plan of Merger, dated as of March 11, 2021, by and among Empower Ltd., Empower Merger Sub I Inc.,</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Empower Merger Sub II LLC and Holley Intermediate Holdings, Inc. (incorporated by reference to Exhibit 2.1 to the</w:t>
              </w:r>
            </w:hyperlink>
          </w:p>
        </w:tc>
        <w:tc>
          <w:tcPr>
            <w:tcW w:w="340" w:type="dxa"/>
            <w:vAlign w:val="bottom"/>
            <w:tcBorders>
              <w:top w:val="single" w:sz="8" w:color="0000FF"/>
            </w:tcBorders>
            <w:gridSpan w:val="2"/>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Company’s Current Report on Form 8-K, filed with the SEC on March 12, 2021).</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Certificate of Incorporation of the Company, dated July 16, 2021 (incorporated by reference to Exhibit 3.1 of the Company’s</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Current Report on Form 8-K, filed with the SEC on July 21, 2021).</w:t>
              </w:r>
            </w:hyperlink>
          </w:p>
        </w:tc>
        <w:tc>
          <w:tcPr>
            <w:tcW w:w="454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tcBorders>
              <w:bottom w:val="single" w:sz="8" w:color="0000FF"/>
            </w:tcBorders>
            <w:gridSpan w:val="9"/>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Amended and Restated By-Laws of the Company, dated August 8, 2023 (incorporated by reference to Exhibit 3.1 of the</w:t>
              </w:r>
            </w:hyperlink>
          </w:p>
        </w:tc>
        <w:tc>
          <w:tcPr>
            <w:tcW w:w="320" w:type="dxa"/>
            <w:vAlign w:val="bottom"/>
            <w:gridSpan w:val="2"/>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Company’s Current Report on Form 8-K, filed with the SEC on August 9, 2023).</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Rules 13a-14(a) and 15d-14(a) of the Exchange Act</w:t>
            </w:r>
          </w:p>
        </w:tc>
        <w:tc>
          <w:tcPr>
            <w:tcW w:w="1660" w:type="dxa"/>
            <w:vAlign w:val="bottom"/>
            <w:gridSpan w:val="6"/>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Chief Financial Officer Pursuant to Rules 13a-14(a) and 15d-14(a) of the Exchange Act</w:t>
            </w:r>
          </w:p>
        </w:tc>
        <w:tc>
          <w:tcPr>
            <w:tcW w:w="1700" w:type="dxa"/>
            <w:vAlign w:val="bottom"/>
            <w:gridSpan w:val="7"/>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800" w:type="dxa"/>
            <w:vAlign w:val="bottom"/>
            <w:tcBorders>
              <w:top w:val="single" w:sz="8" w:color="0000FF"/>
            </w:tcBorders>
            <w:gridSpan w:val="8"/>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Financial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740" w:type="dxa"/>
            <w:vAlign w:val="bottom"/>
            <w:tcBorders>
              <w:top w:val="single" w:sz="8" w:color="0000FF"/>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272"/>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9"/>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1" w:lineRule="exact"/>
        <w:rPr>
          <w:sz w:val="20"/>
          <w:szCs w:val="20"/>
          <w:color w:val="auto"/>
        </w:rPr>
      </w:pPr>
    </w:p>
    <w:p>
      <w:pPr>
        <w:ind w:left="1420" w:hanging="1394"/>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Holley Inc.</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34925</wp:posOffset>
            </wp:positionV>
            <wp:extent cx="29317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(Duly Authorized Officer)</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November 7,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2"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21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34925</wp:posOffset>
            </wp:positionV>
            <wp:extent cx="31032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November 7, 2025</w:t>
      </w:r>
    </w:p>
    <w:p>
      <w:pPr>
        <w:sectPr>
          <w:pgSz w:w="11900" w:h="16838" w:orient="portrait"/>
          <w:cols w:equalWidth="0" w:num="1">
            <w:col w:w="11240"/>
          </w:cols>
          <w:pgMar w:left="320" w:top="114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21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8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November 7, 2025</w:t>
      </w:r>
    </w:p>
    <w:p>
      <w:pPr>
        <w:sectPr>
          <w:pgSz w:w="11900" w:h="16838" w:orient="portrait"/>
          <w:cols w:equalWidth="0" w:num="1">
            <w:col w:w="11240"/>
          </w:cols>
          <w:pgMar w:left="320" w:top="114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September 28, 2025,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November 7, 2025</w:t>
      </w:r>
    </w:p>
    <w:p>
      <w:pPr>
        <w:spacing w:after="0" w:line="200" w:lineRule="exact"/>
        <w:rPr>
          <w:sz w:val="20"/>
          <w:szCs w:val="20"/>
          <w:color w:val="auto"/>
        </w:rPr>
      </w:pPr>
    </w:p>
    <w:p>
      <w:pPr>
        <w:spacing w:after="0" w:line="3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14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September 28, 2025, as filed with the Securities and Exchange Commission (the "Report"), I, Jesse Weaver, Chief Financial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November 7, 2025</w:t>
      </w:r>
    </w:p>
    <w:p>
      <w:pPr>
        <w:spacing w:after="0" w:line="200" w:lineRule="exact"/>
        <w:rPr>
          <w:sz w:val="20"/>
          <w:szCs w:val="20"/>
          <w:color w:val="auto"/>
        </w:rPr>
      </w:pPr>
    </w:p>
    <w:p>
      <w:pPr>
        <w:spacing w:after="0" w:line="2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10"/>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2"/>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1."/>
      <w:numFmt w:val="decimal"/>
      <w:start w:val="14"/>
    </w:lvl>
  </w:abstractNum>
  <w:abstractNum w:abstractNumId="17">
    <w:nsid w:val="8EDBDAB"/>
    <w:multiLevelType w:val="hybridMultilevel"/>
    <w:lvl w:ilvl="0">
      <w:lvlJc w:val="left"/>
      <w:lvlText w:val="%1."/>
      <w:numFmt w:val="decimal"/>
      <w:start w:val="15"/>
    </w:lvl>
  </w:abstractNum>
  <w:abstractNum w:abstractNumId="18">
    <w:nsid w:val="79838CB2"/>
    <w:multiLevelType w:val="hybridMultilevel"/>
    <w:lvl w:ilvl="0">
      <w:lvlJc w:val="left"/>
      <w:lvlText w:val="%1."/>
      <w:numFmt w:val="decimal"/>
      <w:start w:val="16"/>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04"/>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0" Type="http://schemas.openxmlformats.org/officeDocument/2006/relationships/hyperlink" Target="https://www.sec.gov/Archives/edgar/data/1822928/000121390021015000/ea137482ex2_1empower.htm" TargetMode="External"/><Relationship Id="rId71" Type="http://schemas.openxmlformats.org/officeDocument/2006/relationships/hyperlink" Target="https://www.sec.gov/Archives/edgar/data/1822928/000119312521220722/d185405dex31.htm" TargetMode="External"/><Relationship Id="rId72" Type="http://schemas.openxmlformats.org/officeDocument/2006/relationships/hyperlink" Target="https://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2025-11-07T06:50:09Z</dcterms:created>
  <dcterms:modified xsi:type="dcterms:W3CDTF">2025-11-07T06:50:09Z</dcterms:modified>
</cp:coreProperties>
</file>