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001-39599</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5552" w:type="dxa"/>
                    <w:jc w:val="center"/>
                    <w:tblInd w:w="0" w:type="dxa"/>
                    <w:tblLayout w:type="fixed"/>
                    <w:tblCellMar>
                      <w:top w:w="28" w:type="dxa"/>
                      <w:left w:w="28" w:type="dxa"/>
                      <w:bottom w:w="28" w:type="dxa"/>
                      <w:right w:w="28" w:type="dxa"/>
                    </w:tblCellMar>
                  </w:tblPr>
                  <w:tblGrid>
                    <w:gridCol w:w="1261"/>
                    <w:gridCol w:w="429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4291" w:type="dxa"/>
                        <w:tcBorders/>
                        <w:vAlign w:val="center"/>
                      </w:tcPr>
                      <w:p>
                        <w:pPr>
                          <w:pStyle w:val="TableContents"/>
                          <w:bidi w:val="0"/>
                          <w:spacing w:before="0" w:after="283"/>
                          <w:jc w:val="left"/>
                          <w:rPr/>
                        </w:pPr>
                        <w:hyperlink r:id="rId3">
                          <w:r>
                            <w:rPr>
                              <w:rStyle w:val="InternetLink"/>
                            </w:rPr>
                            <w:t>Holley Inc.</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429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 STOCK EXCHANGE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7980" w:type="dxa"/>
                    <w:jc w:val="center"/>
                    <w:tblInd w:w="0" w:type="dxa"/>
                    <w:tblLayout w:type="fixed"/>
                    <w:tblCellMar>
                      <w:top w:w="28" w:type="dxa"/>
                      <w:left w:w="28" w:type="dxa"/>
                      <w:bottom w:w="28" w:type="dxa"/>
                      <w:right w:w="28" w:type="dxa"/>
                    </w:tblCellMar>
                  </w:tblPr>
                  <w:tblGrid>
                    <w:gridCol w:w="2206"/>
                    <w:gridCol w:w="1624"/>
                    <w:gridCol w:w="1624"/>
                    <w:gridCol w:w="771"/>
                    <w:gridCol w:w="119"/>
                    <w:gridCol w:w="1636"/>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4138"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1A BURTON HILLS BLVD SUITE 240</w:t>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NASHVILLE</w:t>
                        </w:r>
                      </w:p>
                    </w:tc>
                    <w:tc>
                      <w:tcPr>
                        <w:tcW w:w="162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TENNESSEE</w:t>
                        </w:r>
                      </w:p>
                    </w:tc>
                    <w:tc>
                      <w:tcPr>
                        <w:tcW w:w="77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37215</w:t>
                        </w:r>
                      </w:p>
                    </w:tc>
                    <w:tc>
                      <w:tcPr>
                        <w:tcW w:w="119" w:type="dxa"/>
                        <w:tcBorders/>
                      </w:tcPr>
                      <w:p>
                        <w:pPr>
                          <w:pStyle w:val="TableContents"/>
                          <w:bidi w:val="0"/>
                          <w:spacing w:before="0" w:after="283"/>
                          <w:jc w:val="left"/>
                          <w:rPr>
                            <w:sz w:val="4"/>
                            <w:szCs w:val="4"/>
                          </w:rPr>
                        </w:pPr>
                        <w:r>
                          <w:rPr>
                            <w:sz w:val="4"/>
                            <w:szCs w:val="4"/>
                          </w:rPr>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4138" w:type="dxa"/>
                        <w:gridSpan w:val="4"/>
                        <w:tcBorders/>
                        <w:vAlign w:val="center"/>
                      </w:tcPr>
                      <w:p>
                        <w:pPr>
                          <w:pStyle w:val="TableContents"/>
                          <w:bidi w:val="0"/>
                          <w:spacing w:before="0" w:after="283"/>
                          <w:jc w:val="left"/>
                          <w:rPr>
                            <w:sz w:val="4"/>
                            <w:szCs w:val="4"/>
                          </w:rPr>
                        </w:pPr>
                        <w:r>
                          <w:rPr>
                            <w:sz w:val="4"/>
                            <w:szCs w:val="4"/>
                          </w:rPr>
                        </w:r>
                      </w:p>
                    </w:tc>
                    <w:tc>
                      <w:tcPr>
                        <w:tcW w:w="163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(270) 782-2900</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Redeemable Warrants, each whole warrant exercisable for one share of Common Stock at an exercise price of $11.50</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NEW YORK STOCK EXCHANGE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2026-07-16</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Anthony Sozzi</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Analyst, Market Watch</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TextBody"/>
        <w:bidi w:val="0"/>
        <w:spacing w:before="0" w:after="283"/>
        <w:jc w:val="left"/>
        <w:rPr/>
      </w:pPr>
      <w:bookmarkStart w:id="5" w:name="ruleprovisionnotice.htm"/>
      <w:bookmarkStart w:id="6" w:name="ksruleprovisionnotice"/>
      <w:bookmarkEnd w:id="5"/>
      <w:bookmarkEnd w:id="6"/>
      <w:r>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July 27, 2026, pursuant to the provisions of Rule 12d2-2 (a). [ X ] 17 CFR 240.12d2-2(a)(3) That on July 16, 2026 the instruments representing the securities comprising the entire class of this security came to evidence, by operation of law or otherwise, other securities in substitution therefore and represent no other right except, if such be the fact, the right to receive an immediate cash payment. The Exchange also notifies the Securities and Exchange Commission that as a result of the above indicated conditions this security was suspended from trading on July 15, 2026.</w:t>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1-39599" TargetMode="External"/><Relationship Id="rId3" Type="http://schemas.openxmlformats.org/officeDocument/2006/relationships/hyperlink" Target="http://www.sec.gov/cgi-bin/browse-edgar?action=getcompany&amp;CIK=0001822928"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481</Words>
  <Characters>2579</Characters>
  <CharactersWithSpaces>3022</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