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2021</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HOLLEY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4360" w:type="dxa"/>
            <w:vAlign w:val="bottom"/>
          </w:tcPr>
          <w:p>
            <w:pPr>
              <w:jc w:val="right"/>
              <w:ind w:right="2920"/>
              <w:spacing w:after="0"/>
              <w:rPr>
                <w:sz w:val="20"/>
                <w:szCs w:val="20"/>
                <w:color w:val="auto"/>
              </w:rPr>
            </w:pPr>
            <w:r>
              <w:rPr>
                <w:rFonts w:ascii="Arial" w:cs="Arial" w:eastAsia="Arial" w:hAnsi="Arial"/>
                <w:sz w:val="18"/>
                <w:szCs w:val="18"/>
                <w:b w:val="1"/>
                <w:bCs w:val="1"/>
                <w:color w:val="auto"/>
              </w:rPr>
              <w:t>001-39599</w:t>
            </w:r>
          </w:p>
        </w:tc>
      </w:tr>
      <w:tr>
        <w:trPr>
          <w:trHeight w:val="186"/>
        </w:trPr>
        <w:tc>
          <w:tcPr>
            <w:tcW w:w="3400" w:type="dxa"/>
            <w:vAlign w:val="bottom"/>
          </w:tcPr>
          <w:p>
            <w:pPr>
              <w:spacing w:after="0"/>
              <w:rPr>
                <w:sz w:val="16"/>
                <w:szCs w:val="16"/>
                <w:color w:val="auto"/>
              </w:rPr>
            </w:pPr>
          </w:p>
        </w:tc>
        <w:tc>
          <w:tcPr>
            <w:tcW w:w="4360" w:type="dxa"/>
            <w:vAlign w:val="bottom"/>
          </w:tcPr>
          <w:p>
            <w:pPr>
              <w:jc w:val="center"/>
              <w:ind w:right="2360"/>
              <w:spacing w:after="0"/>
              <w:rPr>
                <w:sz w:val="20"/>
                <w:szCs w:val="20"/>
                <w:color w:val="auto"/>
              </w:rPr>
            </w:pPr>
            <w:r>
              <w:rPr>
                <w:rFonts w:ascii="Arial" w:cs="Arial" w:eastAsia="Arial" w:hAnsi="Arial"/>
                <w:sz w:val="14"/>
                <w:szCs w:val="14"/>
                <w:b w:val="1"/>
                <w:bCs w:val="1"/>
                <w:color w:val="auto"/>
                <w:w w:val="94"/>
              </w:rPr>
              <w:t>(Commission File Number)</w:t>
            </w:r>
          </w:p>
        </w:tc>
      </w:tr>
      <w:tr>
        <w:trPr>
          <w:trHeight w:val="421"/>
        </w:trPr>
        <w:tc>
          <w:tcPr>
            <w:tcW w:w="3400" w:type="dxa"/>
            <w:vAlign w:val="bottom"/>
          </w:tcPr>
          <w:p>
            <w:pPr>
              <w:jc w:val="center"/>
              <w:ind w:right="41"/>
              <w:spacing w:after="0"/>
              <w:rPr>
                <w:sz w:val="20"/>
                <w:szCs w:val="20"/>
                <w:color w:val="auto"/>
              </w:rPr>
            </w:pPr>
            <w:r>
              <w:rPr>
                <w:rFonts w:ascii="Arial" w:cs="Arial" w:eastAsia="Arial" w:hAnsi="Arial"/>
                <w:sz w:val="18"/>
                <w:szCs w:val="18"/>
                <w:b w:val="1"/>
                <w:bCs w:val="1"/>
                <w:color w:val="auto"/>
                <w:w w:val="91"/>
              </w:rPr>
              <w:t>Delaware</w:t>
            </w:r>
          </w:p>
        </w:tc>
        <w:tc>
          <w:tcPr>
            <w:tcW w:w="4360" w:type="dxa"/>
            <w:vAlign w:val="bottom"/>
          </w:tcPr>
          <w:p>
            <w:pPr>
              <w:jc w:val="right"/>
              <w:ind w:right="40"/>
              <w:spacing w:after="0"/>
              <w:rPr>
                <w:sz w:val="20"/>
                <w:szCs w:val="20"/>
                <w:color w:val="auto"/>
              </w:rPr>
            </w:pPr>
            <w:r>
              <w:rPr>
                <w:rFonts w:ascii="Arial" w:cs="Arial" w:eastAsia="Arial" w:hAnsi="Arial"/>
                <w:sz w:val="18"/>
                <w:szCs w:val="18"/>
                <w:b w:val="1"/>
                <w:bCs w:val="1"/>
                <w:color w:val="auto"/>
              </w:rPr>
              <w:t>87-1727560</w:t>
            </w:r>
          </w:p>
        </w:tc>
      </w:tr>
      <w:tr>
        <w:trPr>
          <w:trHeight w:val="148"/>
        </w:trPr>
        <w:tc>
          <w:tcPr>
            <w:tcW w:w="34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360" w:type="dxa"/>
            <w:vAlign w:val="bottom"/>
          </w:tcPr>
          <w:p>
            <w:pPr>
              <w:jc w:val="center"/>
              <w:ind w:left="316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incorporation or organization)</w:t>
            </w:r>
          </w:p>
        </w:tc>
        <w:tc>
          <w:tcPr>
            <w:tcW w:w="4360" w:type="dxa"/>
            <w:vAlign w:val="bottom"/>
          </w:tcPr>
          <w:p>
            <w:pPr>
              <w:jc w:val="center"/>
              <w:ind w:left="3160"/>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3400" w:type="dxa"/>
            <w:vAlign w:val="bottom"/>
          </w:tcPr>
          <w:p>
            <w:pPr>
              <w:jc w:val="center"/>
              <w:ind w:right="41"/>
              <w:spacing w:after="0"/>
              <w:rPr>
                <w:sz w:val="20"/>
                <w:szCs w:val="20"/>
                <w:color w:val="auto"/>
              </w:rPr>
            </w:pPr>
            <w:r>
              <w:rPr>
                <w:rFonts w:ascii="Arial" w:cs="Arial" w:eastAsia="Arial" w:hAnsi="Arial"/>
                <w:sz w:val="18"/>
                <w:szCs w:val="18"/>
                <w:b w:val="1"/>
                <w:bCs w:val="1"/>
                <w:color w:val="auto"/>
                <w:w w:val="90"/>
              </w:rPr>
              <w:t>1801 Russelville Road, Bowling Green, KY</w:t>
            </w:r>
          </w:p>
        </w:tc>
        <w:tc>
          <w:tcPr>
            <w:tcW w:w="4360" w:type="dxa"/>
            <w:vAlign w:val="bottom"/>
          </w:tcPr>
          <w:p>
            <w:pPr>
              <w:jc w:val="right"/>
              <w:ind w:right="260"/>
              <w:spacing w:after="0"/>
              <w:rPr>
                <w:sz w:val="20"/>
                <w:szCs w:val="20"/>
                <w:color w:val="auto"/>
              </w:rPr>
            </w:pPr>
            <w:r>
              <w:rPr>
                <w:rFonts w:ascii="Arial" w:cs="Arial" w:eastAsia="Arial" w:hAnsi="Arial"/>
                <w:sz w:val="18"/>
                <w:szCs w:val="18"/>
                <w:b w:val="1"/>
                <w:bCs w:val="1"/>
                <w:color w:val="auto"/>
              </w:rPr>
              <w:t>42101</w:t>
            </w:r>
          </w:p>
        </w:tc>
      </w:tr>
      <w:tr>
        <w:trPr>
          <w:trHeight w:val="186"/>
        </w:trPr>
        <w:tc>
          <w:tcPr>
            <w:tcW w:w="340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360" w:type="dxa"/>
            <w:vAlign w:val="bottom"/>
          </w:tcPr>
          <w:p>
            <w:pPr>
              <w:jc w:val="center"/>
              <w:ind w:left="3160"/>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(270) 495-4801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Empower LTD.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MidOcean Partners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245 Park Avenue, 38th Floor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10167</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HLLY</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Warrants, each exercisable for one shareof</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HLLY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common stok at an exercise price of $11.50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420"/>
        <w:spacing w:after="0" w:line="270" w:lineRule="auto"/>
        <w:rPr>
          <w:sz w:val="20"/>
          <w:szCs w:val="20"/>
          <w:color w:val="auto"/>
        </w:rPr>
      </w:pPr>
      <w:r>
        <w:rPr>
          <w:rFonts w:ascii="Arial" w:cs="Arial" w:eastAsia="Arial" w:hAnsi="Arial"/>
          <w:sz w:val="17"/>
          <w:szCs w:val="17"/>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w:t>
      </w:r>
    </w:p>
    <w:p>
      <w:pPr>
        <w:spacing w:after="0" w:line="2" w:lineRule="exact"/>
        <w:rPr>
          <w:sz w:val="24"/>
          <w:szCs w:val="24"/>
          <w:color w:val="auto"/>
        </w:rPr>
      </w:pPr>
    </w:p>
    <w:p>
      <w:pPr>
        <w:ind w:left="120"/>
        <w:spacing w:after="0" w:line="207" w:lineRule="exact"/>
        <w:tabs>
          <w:tab w:leader="none" w:pos="680" w:val="left"/>
          <w:tab w:leader="none" w:pos="136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w:t>
      </w:r>
    </w:p>
    <w:p>
      <w:pPr>
        <w:sectPr>
          <w:pgSz w:w="11900" w:h="16956"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company” in Rule 12b-2 of the Exchange 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As of August 10, 2021, there were 117,993,139 shares of the Company’s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210820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HOLLEY INC. (F/K/A EMPOWER LTD.)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 FOR THE QUARTER ENDED JUNE 30, 2021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8"/>
            <w:vMerge w:val="restart"/>
          </w:tcPr>
          <w:p>
            <w:pPr>
              <w:spacing w:after="0"/>
              <w:rPr>
                <w:sz w:val="20"/>
                <w:szCs w:val="20"/>
                <w:color w:val="auto"/>
              </w:rPr>
            </w:pPr>
            <w:r>
              <w:rPr>
                <w:rFonts w:ascii="Arial" w:cs="Arial" w:eastAsia="Arial" w:hAnsi="Arial"/>
                <w:sz w:val="18"/>
                <w:szCs w:val="18"/>
                <w:color w:val="auto"/>
              </w:rPr>
              <w:t>Part I. 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660" w:type="dxa"/>
            <w:vAlign w:val="bottom"/>
            <w:gridSpan w:val="18"/>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300" w:type="dxa"/>
            <w:vAlign w:val="bottom"/>
            <w:gridSpan w:val="17"/>
          </w:tcPr>
          <w:p>
            <w:pPr>
              <w:spacing w:after="0"/>
              <w:rPr>
                <w:sz w:val="20"/>
                <w:szCs w:val="20"/>
                <w:color w:val="auto"/>
              </w:rPr>
            </w:pPr>
            <w:r>
              <w:rPr>
                <w:rFonts w:ascii="Arial" w:cs="Arial" w:eastAsia="Arial" w:hAnsi="Arial"/>
                <w:sz w:val="18"/>
                <w:szCs w:val="18"/>
                <w:color w:val="auto"/>
              </w:rPr>
              <w:t>Item 1. Financial Statements (Unaudited)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140" w:type="dxa"/>
            <w:vAlign w:val="bottom"/>
            <w:tcBorders>
              <w:bottom w:val="single" w:sz="8" w:color="0000EE"/>
            </w:tcBorders>
            <w:gridSpan w:val="11"/>
          </w:tcPr>
          <w:p>
            <w:pPr>
              <w:spacing w:after="0" w:line="19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Balance Sheets as of June 30, 2021 and December 31, 2020</w:t>
              </w:r>
            </w:hyperlink>
          </w:p>
        </w:tc>
        <w:tc>
          <w:tcPr>
            <w:tcW w:w="4800" w:type="dxa"/>
            <w:vAlign w:val="bottom"/>
            <w:gridSpan w:val="5"/>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 for the Three and Six Months Ended June 30, 2021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Statements of Changes in Shareholders’ Equity for the Three and Six Months Ended June 30, 2021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Statement of Cash Flows for the Six Months Ended June 30, 2021</w:t>
              </w:r>
            </w:hyperlink>
          </w:p>
        </w:tc>
        <w:tc>
          <w:tcPr>
            <w:tcW w:w="2360" w:type="dxa"/>
            <w:vAlign w:val="bottom"/>
            <w:tcBorders>
              <w:top w:val="single" w:sz="8" w:color="0000EE"/>
            </w:tcBorders>
            <w:gridSpan w:val="3"/>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w:t>
              </w:r>
            </w:hyperlink>
          </w:p>
        </w:tc>
        <w:tc>
          <w:tcPr>
            <w:tcW w:w="69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Regarding Market Risk</w:t>
              </w:r>
            </w:hyperlink>
          </w:p>
        </w:tc>
        <w:tc>
          <w:tcPr>
            <w:tcW w:w="33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Item 4. Controls and Procedures</w:t>
              </w:r>
            </w:hyperlink>
          </w:p>
        </w:tc>
        <w:tc>
          <w:tcPr>
            <w:tcW w:w="2880" w:type="dxa"/>
            <w:vAlign w:val="bottom"/>
            <w:tcBorders>
              <w:top w:val="single" w:sz="8" w:color="0000EE"/>
            </w:tcBorders>
            <w:gridSpan w:val="4"/>
          </w:tcPr>
          <w:p>
            <w:pPr>
              <w:spacing w:after="0"/>
              <w:rPr>
                <w:sz w:val="17"/>
                <w:szCs w:val="17"/>
                <w:color w:val="auto"/>
              </w:rPr>
            </w:pPr>
          </w:p>
        </w:tc>
        <w:tc>
          <w:tcPr>
            <w:tcW w:w="51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0660" w:type="dxa"/>
            <w:vAlign w:val="bottom"/>
            <w:gridSpan w:val="18"/>
          </w:tcPr>
          <w:p>
            <w:pPr>
              <w:spacing w:after="0"/>
              <w:rPr>
                <w:sz w:val="20"/>
                <w:szCs w:val="20"/>
                <w:color w:val="auto"/>
              </w:rPr>
            </w:pPr>
            <w:r>
              <w:rPr>
                <w:rFonts w:ascii="Arial" w:cs="Arial" w:eastAsia="Arial" w:hAnsi="Arial"/>
                <w:sz w:val="18"/>
                <w:szCs w:val="18"/>
                <w:color w:val="auto"/>
              </w:rPr>
              <w:t>Part II. Other Information</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300" w:type="dxa"/>
            <w:vAlign w:val="bottom"/>
            <w:gridSpan w:val="17"/>
          </w:tcPr>
          <w:p>
            <w:pPr>
              <w:spacing w:after="0" w:line="190" w:lineRule="exact"/>
              <w:rPr>
                <w:rFonts w:ascii="Arial" w:cs="Arial" w:eastAsia="Arial" w:hAnsi="Arial"/>
                <w:sz w:val="18"/>
                <w:szCs w:val="18"/>
                <w:color w:val="0000EE"/>
              </w:rPr>
            </w:pPr>
            <w:hyperlink w:anchor="page24">
              <w:r>
                <w:rPr>
                  <w:rFonts w:ascii="Arial" w:cs="Arial" w:eastAsia="Arial" w:hAnsi="Arial"/>
                  <w:sz w:val="18"/>
                  <w:szCs w:val="18"/>
                  <w:color w:val="0000EE"/>
                </w:rPr>
                <w:t>Item 1. Legal Proceedings</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84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2. Unregistered Sales of Equity Securities and Use of Proceeds</w:t>
              </w:r>
            </w:hyperlink>
          </w:p>
        </w:tc>
        <w:tc>
          <w:tcPr>
            <w:tcW w:w="54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 Defaults Upon Senior Securities</w:t>
              </w:r>
            </w:hyperlink>
          </w:p>
        </w:tc>
        <w:tc>
          <w:tcPr>
            <w:tcW w:w="74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 Mine Safety Disclosures</w:t>
              </w:r>
            </w:hyperlink>
          </w:p>
        </w:tc>
        <w:tc>
          <w:tcPr>
            <w:tcW w:w="798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5. 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84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Part III. 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Interim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June 30,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7"/>
              </w:rPr>
              <w:t>(unaudited)</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1,080,629</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259,850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379,166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1,459,795</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250,112,265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250,052,906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251,076,124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251,512,701</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4,270,875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173,873</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25,233,333</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15,090,000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Forward purchase agreement liability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3,250,000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2,050,000</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8,750,000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41,504,208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26,063,873</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ordinary shares subject to possible redemption, 20,448,008 and 22,040,218 shares, as of June 30, 2021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 at redemption value</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204,571,908</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220,448,820</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w w:val="96"/>
              </w:rPr>
              <w:t>Class A ordinary shares, $0.0001 par value; 500,000,000 shares authorized; 4,551,992 and 2,959,782 shares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8"/>
                <w:szCs w:val="18"/>
                <w:color w:val="auto"/>
                <w:w w:val="96"/>
              </w:rPr>
              <w:t>issued and outstanding, respectively (excluding 20,448,008 and 22,040,218 shares, respectively, subject to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ordinary shares, $0.0001 par value; 50,000,000 shares authorized; 6,250,000 shares issued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June 30, 2021 and December 31, 2020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25,319,734</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9,442,981</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(20,320,806)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(4,443,894)</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5,000,008</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251,076,124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251,512,701</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200" w:type="dxa"/>
            <w:vAlign w:val="bottom"/>
            <w:gridSpan w:val="3"/>
          </w:tcPr>
          <w:p>
            <w:pPr>
              <w:jc w:val="center"/>
              <w:ind w:right="141"/>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10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8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8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0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8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1,655,583</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4,592,939</w:t>
            </w:r>
          </w:p>
        </w:tc>
        <w:tc>
          <w:tcPr>
            <w:tcW w:w="120" w:type="dxa"/>
            <w:vAlign w:val="bottom"/>
            <w:shd w:val="clear" w:color="auto" w:fill="CCEEFF"/>
          </w:tcPr>
          <w:p>
            <w:pPr>
              <w:spacing w:after="0"/>
              <w:rPr>
                <w:sz w:val="18"/>
                <w:szCs w:val="18"/>
                <w:color w:val="auto"/>
              </w:rPr>
            </w:pPr>
          </w:p>
        </w:tc>
      </w:tr>
      <w:tr>
        <w:trPr>
          <w:trHeight w:val="228"/>
        </w:trPr>
        <w:tc>
          <w:tcPr>
            <w:tcW w:w="87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(1,655,583)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(4,592,939)</w:t>
            </w:r>
          </w:p>
        </w:tc>
        <w:tc>
          <w:tcPr>
            <w:tcW w:w="120" w:type="dxa"/>
            <w:vAlign w:val="bottom"/>
          </w:tcPr>
          <w:p>
            <w:pPr>
              <w:spacing w:after="0"/>
              <w:rPr>
                <w:sz w:val="19"/>
                <w:szCs w:val="19"/>
                <w:color w:val="auto"/>
              </w:rPr>
            </w:pPr>
          </w:p>
        </w:tc>
      </w:tr>
      <w:tr>
        <w:trPr>
          <w:trHeight w:val="103"/>
        </w:trPr>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7,191</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59,360</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 held in trust account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(4,366)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(9,706,666)</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(10,143,333)</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forward purchase agreement liability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(1,500,000)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(1,200,000)</w:t>
            </w:r>
          </w:p>
        </w:tc>
      </w:tr>
      <w:tr>
        <w:trPr>
          <w:trHeight w:val="223"/>
        </w:trPr>
        <w:tc>
          <w:tcPr>
            <w:tcW w:w="874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(11,203,841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(11,283,973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15"/>
        </w:trPr>
        <w:tc>
          <w:tcPr>
            <w:tcW w:w="8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0"/>
              </w:rPr>
              <w:t>(12,859,424)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(15,876,912)</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740" w:type="dxa"/>
            <w:vAlign w:val="bottom"/>
          </w:tcPr>
          <w:p>
            <w:pPr>
              <w:spacing w:after="0"/>
              <w:rPr>
                <w:sz w:val="20"/>
                <w:szCs w:val="20"/>
                <w:color w:val="auto"/>
              </w:rPr>
            </w:pPr>
            <w:r>
              <w:rPr>
                <w:rFonts w:ascii="Arial" w:cs="Arial" w:eastAsia="Arial" w:hAnsi="Arial"/>
                <w:sz w:val="18"/>
                <w:szCs w:val="18"/>
                <w:color w:val="auto"/>
              </w:rPr>
              <w:t>Weighted average ordinary shares subject to possible redemption</w:t>
            </w:r>
          </w:p>
        </w:tc>
        <w:tc>
          <w:tcPr>
            <w:tcW w:w="10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21,733,619</w:t>
            </w:r>
          </w:p>
        </w:tc>
        <w:tc>
          <w:tcPr>
            <w:tcW w:w="80" w:type="dxa"/>
            <w:vAlign w:val="bottom"/>
          </w:tcPr>
          <w:p>
            <w:pPr>
              <w:spacing w:after="0"/>
              <w:rPr>
                <w:sz w:val="24"/>
                <w:szCs w:val="24"/>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21,886,072</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ordinary shares subject to possible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0.00</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74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9,516,381</w:t>
            </w:r>
          </w:p>
        </w:tc>
        <w:tc>
          <w:tcPr>
            <w:tcW w:w="80" w:type="dxa"/>
            <w:vAlign w:val="bottom"/>
          </w:tcPr>
          <w:p>
            <w:pPr>
              <w:spacing w:after="0"/>
              <w:rPr>
                <w:sz w:val="24"/>
                <w:szCs w:val="24"/>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9,363,928</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400"/>
        <w:spacing w:after="0" w:line="263" w:lineRule="auto"/>
        <w:rPr>
          <w:sz w:val="20"/>
          <w:szCs w:val="20"/>
          <w:color w:val="auto"/>
        </w:rPr>
      </w:pPr>
      <w:r>
        <w:rPr>
          <w:rFonts w:ascii="Arial" w:cs="Arial" w:eastAsia="Arial" w:hAnsi="Arial"/>
          <w:sz w:val="18"/>
          <w:szCs w:val="18"/>
          <w:b w:val="1"/>
          <w:bCs w:val="1"/>
          <w:color w:val="auto"/>
        </w:rPr>
        <w:t xml:space="preserve">HOLLEY INC. (F/K/A EMPOWER LTD.) CONDENSED STATEMENTS OF CHANGES IN SHAREHOLDERS’ EQUITY THREE AND SIX MONTHS ENDED JUNE 30, 2021 </w:t>
      </w:r>
      <w:r>
        <w:rPr>
          <w:rFonts w:ascii="Arial" w:cs="Arial" w:eastAsia="Arial" w:hAnsi="Arial"/>
          <w:sz w:val="18"/>
          <w:szCs w:val="18"/>
          <w:color w:val="auto"/>
        </w:rPr>
        <w:t>(Unaudited)</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0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540"/>
              <w:spacing w:after="0"/>
              <w:rPr>
                <w:sz w:val="20"/>
                <w:szCs w:val="20"/>
                <w:color w:val="auto"/>
              </w:rPr>
            </w:pPr>
            <w:r>
              <w:rPr>
                <w:rFonts w:ascii="Arial" w:cs="Arial" w:eastAsia="Arial" w:hAnsi="Arial"/>
                <w:sz w:val="14"/>
                <w:szCs w:val="14"/>
                <w:b w:val="1"/>
                <w:bCs w:val="1"/>
                <w:color w:val="auto"/>
                <w:w w:val="85"/>
              </w:rPr>
              <w:t>Class B</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Additional</w:t>
            </w:r>
          </w:p>
        </w:tc>
        <w:tc>
          <w:tcPr>
            <w:tcW w:w="12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780" w:type="dxa"/>
            <w:vAlign w:val="bottom"/>
            <w:gridSpan w:val="6"/>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Ordinary Shares</w:t>
            </w:r>
          </w:p>
        </w:tc>
        <w:tc>
          <w:tcPr>
            <w:tcW w:w="1660" w:type="dxa"/>
            <w:vAlign w:val="bottom"/>
            <w:gridSpan w:val="6"/>
          </w:tcPr>
          <w:p>
            <w:pPr>
              <w:ind w:left="240"/>
              <w:spacing w:after="0" w:line="129" w:lineRule="exact"/>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3"/>
            <w:vMerge w:val="continue"/>
          </w:tcPr>
          <w:p>
            <w:pPr>
              <w:spacing w:after="0"/>
              <w:rPr>
                <w:sz w:val="12"/>
                <w:szCs w:val="12"/>
                <w:color w:val="auto"/>
              </w:rPr>
            </w:pPr>
          </w:p>
        </w:tc>
        <w:tc>
          <w:tcPr>
            <w:tcW w:w="10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00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00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18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2,959,782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86"/>
              </w:rPr>
              <w:t>296</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6,250,000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86"/>
              </w:rPr>
              <w:t>625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9,442,981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(4,443,894)</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60" w:type="dxa"/>
            <w:vAlign w:val="bottom"/>
          </w:tcPr>
          <w:p>
            <w:pPr>
              <w:spacing w:after="0"/>
              <w:rPr>
                <w:sz w:val="20"/>
                <w:szCs w:val="20"/>
                <w:color w:val="auto"/>
              </w:rPr>
            </w:pPr>
            <w:r>
              <w:rPr>
                <w:rFonts w:ascii="Arial" w:cs="Arial" w:eastAsia="Arial" w:hAnsi="Arial"/>
                <w:sz w:val="18"/>
                <w:szCs w:val="18"/>
                <w:color w:val="auto"/>
                <w:w w:val="97"/>
              </w:rPr>
              <w:t>Change in value of class A ordinary shares subject</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to possible redemption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306,599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3,017,457</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3,017,488</w:t>
            </w: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(3,017,488)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(3,017,488)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60" w:type="dxa"/>
            <w:vAlign w:val="bottom"/>
          </w:tcPr>
          <w:p>
            <w:pPr>
              <w:spacing w:after="0"/>
              <w:rPr>
                <w:sz w:val="20"/>
                <w:szCs w:val="20"/>
                <w:color w:val="auto"/>
              </w:rPr>
            </w:pPr>
            <w:r>
              <w:rPr>
                <w:rFonts w:ascii="Arial" w:cs="Arial" w:eastAsia="Arial" w:hAnsi="Arial"/>
                <w:sz w:val="18"/>
                <w:szCs w:val="18"/>
                <w:b w:val="1"/>
                <w:bCs w:val="1"/>
                <w:color w:val="auto"/>
              </w:rPr>
              <w:t>Balance – March 31, 2021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3,266,381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w w:val="86"/>
              </w:rPr>
              <w:t>327</w:t>
            </w:r>
          </w:p>
        </w:tc>
        <w:tc>
          <w:tcPr>
            <w:tcW w:w="24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w w:val="87"/>
              </w:rPr>
              <w:t>6,250,000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w w:val="86"/>
              </w:rPr>
              <w:t>625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12,460,438</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(7,461,382)</w:t>
            </w:r>
          </w:p>
        </w:tc>
        <w:tc>
          <w:tcPr>
            <w:tcW w:w="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5,000,008</w:t>
            </w: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value of Class A ordinary shares subject</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possible redemption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1,285,611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128</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12,859,296</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12,859,424</w:t>
            </w:r>
          </w:p>
        </w:tc>
        <w:tc>
          <w:tcPr>
            <w:tcW w:w="0" w:type="dxa"/>
            <w:vAlign w:val="bottom"/>
          </w:tcPr>
          <w:p>
            <w:pPr>
              <w:spacing w:after="0"/>
              <w:rPr>
                <w:sz w:val="1"/>
                <w:szCs w:val="1"/>
                <w:color w:val="auto"/>
              </w:rPr>
            </w:pPr>
          </w:p>
        </w:tc>
      </w:tr>
      <w:tr>
        <w:trPr>
          <w:trHeight w:val="324"/>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(12,859,424)</w:t>
            </w:r>
          </w:p>
        </w:tc>
        <w:tc>
          <w:tcPr>
            <w:tcW w:w="8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(12,859,424)</w:t>
            </w:r>
          </w:p>
        </w:tc>
        <w:tc>
          <w:tcPr>
            <w:tcW w:w="0" w:type="dxa"/>
            <w:vAlign w:val="bottom"/>
          </w:tcPr>
          <w:p>
            <w:pPr>
              <w:spacing w:after="0"/>
              <w:rPr>
                <w:sz w:val="1"/>
                <w:szCs w:val="1"/>
                <w:color w:val="auto"/>
              </w:rPr>
            </w:pPr>
          </w:p>
        </w:tc>
      </w:tr>
      <w:tr>
        <w:trPr>
          <w:trHeight w:val="115"/>
        </w:trPr>
        <w:tc>
          <w:tcPr>
            <w:tcW w:w="39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4,551,992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455</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6,250,000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25,319,734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(20,320,806)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620" w:type="dxa"/>
            <w:vAlign w:val="bottom"/>
          </w:tcPr>
          <w:p>
            <w:pPr>
              <w:jc w:val="center"/>
              <w:ind w:left="2310"/>
              <w:spacing w:after="0"/>
              <w:rPr>
                <w:sz w:val="20"/>
                <w:szCs w:val="20"/>
                <w:color w:val="auto"/>
              </w:rPr>
            </w:pPr>
            <w:r>
              <w:rPr>
                <w:rFonts w:ascii="Arial" w:cs="Arial" w:eastAsia="Arial" w:hAnsi="Arial"/>
                <w:sz w:val="18"/>
                <w:szCs w:val="18"/>
                <w:b w:val="1"/>
                <w:bCs w:val="1"/>
                <w:color w:val="auto"/>
              </w:rPr>
              <w:t>HOLLEY INC. (F/K/A EMPOWER LTD.)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jc w:val="center"/>
              <w:ind w:left="2310"/>
              <w:spacing w:after="0"/>
              <w:rPr>
                <w:sz w:val="20"/>
                <w:szCs w:val="20"/>
                <w:color w:val="auto"/>
              </w:rPr>
            </w:pPr>
            <w:r>
              <w:rPr>
                <w:rFonts w:ascii="Arial" w:cs="Arial" w:eastAsia="Arial" w:hAnsi="Arial"/>
                <w:sz w:val="18"/>
                <w:szCs w:val="18"/>
                <w:b w:val="1"/>
                <w:bCs w:val="1"/>
                <w:color w:val="auto"/>
                <w:w w:val="98"/>
              </w:rPr>
              <w:t>CONDENSED STATEMENT OF CASH FLOWS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(Unaudited)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(15,876,912)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(59,359)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10,143,333</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Change in fair value of forward purchase agreement liability</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Prepaid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119,316</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4,097,002</w:t>
            </w:r>
          </w:p>
        </w:tc>
        <w:tc>
          <w:tcPr>
            <w:tcW w:w="0" w:type="dxa"/>
            <w:vAlign w:val="bottom"/>
          </w:tcPr>
          <w:p>
            <w:pPr>
              <w:spacing w:after="0"/>
              <w:rPr>
                <w:sz w:val="1"/>
                <w:szCs w:val="1"/>
                <w:color w:val="auto"/>
              </w:rPr>
            </w:pPr>
          </w:p>
        </w:tc>
      </w:tr>
      <w:tr>
        <w:trPr>
          <w:trHeight w:val="230"/>
        </w:trPr>
        <w:tc>
          <w:tcPr>
            <w:tcW w:w="8620" w:type="dxa"/>
            <w:vAlign w:val="bottom"/>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(376,620)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Cash – Beginning</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1,080,629</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704,009</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(15,876,912)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Holley Inc. (formerly known as Empower Ltd.) (the “Company”) is a blank check company incorporated as a Cayman Islands exempted company on August 19, 2020. The Company was formed for the purpose of effecting a merger, share exchange, asset acquisition, share purchase, reorganization or similar business combination with one or more businesses (the “initial business combination”).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July 16, 2021 (the “Closing Date”), Holley Inc., a Delaware corporation (formerly known as Empower Ltd.) (prior to the Closing Date, “Empower” and after the Closing Date, “Holley”) consummated the previously announced business combination (the “Closing”) pursuant to that certain Agreement and Plan of Merger dated March 11, 2021 (the “Merger Agreement”), by and among Empower Ltd., a Cayman Islands exempted company, Empower Merger Sub I Inc., a Delaware corporation and a direct wholly owned subsidiary of Empower (“Merger Sub I”), Empower Merger Sub II, LLC, a Delaware limited liability company and a direct wholly owned subsidiary of Empower (“Merger Sub II”), and Holley Intermediate Holdings, Inc., a Delaware corporation (“Holley Intermediate”). In connection with the Closing, the registrant changed its name from Empower Ltd. to Holley Inc.</w:t>
      </w:r>
    </w:p>
    <w:p>
      <w:pPr>
        <w:spacing w:after="0" w:line="164"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Merger Agreement provided for, among other things, the following transactions: (i) Empower changed its jurisdiction of incorporation by deregistering as a Cayman Islands exempted company and continuing and domesticating as a corporation incorporated under the laws of the State of Delaware (the “Domestication”), and, in connection with the Domestication, (A) each outstanding Class A ordinary share, par value $0.0001, of Empower (“Empower Class A Share”) converted automatically into one share of common stock of Holley, par value $0.0001 per share (the “Common Stock”) and (B) each outstanding Class B ordinary share of Empower converted automatically into one share of Common Stock; and (ii) following the Domestication, (A) Merger Sub I merged with and into Holley Intermediate, with Holley Intermediate surviving as a wholly owned subsidiary of Empower (“Merger I”), (B) immediately following Merger I, Holley Intermediate merged with and into Merger Sub II, with Merger Sub II surviving as a limited liability company and a wholly owned subsidiary of Empower (“Merger II” and, together with Merger I, the “Mergers”). The transactions set forth in the Merger Agreement, including the Mergers, constituted a “Business Combination” as contemplated by Empower’s amended and restated memorandum and articles of association.</w:t>
      </w:r>
    </w:p>
    <w:p>
      <w:pPr>
        <w:spacing w:after="0" w:line="18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material provisions of the Merger Agreement are described in Empower’s definitive proxy statement/prospectus filed with the Securities and Exchange Commission (the “SEC”) on June 24, 2021 (as amended, the “Proxy Statement/Prospectus”) in the section entitled “</w:t>
      </w:r>
      <w:r>
        <w:rPr>
          <w:rFonts w:ascii="Arial" w:cs="Arial" w:eastAsia="Arial" w:hAnsi="Arial"/>
          <w:sz w:val="18"/>
          <w:szCs w:val="18"/>
          <w:i w:val="1"/>
          <w:iCs w:val="1"/>
          <w:color w:val="auto"/>
        </w:rPr>
        <w:t>Proposal No.1—The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Proposal—The Merger Agreement</w:t>
      </w:r>
      <w:r>
        <w:rPr>
          <w:rFonts w:ascii="Arial" w:cs="Arial" w:eastAsia="Arial" w:hAnsi="Arial"/>
          <w:sz w:val="18"/>
          <w:szCs w:val="18"/>
          <w:color w:val="auto"/>
        </w:rPr>
        <w:t>” beginning on page 104.</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prior to the Business Combination</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All activity for the period from August 19, 2020 (inception) through June 30, 2021 relates to the Company’s formation, the initial public offering (“Initial Public Offering”), which is described below and looking for a business combination. On March 11, 2021, the Company entered into an Agreement and Plan of Merger with Empower Merger Sub I Inc., Empower Merger Sub II LLC, and Holley Intermediate Holdings, Inc. as further described in Note 8.</w:t>
      </w:r>
    </w:p>
    <w:p>
      <w:pPr>
        <w:spacing w:after="0" w:line="18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registration statement for the Company’s Initial Public Offering became effective on October 6, 2020. On October 9, 2020,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4,666,667 warrants (the “private placement warrants”) at a price of $1.50 per private placement warrant in a private placement to Empower Sponsor Holdings LLC (the “sponsor”), generating gross proceeds of $7,000,000, which is described in Note 4.</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Transaction costs amounted to $14,215,163, consisting of $5,000,000 of underwriting fees, $8,750,000 of deferred underwriting fees and $465,163 of other offering costs.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Following the closing of the Initial Public Offering on October 9, 2020,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meeting certain conditions of Rule 2a-7 of the Investment Company Act, as determined by the Company, until the earlier of: (i) the completion of an initial business combination and (ii) the distribution of the funds in the trust account to the Company’s shareholders.</w:t>
      </w:r>
    </w:p>
    <w:p>
      <w:pPr>
        <w:sectPr>
          <w:pgSz w:w="11900" w:h="16838" w:orient="portrait"/>
          <w:cols w:equalWidth="0" w:num="1">
            <w:col w:w="11120"/>
          </w:cols>
          <w:pgMar w:left="320" w:top="486" w:right="459" w:bottom="1440" w:gutter="0" w:footer="0" w:header="0"/>
        </w:sectPr>
      </w:pP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20"/>
          </w:cols>
          <w:pgMar w:left="320" w:top="486"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2021 or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June 30, 2021 and December 31, 2020, substantially all of the assets held in the trust account were held in a money market fund and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Treasury Bills, respectively.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balance sheets.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and Forward Purchase Agreement Liabilities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Company accounts for the public warrants (as defined in Note 3), the private placement warrants (as defined in Note 4) (collectively, the “Warrants”) and the FPA (as defined in Note 6) as either equity-classified or liability-classified instruments based on an assessment of the specific terms of the Warrants and the FPA and applicable authoritative guidance in Financial Accounting Standards Board (“FASB”) Accounting Standards Codification (“ASC”) 480, Distinguishing Liabilities from Equity (“ASC 480”) and ASC 815, Derivatives and Hedging (“ASC 815”). The assessment considers whether the Warrants and the FPA are freestanding financial instruments pursuant to ASC 480, meet the definition of a liability pursuant to ASC 480, and meet all of the requirements for equity classification under ASC 815, including whether the Warrants and the FPA are indexed to the Company’s own ordinary shares and whether the holders of the Warrants could potentially require “net cash settlement” in a circumstance outside of the Company’s control, among other conditions for equity classification. This assessment, which requires the use of professional judgment, is conducted at the time of issuance of the Warrants and execution of the FPA and as of each subsequent quarterly period end date while the warrants and the FPA are outstanding. 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liability-classified warrants and the FPA are required to be recorded at their initial fair value on the date of issuance, and each balance sheet date thereafter. Changes in the estimated fair value of such warrants and the FPA are recognized as a non-cash gain or loss on the statements of operations.</w:t>
      </w:r>
    </w:p>
    <w:p>
      <w:pPr>
        <w:sectPr>
          <w:pgSz w:w="11900" w:h="16838" w:orient="portrait"/>
          <w:cols w:equalWidth="0" w:num="1">
            <w:col w:w="11120"/>
          </w:cols>
          <w:pgMar w:left="320" w:top="486" w:right="459" w:bottom="0" w:gutter="0" w:footer="0" w:header="0"/>
        </w:sectPr>
      </w:pP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20" w:top="486" w:right="459" w:bottom="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account for the Warrants and FPA in accordance with ASC 815-40 under which the Warrants and the FPA do not meet the criteria for equity classification and must be recorded as liabilities. At June 30, 2021 and December 31, 2020, the fair value of the Public Warrants has been estimated using the Public Warrants’ quoted market price. The Private Placement Warrants are valued at both dates using a Modified Black Scholes Option Pricing Model. The fair value of the FPA at each date has been estimated using an adjusted net assets method (see Note 10).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 presented.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Net income (loss) per share is computed by dividing net income by the weighted-average number of shares of ordinary shares outstanding during the period. The Company has not considered the effect of the warrants sold in the Public Offering and Private Placement to purchase an aggregate of 13,000,000 shares in the calculation of diluted loss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Company’s statements of operations includes a presentation of income (loss) per share for ordinary shares subject to possible redemption in a manner similar to the two-class method of income (loss) per share. Net income per share, basic and diluted, for Ordinary shares subject to possible redemption is calculated by dividing the proportionate share of income or loss on marketable securities held by the Trust Account, net of applicable franchise and income taxes, by the weighted average number of Ordinary shares subject to possible redemption outstanding since original issuance.</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Net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Non-redeemable ordinary shares includes founder shares and non-redeemable shares of ordinary shares as these shares do not have any redemption features. Non-redeemable ordinary shares participates in the income or loss on marketable securities based on non-redeemable ordinary shares shares’ proportionate interest.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8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Ordinary shares subject to possible redemption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 redemption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earned and unrealized loss on marketable securities held in Trust Account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48,551</w:t>
            </w:r>
          </w:p>
        </w:tc>
        <w:tc>
          <w:tcPr>
            <w:tcW w:w="0" w:type="dxa"/>
            <w:vAlign w:val="bottom"/>
          </w:tcPr>
          <w:p>
            <w:pPr>
              <w:spacing w:after="0"/>
              <w:rPr>
                <w:sz w:val="1"/>
                <w:szCs w:val="1"/>
                <w:color w:val="auto"/>
              </w:rPr>
            </w:pPr>
          </w:p>
        </w:tc>
      </w:tr>
      <w:tr>
        <w:trPr>
          <w:trHeight w:val="223"/>
        </w:trPr>
        <w:tc>
          <w:tcPr>
            <w:tcW w:w="8740" w:type="dxa"/>
            <w:vAlign w:val="bottom"/>
          </w:tcPr>
          <w:p>
            <w:pPr>
              <w:ind w:left="440"/>
              <w:spacing w:after="0"/>
              <w:rPr>
                <w:sz w:val="20"/>
                <w:szCs w:val="20"/>
                <w:color w:val="auto"/>
              </w:rPr>
            </w:pPr>
            <w:r>
              <w:rPr>
                <w:rFonts w:ascii="Arial" w:cs="Arial" w:eastAsia="Arial" w:hAnsi="Arial"/>
                <w:sz w:val="18"/>
                <w:szCs w:val="18"/>
                <w:color w:val="auto"/>
              </w:rPr>
              <w:t>Less: Income taxes and franchise fees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allocable to shares subject to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48,551</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Denominator: Weighted Average Ordinary shares subject to possible redemption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21,733,619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32,967,065</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Basic and 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Non-Redeemable Ordinary Shares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Numerator: Net Loss minus Net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(12,859,424)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(15,876,912)</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Less: Net income allocable to Ordinary shares subject to possible redemption</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(2,311)</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(48,551)</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(12,861,735)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(15,925,463)</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9,516,381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9,363,928</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7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condensed financial statements, primarily due to their short-term nature.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ectPr>
          <w:pgSz w:w="11900" w:h="16838" w:orient="portrait"/>
          <w:cols w:equalWidth="0" w:num="1">
            <w:col w:w="11140"/>
          </w:cols>
          <w:pgMar w:left="320" w:top="486" w:right="439" w:bottom="1440" w:gutter="0" w:footer="0" w:header="0"/>
        </w:sectPr>
      </w:pP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320" w:top="486"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the Initial Public Offering, the Company sold 25,000,000 units, at a purchase price of $10.00 per unit. Each unit consists of one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 A ordinary share and one-third of one redeemable warrant (“public warrant”). Each whole public warrant entitles the holder to purchase one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A ordinary share at an exercise price of $11.50 per share, subject to adjustment (see Note 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4,666,667 private placement warrants at a price of $1.50 per private placement warrant, for an aggregate purchase price of $7,000,000. Each private placement warrant (“private placement warrant”) is exercisable for one Class A ordinary share at a price of $11.50 per share, subject to adjustment (see Note 9). The proceeds from the sale of the private placement warrants were added to the net proceeds from the Initial Public Offering held in the trust account. If the Company does not complete an initial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During the period ended August 21, 2020, the sponsor paid $25,000 to cover certain offering and formation costs of the Company in consideration for 7,187,500 shares of Class B ordinary shares (the “founder shares”). The founder shares include an aggregate of up to 937,500 shares subject to forfeiture by the sponsor to the extent that the underwriters’ over-allotment is not exercised in full or in part, so that the number of founder shares will collectively represent 20% of the Company’s issued and outstanding shares upon the completion of the Initial Public Offering. On November 23, 2020, the underwriters’ election to exercise their over-allotment option expired unexercised, resulting in the forfeiture of 937,500 shares. Accordingly, as of November 23, 2020, there are 6,250,000 founder shares issued and outstanding.</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an initial business combination; and (B) subsequent to an initial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an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11, 2021, the Company, sponsor and Holley Stockholder entered into the Sponsor Agreement, whereby the sponsor has agreed to</w:t>
      </w:r>
    </w:p>
    <w:p>
      <w:pPr>
        <w:spacing w:after="0" w:line="46" w:lineRule="exact"/>
        <w:rPr>
          <w:sz w:val="20"/>
          <w:szCs w:val="20"/>
          <w:color w:val="auto"/>
        </w:rPr>
      </w:pPr>
    </w:p>
    <w:p>
      <w:pPr>
        <w:ind w:left="120" w:right="220" w:hanging="4"/>
        <w:spacing w:after="0" w:line="26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waive certain of its anti-dilution and conversion rights with respect to the founder shares and (ii) an earn-out in respect of the Earn-Out Shares. For more information, see the description of the Sponsor Agreement in Note 8 below.</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order to finance transaction costs in connection with an initial business combination, the sponsor or an affiliate of the sponsor or certain of the Company’s directors and officers may, but are not obligated to, loan the Company funds as may be required (“Working Capital Loans”). If the Company completes an initial business combination, the Company would repay the Working Capital Loans out of the proceeds of the trust account released to the Company. Otherwise, the Working Capital Loans would be repaid only out of funds held outside the trust account. In the event that an initial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an initial business combination, without interest, or, at the lender’s discretion, up to $2,000,000 of such Working Capital Loans may be convertible into warrants of the post-initial business combination entity at a price of $1.50 per warrant. The warrants would be identical to the private placement warrants.</w:t>
      </w:r>
    </w:p>
    <w:p>
      <w:pPr>
        <w:sectPr>
          <w:pgSz w:w="11900" w:h="16838" w:orient="portrait"/>
          <w:cols w:equalWidth="0" w:num="1">
            <w:col w:w="11120"/>
          </w:cols>
          <w:pgMar w:left="320" w:top="486" w:right="45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86"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PIPE Financing</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connection with the execution of the Merger Agreement, Empower entered into the PIPE Subscription Agreements with the PIPE Investors to sell an additional 24,000,000 shares of Common Stock (at a price of $10.00 per share) at Closing, for a total aggregate purchase price of up to $240.0 million. Per the Merger Agreement, $100.0 million of the PIPE Financing proceeds were used for the Debt Paydown.</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Empower entered into a PIPE Subscription Agreement with MidOcean Partners V, LP, an affiliate of the Sponsor, to purchase 1,950,000 shares of Domestication Common Stock in connection with the PIPE Investment for an aggregate purchase price of $19,500,000. The terms of the PIPE Subscription Agreement entered into with MidOcean Partners V, LP are the same as other PIPE Investors. With the consent of Empower, MidOcean Partners V, LP assigned (i) 50,000 shares under its PIPE Subscription Agreement to a new PIPE Investor on March 17, 2021, (ii) 100,000 shares under its PIPE Subscription Agreement to another new PIPE Investor on May 11, 2021, and (iii) 700,000 shares under its PIPE Subscription Agreement to certain new PIPE Investors on June 25, 2021.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information contained in Note 8 below under the section entitled “Forward Purchase Agreement” is incorporated by reference herein.</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Pursuant to a registration and shareholder rights agreement entered into on October 9, 2020, the holders of the founder shares, private placement warrants and warrants that may be issued upon conversion of the Working Capital Loans (and any Class A ordinary shares issuable upon the exercise of the private placement warrants and warrants that may be issued upon conversion of Working Capital Loans and upon conversion of the founder shares) will be entitled to registration rights. The holders of these securities are entitled to make up to three demands, excluding short form demands, that the Company register such securities. In addition, the holders have certain “piggy-back” registration rights with respect to registration statements filed subsequent to completion of an initial business combination. However, the registration and shareholder rights agreement provides that the Company will not permit any registration statement filed under the Securities Act to become effective until termination of the applicable lockup period. The registration and shareholders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16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Pursuant to the FPA (as defined below), as amended and restated on March 11, 2021 (the “A&amp;R FPA”), the Company agreed that it will use its commercially reasonable efforts to (i) within 30 days after the closing of the an initial business combination, file a registration statement with the SEC for a secondary offering of (A) the forward purchase investors’ forward purchase shares, (B) the Class A ordinary shares issuable upon exercise of the forward purchase investors’ forward purchase warrants and (C) any other Class A ordinary shares acquired by the forward purchase investors, including any acquisitions after the Company completes an initial business combination, (ii) cause such registration statement to be declared effective promptly thereafter, but in no event later than 90 days after the closing of an initial business combination and (iii) maintain the effectiveness of such registration statement and to ensure the registration statement does not contain a material omission or misstatement, including by way of amendment or other update, as required, until the earlier of (A) the date on which a forward purchase investor ceases to hold the securities covered thereby and (B) the date all of the securities covered thereby can be sold publicly without restriction or limitation under Rule 144 under the Securities Act, and without the requirement to be in compliance with Rule 144(c)(1) under the Securities Act, subject to certain conditions and limitations set forth in the A&amp;R FPA. The Company will bear the cost of registering these securities.</w:t>
      </w:r>
    </w:p>
    <w:p>
      <w:pPr>
        <w:spacing w:after="0" w:line="182"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PIPE Investors have certain customary registration rights pursuant to the Subscription Agreements. In particular, the Company has committed to file for registration with the SEC such Domesticated Company Common Stock issued pursuant to the PIPE Subscription Agreement.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underwriters are entitled to a deferred fee of $0.35 per unit, or $8,750,000 in the aggregate. The deferred fee will become payable to the underwriters from the amounts held in the trust account solely in the event that the Company completes an initial business combination, subject to the terms of the underwriting agreement. In connection with the closing of the Business Combination, the deferred fee was paid to the underwriters.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Company entered into a forward purchase agreement (the “FPA”), dated as of October 6, 2020, pursuant to which Empower Funding LLC (“Empower Funding”), a newly formed Delaware limited liability company which has received commitments from one or more funds affiliated with MidOcean Partners (“MidOcean”), and is an affiliate of the sponsor, will purchase an aggregate of up to 5,000,000 forward purchase units, consisting of one Class A ordinary share and one-third of one warrant to purchase one Class A ordinary share for $10.00 per unit, or up to $50,000,000 in the aggregate, in a private placement to close substantially concurrently with the closing of an initial business combination, subject to approval at such time by the MidOcean investment committee. Concurrent with the execution of the Merger Agreement, the Company amended and restated the FPA (the “A&amp;R FPA”), whereby the parties agreed to remove the requirement that the MidOcean investment committee approve the initial business combination. The allocation of the forward purchase securities among the ultimate MidOcean funds that will be funding the forward purchase will be determined by MidOcean, in its sole discretion, at the time of an initial business combination. If the sale of the forward purchase units fails to close, for any reason, the Company may lack sufficient funds to consummate an initial business combination. The forward purchase shares and forward purchase warrants will be identical to the Class A ordinary shares included in the units sold in the Initial Public Offering, except that they will be subject to certain registration rights.</w:t>
      </w:r>
    </w:p>
    <w:p>
      <w:pPr>
        <w:sectPr>
          <w:pgSz w:w="11900" w:h="16838" w:orient="portrait"/>
          <w:cols w:equalWidth="0" w:num="1">
            <w:col w:w="11100"/>
          </w:cols>
          <w:pgMar w:left="320" w:top="486" w:right="479" w:bottom="181" w:gutter="0" w:footer="0" w:header="0"/>
        </w:sectPr>
      </w:pPr>
    </w:p>
    <w:bookmarkStart w:id="14" w:name="page15"/>
    <w:bookmarkEnd w:id="14"/>
    <w:p>
      <w:pPr>
        <w:ind w:firstLine="440"/>
        <w:spacing w:after="0" w:line="296" w:lineRule="auto"/>
        <w:rPr>
          <w:sz w:val="20"/>
          <w:szCs w:val="20"/>
          <w:color w:val="auto"/>
        </w:rPr>
      </w:pPr>
      <w:r>
        <w:rPr>
          <w:rFonts w:ascii="Arial" w:cs="Arial" w:eastAsia="Arial" w:hAnsi="Arial"/>
          <w:sz w:val="16"/>
          <w:szCs w:val="16"/>
          <w:color w:val="auto"/>
        </w:rPr>
        <w:t>On July 9, 2021, the A&amp;R FPA Investor entered into that certain Assignment and Assumption Agreement with MidOcean Partners V, L.P. and MidOcean Partners V Executive, L.P. (collectively, “New FPA Purchasers”) pursuant to which the A&amp;R FPA Investor assigned 4,975,000 Empower Units to MidOcean Partners V, L.P. and 25,000 Empower Units to MidOcean Partners V Executive, L.P. Immediately prior to the Domestication, New FPA Purchasers were issued 5,000,000 Empower Units for an aggregate purchase price of $50,000,000 and, following the Domestication, such Empower Units were subsequently separated into shares of underlying Common Stock and warrants to acquire Common Stock.</w:t>
      </w:r>
    </w:p>
    <w:p>
      <w:pPr>
        <w:spacing w:after="0" w:line="161"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Pursuant to the A&amp;R FPA, Empower entered into an agreement to issue 5,000,000 Empower Units to the A&amp;R FPA Investor, which was subsequently assigned to the New FPA Purchasers, and consummated concurrently with the Closing, for total proceeds for $50.0 million.</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440" w:top="125"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SHAREHOLDERS’ EQUITY</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each of June 30, 2021 and December 31, 2020, there were no preference shares issued or outstanding.</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Class A Ordinary Shares </w:t>
      </w:r>
      <w:r>
        <w:rPr>
          <w:rFonts w:ascii="Arial" w:cs="Arial" w:eastAsia="Arial" w:hAnsi="Arial"/>
          <w:sz w:val="17"/>
          <w:szCs w:val="17"/>
          <w:color w:val="auto"/>
        </w:rPr>
        <w:t>— The Company is authorized to issue 500,000,000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ordinary shares are entitled to one vote for each share. As of June 30, 2021, there were 4,551,992 Class A ordinary shares issued and outstanding, excluding 20,448,008 Class A ordinary shares subject to possible redemption. As of December 31, 2020, there were 2,959,782 Class A ordinary shares issued and outstanding, excluding 22,040,218 Class A ordinary shares subject to possible redemption.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50,000,000 Class B ordinary shares, with a par value of $0.0001 per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of the Class B ordinary shares are entitled to one vote for each share. As of June 30, 2021 and December 31, 2020, there were 6,250,000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B ordinary shares issued and outstanding.</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Holders of Class A ordinary shares and holders of Class B ordinary shares will vote together as a single class on all other matters submitted to a vote of the Company’s shareholders except as otherwise required by law.</w:t>
      </w:r>
    </w:p>
    <w:p>
      <w:pPr>
        <w:spacing w:after="0" w:line="170"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an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Initial Public Offering, plus (ii) the total number of Class A ordinary shares issued or deemed issued or issuable upon conversion or exercise of any equity-linked securities or rights issued or deemed issued, by the Company in connection with or in relation to the consummation of an initial business combination, excluding any forward purchase securities and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Company’s management team upon conversion of Working Capital Loans. In no event will the Class B ordinary shares convert into Class A ordinary shares at a rate of less than one-to-one.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BUSINESS COMBINATION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July 16, 2021 (the “Closing Date”), Holley Inc., a Delaware corporation (formerly known as Empower Ltd.) (prior to the Closing Date, “Empower” and after the Closing Date, “Holley”) consummated the previously announced business combination (the “Closing”) pursuant to that certain Agreement and Plan of Merger dated March 11, 2021 (the “Merger Agreement”), by and among Empower Ltd., a Cayman Islands exempted company, Empower Merger Sub I Inc., a Delaware corporation and a direct wholly owned subsidiary of Empower (“Merger Sub I”), Empower Merger Sub II, LLC, a Delaware limited liability company and a direct wholly owned subsidiary of Empower (“Merger Sub II”), and Holley Intermediate Holdings, Inc., a Delaware corporation (“Holley Intermediate”). In connection with the Closing, the registrant changed its name from Empower Ltd. to Holley Inc.</w:t>
      </w:r>
    </w:p>
    <w:p>
      <w:pPr>
        <w:spacing w:after="0" w:line="16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Merger Agreement provided for, among other things, the following transactions: (i) Empower changed its jurisdiction of incorporation by deregistering as a Cayman Islands exempted company and continuing and domesticating as a corporation incorporated under the laws of the State of Delaware (the “Domestication”), and, in connection with the Domestication, (A) each outstanding Class A ordinary share, par value $0.0001, of Empower (“Empower Class A Share”) converted automatically into one share of common stock of Holley, par value $0.0001 per share (the “Common Stock”) and (B) each outstanding Class B ordinary share of Empower converted automatically into one share of Common Stock; and (ii) following the Domestication, (A) Merger Sub I merged with and into Holley Intermediate, with Holley Intermediate surviving as a wholly owned subsidiary of Empower (“Merger I”), (B) immediately following Merger I, Holley Intermediate merged with and into Merger Sub II, with Merger Sub II surviving as a limited liability company and a wholly owned subsidiary of Empower (“Merger II” and, together with Merger I, the “Mergers”). The transactions set forth in the Merger Agreement, including the Mergers, constituted a “Business Combination” as contemplated by Empower’s amended and restated memorandum and articles of association.</w:t>
      </w:r>
    </w:p>
    <w:p>
      <w:pPr>
        <w:spacing w:after="0" w:line="185"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The material provisions of the Merger Agreement are described in Empower’s definitive proxy statement/prospectus on Form S-4 filed with the Securities and Exchange Commission (the “SEC”) on April 8, 2021 (as amended, the “Proxy Statement/Prospectus”) in the section entitled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No.1—The Business Combination Proposal—The Merger Agreement</w:t>
      </w:r>
      <w:r>
        <w:rPr>
          <w:rFonts w:ascii="Arial" w:cs="Arial" w:eastAsia="Arial" w:hAnsi="Arial"/>
          <w:sz w:val="16"/>
          <w:szCs w:val="16"/>
          <w:color w:val="auto"/>
        </w:rPr>
        <w:t>” beginning on page 104, which is incorporated by reference herein.</w:t>
      </w:r>
    </w:p>
    <w:p>
      <w:pPr>
        <w:spacing w:after="0" w:line="14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Empower has been treated as the “acquired” company for financial reporting purposes. This determination was primarily based on current shareholders of Holley having a relative majority of the voting power of the Company, the operations of Holley prior to the acquisition comprising the only ongoing operations of the Company, and senior management of Holley comprising the majority of the senior management of the Company. Accordingly, for accounting purposes, the financial statements of the Company represent a continuation of the financial statements of Holley with the acquisition being treated as the equivalent of Holley issuing stock for the net assets of Empower, accompanied by a recapitalization. The net assets of Empower have been stated at historical cost, with no goodwill or other intangible assets recorded.</w:t>
      </w:r>
    </w:p>
    <w:p>
      <w:pPr>
        <w:sectPr>
          <w:pgSz w:w="11900" w:h="16838" w:orient="portrait"/>
          <w:cols w:equalWidth="0" w:num="1">
            <w:col w:w="11100"/>
          </w:cols>
          <w:pgMar w:left="320" w:top="486" w:right="479" w:bottom="1440" w:gutter="0" w:footer="0" w:header="0"/>
        </w:sectPr>
      </w:pP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00"/>
          </w:cols>
          <w:pgMar w:left="320" w:top="486" w:right="4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color w:val="auto"/>
        </w:rPr>
        <w:t>Concurrent with the execution of the Merger Agreement, the Company entered into that certain Sponsor Agreement (the “Sponsor Agreement”) with Empower Sponsor Holdings LLC, a Delaware limited liability company (the “Sponsor”), and the Holley Stockholder whereby the Sponsor has agreed to (i) waive certain of its anti-dilution and conversion rights with respect to the issued and outstanding Class B ordinary shares of the Company (the “founder shares”) and (ii) an earn-out in respect of 2,187,500 founder shares (the “Earn-Out Shares”) vesting in two equal tranches. 1,093,750 of the Earn-Out Shares will vest if (x) the closing price of the Domesticated Company Common Stock equals or exceeds $13.00 per share for any twenty</w:t>
      </w:r>
    </w:p>
    <w:p>
      <w:pPr>
        <w:spacing w:after="0" w:line="2" w:lineRule="exact"/>
        <w:rPr>
          <w:sz w:val="20"/>
          <w:szCs w:val="20"/>
          <w:color w:val="auto"/>
        </w:rPr>
      </w:pPr>
    </w:p>
    <w:p>
      <w:pPr>
        <w:ind w:left="120" w:right="20" w:hanging="4"/>
        <w:spacing w:after="0" w:line="271" w:lineRule="auto"/>
        <w:tabs>
          <w:tab w:leader="none" w:pos="465"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trading days within any thirty-trading day period or (y) the Company completes a liquidation, merger, capital stock exchange, reorganization or other similar transaction that results in all of the Company’s shareholders having the right to exchange their Domesticated Company Common Stock at a price per share equal to or exceeding $13.00 per share. The other 1,093,750 of Earn-Out Shares will be subject to the same conditions but will vest at a target price that equals or exceeds $15.00 per share. The Earn-Out Shares will be forfeited by the Sponsor if they fail to satisfy the above conditions within seven years after the consummation of the Business Combination.</w:t>
      </w:r>
    </w:p>
    <w:p>
      <w:pPr>
        <w:spacing w:after="0" w:line="17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Concurrent with the execution of the Merger Agreement, the Company amended and restated that certain FPA (the “A&amp;R FPA”), whereby the parties have agreed to modify certain conditions thereto with respect to the review and approval rights of certain affiliates of Empower Funding. As described further in Note 6 pursuant to the A&amp;R FPA, Empower Funding will purchase 5,000,000 units of the Company at a per unit price of $10.00 substantially concurrent with the consummation of the Business Combination. The obligations of Empower Funding under the A&amp;R FPA are subject to the fulfillment of certain conditions therein, including the consummation of the Mergers.</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Concurrent with the execution of the Merger Agreement, the Company entered into subscription agreements (each, a “Subscription Agreement”) with certain investors (the “PIPE Investors”) pursuant to which, among other things, the PIPE Investors have agreed to subscribe for and purchase, and the Company has agreed to issue and sell to the PIPE Investors an aggregate of 24 million shares of Domesticated Company Common Stock, at a per share price of $10.00 for an aggregate purchase price of $240,000,000, concurrent with the consummation of the Business Combination, on the terms and subject to the conditions set forth therein (the “PIPE Financing”). The Subscription Agreement contains customary representations and warranties of the Company, on the one hand, and each PIPE Investor, on the other hand, and customary conditions to closing, including the consummation of the transactions contemplated by the Merger Agreement. Each Subscription Agreement provides that the Company will grant the PIPE Investors certain customary registration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WARRANT LIABILITY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an initial business combination and (b) one year from the closing of the Initial Public Offering. The public warrants will expire five years from the completion of an initial business combination or earlier upon redemption or liquidation.</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warrants is then effective and a current prospectus relating thereto is available, subject to the Company satisfying its obligations with respect to registration, or a valid exemption from registration is available.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6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20 business days, after the closing of an initial business combination, it will use its commercially reasonable efforts to file with the SEC a registration statement, under the Securities Act, of the Class A ordinary shares issuable upon exercise of the warrants, and the Company will use its commercially reasonable efforts to cause the same to become effective within 60 business days after the closing of an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the Company will use its commercially reasonably efforts to register or qualify the shares under applicable blue sky laws to the extent an exemption is not available. If a registration statement covering the Class A ordinary shares issuable upon exercise of the warrants is not effective by the 60th business day after the closing of an initial business combination, warrant holders may, until such time as there is an effective registration statement and during any period when the Company has failed to maintain an effective registration statement, exercise warrants on a “cashless basis” in accordance with Section 3(a)(9) of the Securities Act or another exemption, but the Company will use its commercially reasonably efforts to register or qualify the shares under applicable blue sky laws to the extent an exemption is not available.</w:t>
      </w:r>
    </w:p>
    <w:p>
      <w:pPr>
        <w:sectPr>
          <w:pgSz w:w="11900" w:h="16838" w:orient="portrait"/>
          <w:cols w:equalWidth="0" w:num="1">
            <w:col w:w="11120"/>
          </w:cols>
          <w:pgMar w:left="320" w:top="486" w:right="459" w:bottom="1440" w:gutter="0" w:footer="0" w:header="0"/>
        </w:sectPr>
      </w:pP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86"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Redemption of Warrants When the Price per Class A Ordinary Share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public warrants:</w:t>
      </w:r>
    </w:p>
    <w:p>
      <w:pPr>
        <w:spacing w:after="0" w:line="11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$18.00 per share (as adjusted for share splits, share capitalizations, reorganizations, recapitalizations and the like) on the trading day prior to the date on which the Company sends the notice of redemption to the warrant holders.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the Company are unable to register or qualify the underlying securities for sale under all applicable state securities laws.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Redemption of Warrants When the Price per Class A Ordinary Share Equals or Exceeds $10.00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w:t>
      </w:r>
    </w:p>
    <w:p>
      <w:pPr>
        <w:spacing w:after="0" w:line="116"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ordinary shares; and</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share (as adjusted for share splits, share capitalizations, reorganizations, recapitalizations and the like) on the trading day prior to the date on which the Company send the notice of redemption to warrant holders.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an initial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an initial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an initial business combination on the date of the consummation of an initial business combination (net of redemptions), and (z) the volume weighted average trading price of its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an initial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ectPr>
          <w:pgSz w:w="11900" w:h="16838" w:orient="portrait"/>
          <w:cols w:equalWidth="0" w:num="1">
            <w:col w:w="11120"/>
          </w:cols>
          <w:pgMar w:left="320" w:top="486" w:right="459" w:bottom="1440" w:gutter="0" w:footer="0" w:header="0"/>
        </w:sectPr>
      </w:pP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FAIR VALUE MEASUREMENTS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3" w:lineRule="exact"/>
        <w:rPr>
          <w:sz w:val="20"/>
          <w:szCs w:val="20"/>
          <w:color w:val="auto"/>
        </w:rPr>
      </w:pPr>
    </w:p>
    <w:p>
      <w:pPr>
        <w:ind w:left="900" w:hanging="782"/>
        <w:spacing w:after="0" w:line="308" w:lineRule="auto"/>
        <w:tabs>
          <w:tab w:leader="none" w:pos="8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900" w:right="680" w:hanging="782"/>
        <w:spacing w:after="0" w:line="277" w:lineRule="auto"/>
        <w:tabs>
          <w:tab w:leader="none" w:pos="88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at each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2021 and December 31, 2020, and indicates the fair value hierarchy of the valuation inputs the Company utilized to determine such fair value:</w:t>
      </w:r>
    </w:p>
    <w:p>
      <w:pPr>
        <w:spacing w:after="0" w:line="2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Level</w:t>
            </w:r>
          </w:p>
        </w:tc>
        <w:tc>
          <w:tcPr>
            <w:tcW w:w="4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49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0" w:type="dxa"/>
            <w:vAlign w:val="bottom"/>
            <w:gridSpan w:val="2"/>
          </w:tcPr>
          <w:p>
            <w:pPr>
              <w:jc w:val="right"/>
              <w:ind w:right="288"/>
              <w:spacing w:after="0" w:line="125"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74"/>
              <w:spacing w:after="0" w:line="12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$250,112,265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250,052,906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15,666,666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9,583,333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9,566,667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Forward purchase agreement liability</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3,250,000</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consolidated statements of operations.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Public Warrants were valued at the closing price on the relevant date. The Private Placement Warrants were valued using a Modified Black Scholes model which is considered to be a Level 3 fair value measurement.</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Under each of the Modified Black Scholes model and the Monte Carlo simulation model, the primary unobservable input utilized in determining the fair value of the warrants is the expected volatility of the common stock. The expected volatility as of the IPO date was derived from observable public warrant pricing on comparable ‘blank-check’ companies without an identified target. The expected volatility as of the subsequent valuation date was implied from the volatility of Company’s public warrants.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HOLLEY INC. (F/K/A EMPOWER LTD.)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900" w:type="dxa"/>
            <w:vAlign w:val="bottom"/>
            <w:gridSpan w:val="3"/>
          </w:tcPr>
          <w:p>
            <w:pPr>
              <w:ind w:left="760"/>
              <w:spacing w:after="0"/>
              <w:rPr>
                <w:sz w:val="20"/>
                <w:szCs w:val="20"/>
                <w:color w:val="auto"/>
              </w:rPr>
            </w:pPr>
            <w:r>
              <w:rPr>
                <w:rFonts w:ascii="Arial" w:cs="Arial" w:eastAsia="Arial" w:hAnsi="Arial"/>
                <w:sz w:val="14"/>
                <w:szCs w:val="14"/>
                <w:b w:val="1"/>
                <w:bCs w:val="1"/>
                <w:color w:val="auto"/>
                <w:w w:val="92"/>
              </w:rPr>
              <w:t>Private Placement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Public</w:t>
            </w:r>
          </w:p>
        </w:tc>
        <w:tc>
          <w:tcPr>
            <w:tcW w:w="1720" w:type="dxa"/>
            <w:vAlign w:val="bottom"/>
            <w:gridSpan w:val="4"/>
          </w:tcPr>
          <w:p>
            <w:pPr>
              <w:ind w:left="460"/>
              <w:spacing w:after="0"/>
              <w:rPr>
                <w:sz w:val="20"/>
                <w:szCs w:val="20"/>
                <w:color w:val="auto"/>
              </w:rPr>
            </w:pPr>
            <w:r>
              <w:rPr>
                <w:rFonts w:ascii="Arial" w:cs="Arial" w:eastAsia="Arial" w:hAnsi="Arial"/>
                <w:sz w:val="14"/>
                <w:szCs w:val="14"/>
                <w:b w:val="1"/>
                <w:bCs w:val="1"/>
                <w:color w:val="auto"/>
              </w:rPr>
              <w:t>Warrant Liabilities</w:t>
            </w: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5,506,667</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9,583,333</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186,667</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5,693,334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9,833,333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15,526,667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3,873,333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5,833,333</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9,706,666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9,566,667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15,666,666</w:t>
            </w:r>
          </w:p>
        </w:tc>
        <w:tc>
          <w:tcPr>
            <w:tcW w:w="7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25,233,333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liability for the FPA was valued using an adjusted net assets method, which is considered to be a Level 3 fair value measurement. Under the adjusted net assets method utilized, the aggregate commitment of $50 million pursuant to the FPA is discounted to present value and compared to the fair value of the common stock and warrants to be issued pursuant to the FPA. The fair value of the common stock and warrants to be issued under the FPA are based on the public trading price of the Units issued in the Company’s IPO. The excess (liability) or deficit (asset) of the fair value of the common stock and warrants to be issued compared to the $50 million fixed commitment is recorded on the financial statements. The primary unobservable input utilized in determining the fair value of the FPA is the continuous risk free rate commensurate with the remaining term to the initial business combination.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a summary of the changes in the fair value of the FPA liability, a Level 3 liability, measured on a recurring basis.</w:t>
      </w:r>
    </w:p>
    <w:p>
      <w:pPr>
        <w:spacing w:after="0" w:line="25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FPA</w:t>
            </w: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Recognized gain on change in fair value (1)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March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1,750,000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Recognized loss on change in fair value (1)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June 30, 2021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3,250,000</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360" w:hanging="424"/>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non-cash loss (gain) on change in valuation of the FPA liability and is included in change in fair value of FPA liability on the accompanying condensed statements of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The key inputs into the models for the Private Placement Warrants at June 30, 2021, March 31, 2021 and December 31, 2020 were as follows:</w:t>
      </w:r>
    </w:p>
    <w:p>
      <w:pPr>
        <w:spacing w:after="0" w:line="27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3100" w:type="dxa"/>
            <w:vAlign w:val="bottom"/>
          </w:tcPr>
          <w:p>
            <w:pPr>
              <w:spacing w:after="0"/>
              <w:rPr>
                <w:sz w:val="20"/>
                <w:szCs w:val="20"/>
                <w:color w:val="auto"/>
              </w:rPr>
            </w:pPr>
            <w:r>
              <w:rPr>
                <w:rFonts w:ascii="Arial" w:cs="Arial" w:eastAsia="Arial" w:hAnsi="Arial"/>
                <w:sz w:val="14"/>
                <w:szCs w:val="14"/>
                <w:color w:val="auto"/>
              </w:rPr>
              <w:t>Input</w:t>
            </w:r>
          </w:p>
        </w:tc>
        <w:tc>
          <w:tcPr>
            <w:tcW w:w="15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w w:val="90"/>
              </w:rPr>
              <w:t>June 30, 2021</w:t>
            </w:r>
          </w:p>
        </w:tc>
        <w:tc>
          <w:tcPr>
            <w:tcW w:w="460" w:type="dxa"/>
            <w:vAlign w:val="bottom"/>
          </w:tcPr>
          <w:p>
            <w:pPr>
              <w:spacing w:after="0"/>
              <w:rPr>
                <w:sz w:val="15"/>
                <w:szCs w:val="15"/>
                <w:color w:val="auto"/>
              </w:rPr>
            </w:pPr>
          </w:p>
        </w:tc>
        <w:tc>
          <w:tcPr>
            <w:tcW w:w="1700" w:type="dxa"/>
            <w:vAlign w:val="bottom"/>
            <w:gridSpan w:val="4"/>
          </w:tcPr>
          <w:p>
            <w:pPr>
              <w:ind w:left="320"/>
              <w:spacing w:after="0"/>
              <w:rPr>
                <w:sz w:val="20"/>
                <w:szCs w:val="20"/>
                <w:color w:val="auto"/>
              </w:rPr>
            </w:pPr>
            <w:r>
              <w:rPr>
                <w:rFonts w:ascii="Arial" w:cs="Arial" w:eastAsia="Arial" w:hAnsi="Arial"/>
                <w:sz w:val="14"/>
                <w:szCs w:val="14"/>
                <w:color w:val="auto"/>
              </w:rPr>
              <w:t>March 31, 2021</w:t>
            </w:r>
          </w:p>
        </w:tc>
        <w:tc>
          <w:tcPr>
            <w:tcW w:w="1660" w:type="dxa"/>
            <w:vAlign w:val="bottom"/>
            <w:gridSpan w:val="4"/>
          </w:tcPr>
          <w:p>
            <w:pPr>
              <w:ind w:left="32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Trading days per year</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Exercise price</w:t>
            </w:r>
          </w:p>
        </w:tc>
        <w:tc>
          <w:tcPr>
            <w:tcW w:w="17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11.50</w:t>
            </w:r>
          </w:p>
        </w:tc>
        <w:tc>
          <w:tcPr>
            <w:tcW w:w="46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11.50</w:t>
            </w:r>
          </w:p>
        </w:tc>
        <w:tc>
          <w:tcPr>
            <w:tcW w:w="46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7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July 16, 2021, the Company completed the Business Combination pursuant to the Merger Agreement as described in Note 1.</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320" w:top="486" w:right="5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References in this report (the “Quarterly Report”) to “we,” “us,” “our” or the “Company” refer to Empower Ltd. References to our “management” or our “management team” refer to our officers and directors, and references to the “sponsor” refer to Empower Sponsor Holdings LLC. The following discussion and analysis of the Company’s financial condition and results of operations should be read in conjunction with the financial statements and the notes related thereto which are included elsewhere in this Quarterly Report. Certain information contained in the discussion and analysis set forth below includes forward-looking statements that involve risks and uncertainties.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the benefits of the Business Combination and the plans and objectives of management for future operations, are forward-looking statements. Words such as “anticipate,” “believe,” “continue,” “could,” “estimate,” “expect,” “intends,” “may,” “might,” “plan,” “possible,” “potential,” “predict,” “project,” “should,” “would” and variations thereof and similar words and expressions are intended to identify such forward-looking statements. Such forward-looking statements relate to future events or future performance, but reflect management’s current beliefs, based on information currently available and are subject to risks and uncertainties. A number of factors could cause actual events, performance or results to differ materially from the events, performance and results discussed in the forward-looking statements, including risks related to the impact of the COVID-19 global pandemic, including the actions of governments, businesses and individuals in response to the situation. For information identifying important factors that could cause actual results to differ materially from those anticipated in the forward-looking statements, please refer to the Risk Factors section of the Company’s annual report on Form 10-K/A filed with the SEC on May 19, 2021 and subsequent filings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of June 30, 2021, we were a blank check company incorporated in the Cayman Islands on August 19, 2020 formed for the purpose of effecting our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July 16, 2021 (the “Closing Date”), Holley Inc., a Delaware corporation (formerly known as Empower Ltd.) (prior to the Closing Date, “Empower” and after the Closing Date, “Holley”) consummated the previously announced business combination (the “Closing”) pursuant to that certain Agreement and Plan of Merger dated March 11, 2021 (the “Merger Agreement”), by and among Empower Ltd., a Cayman Islands exempted company, Empower Merger Sub I Inc., a Delaware corporation and a direct wholly owned subsidiary of Empower (“Merger Sub I”), Empower Merger Sub II, LLC, a Delaware limited liability company and a direct wholly owned subsidiary of Empower (“Merger Sub II”), and Holley Intermediate Holdings, Inc., a Delaware corporation (“Holley Intermediate”). In connection with the Closing, the registrant changed its name from Empower Ltd. to Holley Inc.</w:t>
      </w:r>
    </w:p>
    <w:p>
      <w:pPr>
        <w:spacing w:after="0" w:line="16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Merger Agreement provided for, among other things, the following transactions: (i) Empower changed its jurisdiction of incorporation by deregistering as a Cayman Islands exempted company and continuing and domesticating as a corporation incorporated under the laws of the State of Delaware (the “Domestication”), and, in connection with the Domestication, (A) each outstanding Class A ordinary share, par value $0.0001, of Empower (“Empower Class A Share”) converted automatically into one share of common stock of Holley, par value $0.0001 per share (the “Common Stock”) and (B) each outstanding Class B ordinary share of Empower converted automatically into one share of Common Stock; and (ii) following the Domestication, (A) Merger Sub I merged with and into Holley Intermediate, with Holley Intermediate surviving as a wholly owned subsidiary of Empower (“Merger I”), (B) immediately following Merger I, Holley Intermediate merged with and into Merger Sub II, with Merger Sub II surviving as a limited liability company and a wholly owned subsidiary of Empower (“Merger II” and, together with Merger I, the “Mergers”). The transactions set forth in the Merger Agreement, including the Mergers, constituted a “Business Combination” as contemplated by Empower’s amended and restated memorandum and articles of association.</w:t>
      </w:r>
    </w:p>
    <w:p>
      <w:pPr>
        <w:spacing w:after="0" w:line="185"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The material provisions of the Merger Agreement are described in Empower’s definitive proxy statement/prospectus filed with the SEC on June 24, 2021 (as amended, the “Proxy Statement/Prospectus”) in the section entitled “</w:t>
      </w:r>
      <w:r>
        <w:rPr>
          <w:rFonts w:ascii="Arial" w:cs="Arial" w:eastAsia="Arial" w:hAnsi="Arial"/>
          <w:sz w:val="18"/>
          <w:szCs w:val="18"/>
          <w:i w:val="1"/>
          <w:iCs w:val="1"/>
          <w:color w:val="auto"/>
        </w:rPr>
        <w:t>Proposal No.1—The Business Combination Proposal—The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w:t>
      </w:r>
      <w:r>
        <w:rPr>
          <w:rFonts w:ascii="Arial" w:cs="Arial" w:eastAsia="Arial" w:hAnsi="Arial"/>
          <w:sz w:val="18"/>
          <w:szCs w:val="18"/>
          <w:color w:val="auto"/>
        </w:rPr>
        <w:t>” beginning on page 104.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Through June 30, 2021, we neither engaged in any operations nor generated any operating revenues. Our only activities from inception through June 30, 2021 were organizational activities, those necessary to prepare for the Initial Public Offering, described below, searching for a business combination and activities in connection with the acquisition of Holley. We expect that we will incur increased expenses as a result of being a public company (for legal, financial reporting, accounting and auditing compliance).</w:t>
      </w:r>
    </w:p>
    <w:p>
      <w:pPr>
        <w:spacing w:after="0" w:line="18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For the three months ended June 30, 2021, we had a net loss of $12,859,424, which consisted of formation and operating costs of $1,655,583, a change in fair value of warrant liability of 9,706,666, a loss on change in FPA liability of $1,500,000 and an unrealized loss on marketable securities held in the trust account of $4,366 which are offset by interest earned on marketable securities held in the trust account of $7,191.</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For the six months ended June 30, 2021, we had a net loss of $15,876,912, which consisted of formation and operating costs of $4,592,939, a change in fair value of warrant liability of $10,143,333, a loss on change in FPA liability of $1,200,000, which are offset by interest earned on marketable securities held in the trust account of $59,360.</w:t>
      </w:r>
    </w:p>
    <w:p>
      <w:pPr>
        <w:sectPr>
          <w:pgSz w:w="11900" w:h="16838" w:orient="portrait"/>
          <w:cols w:equalWidth="0" w:num="1">
            <w:col w:w="11100"/>
          </w:cols>
          <w:pgMar w:left="320" w:top="486" w:right="479" w:bottom="142"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00"/>
          </w:cols>
          <w:pgMar w:left="320" w:top="486" w:right="479" w:bottom="142"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October 9, 2020, we consummated the Initial Public Offering of 25,000,000 units, at a price of $10.00 per unit, generating gross proceeds of</w:t>
      </w:r>
    </w:p>
    <w:p>
      <w:pPr>
        <w:spacing w:after="0" w:line="35"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$250,000,000. After deducting underwriting fees of $5,000,000, we received net proceeds of $245,000,000. Simultaneously with the closing of the Initial Public Offering, we consummated the sale of 4,666,667 private placement warrants to the sponsor at a price of $1.50 per private placement warrant generating gross proceeds of $7,000,000. Deferred underwriting costs of $8,750,000 were also incurred in connection with the Initial Public Offering, but are not payable until consummation of our initial business combination.</w:t>
      </w:r>
    </w:p>
    <w:p>
      <w:pPr>
        <w:spacing w:after="0" w:line="193"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For the six months ended June 30, 2021, cash used in operating activities was $376,620. Net loss of $15,876,912 was impacted by interest earned on marketable securities held in the trust account of $59,359, a change in the fair value of warrant liability of $10,143,333 and a change in the fair value of the forward purchase agreement liability of $1,200,000. Changes in operating assets and liabilities provided $4,216,318 of cash from operating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2021, we had cash and marketable securities held in the trust account of $250,112,265.</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2021, we had cash of $704,009 held outside of the trust account.</w:t>
      </w:r>
    </w:p>
    <w:p>
      <w:pPr>
        <w:spacing w:after="0" w:line="225" w:lineRule="exact"/>
        <w:rPr>
          <w:sz w:val="20"/>
          <w:szCs w:val="20"/>
          <w:color w:val="auto"/>
        </w:rPr>
      </w:pPr>
    </w:p>
    <w:p>
      <w:pPr>
        <w:jc w:val="both"/>
        <w:ind w:left="120" w:right="720"/>
        <w:spacing w:after="0" w:line="263" w:lineRule="auto"/>
        <w:rPr>
          <w:sz w:val="20"/>
          <w:szCs w:val="20"/>
          <w:color w:val="auto"/>
        </w:rPr>
      </w:pPr>
      <w:r>
        <w:rPr>
          <w:rFonts w:ascii="Arial" w:cs="Arial" w:eastAsia="Arial" w:hAnsi="Arial"/>
          <w:sz w:val="18"/>
          <w:szCs w:val="18"/>
          <w:color w:val="auto"/>
        </w:rPr>
        <w:t>We had sufficient cash on hand to fund operations through the date of the Business Combination on July 16, 2021. Subsequent to the Business Combination management believes that we will be able to fund current and foreseeable liquidity needs with cash on hand, cash generated from operations, and borrowings available under its revolving credit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June 30,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As of June 30, 2021, we did not have any long-term debt, capital lease obligations, operating lease obligations or long-term liabilities, other than as described below.</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underwriter is entitled to a deferred fee of $0.35 per unit, or $8,750,000 in the aggregate. The deferred fee will become payable to the underwriters from the amounts held in the trust account solely in the event that we complete our initial business combination, subject to the terms of the underwriting agreement.</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Concurrent with the execution of the Merger Agreement, the Company entered into Subscription Agreements with PIPE Investors pursuant to which, among other things, the PIPE Investors have agreed to subscribe for and purchase, and the Company has agreed to issue and sell to the PIPE Investors an aggregate of 24 million shares of Domesticated Company Common Stock, at a per share price of $10.00 for an aggregate purchase price of $240,000,000, concurrent with the consummation of the Business Combination, on the terms and subject to the conditions set forth therein. The Subscription Agreement contains customary representations and warranties of the Company, on the one hand, and each PIPE Investor, on the other hand, and customary conditions to closing, including the consummation of the transactions contemplated by the Merger Agreement. Each Subscription Agreement provides that the Company will grant the PIPE Investors certain customary registration rights.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Concurrent with the execution of the Merger Agreement, the Company amended and restated the FPA, whereby, among other things, Empower Funding will purchase 5,000,000 units of the Company at a per unit price of $10.00 concurrent with the consummation of the Business Combination. The allocation of the forward purchase securities among the ultimate MidOcean funds that will be funding the forward purchase will be determined by MidOcean, in its sole discretion, at the time of a Business Combination. The forward purchase shares and forward purchase warrants underlying the units of the Company to be sold pursuant to the A&amp;R FPA will be identical to the Class A ordinary shares included in the units sold in the Initial Public Offering, except that they will be subject to certain registration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not identified any critical accounting policies.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and FPA Liabilities</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account for the Warrants and the FPA in accordance with the guidance contained in ASC 815-40-15-7D and 7F under which the Warrants and the forward purchase agreement do not meet the criteria for equity treatment and must be recorded as liabilities. Accordingly, we classify the Warrants and the FPA as liabilities at their fair value and adjust the Warrants and the FPA to fair value at each reporting period. This liability is subject to re-measurement at each balance sheet date until exercised, and any change in fair value is recognized in our statements of operations. The Private Warrants are valued using a Modified Black Scholes Option Pricing Model. For periods where no observable traded price was available, the Public Warrants are valued using a Monte Carlo simulation. For periods subsequent to the detachment of the Public Warrants from the Units, the Public Warrant quoted market price was used as the fair value as of each relevant date. The fair value of the FPA has been estimated using an adjusted net assets method.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Redemption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account for our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are presented at redemption value as temporary equity, outside of the shareholders’ equity section of our balance sheets.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jc w:val="both"/>
        <w:ind w:left="120" w:right="200"/>
        <w:spacing w:after="0" w:line="301" w:lineRule="auto"/>
        <w:rPr>
          <w:sz w:val="20"/>
          <w:szCs w:val="20"/>
          <w:color w:val="auto"/>
        </w:rPr>
      </w:pPr>
      <w:r>
        <w:rPr>
          <w:rFonts w:ascii="Arial" w:cs="Arial" w:eastAsia="Arial" w:hAnsi="Arial"/>
          <w:sz w:val="16"/>
          <w:szCs w:val="16"/>
          <w:color w:val="auto"/>
        </w:rPr>
        <w:t>We apply the two-class method in calculating earnings per share. Ordinary shares subject to possible redemption, which are not currently redeemable and are not redeemable at fair value, have been excluded from the calculation of basic net loss per ordinary share since such shares, if redeemed, only participate in their pro rata share of the trust account earnings. Our net loss is adjusted for the portion of income that is attributable to ordinary shares subject to possible redemption, as these shares only participate in the earnings of the trust account and not our income or losses.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274" w:lineRule="exact"/>
        <w:rPr>
          <w:sz w:val="20"/>
          <w:szCs w:val="20"/>
          <w:color w:val="auto"/>
        </w:rPr>
      </w:pPr>
    </w:p>
    <w:p>
      <w:pPr>
        <w:ind w:left="120" w:right="3800"/>
        <w:spacing w:after="0" w:line="40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Not required for a smaller reporting company.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spacing w:after="0" w:line="17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2021. Based upon their evaluation, our Chief Executive Officer and Chief Financial Officer concluded that, as of June 30, 2021, solely due to the events that led to the Company’s restatement of its financial statements to reclassify the Company’s warrants and forward purchase agreement, our disclosure controls and procedures (as defined in Rules 13a-15 (e) and 15d-15 (e) under the Exchange Act) were not effective.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Other than as described below,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Due solely to the events that led to our restatement of our financial statements, management has identified a material weakness in internal controls related to the accounting for warrants issued in connection with our initial public offering and the FPA. In light of the restatement of our December 31, 2020 financial statements, management has implemented remediation steps to address the material weakness and to improve our internal control over financial reporting. We performed additional analysis as deemed necessary to ensure that our financial statements were prepared in accordance with U.S. generally accepted accounting principles and we have enhanced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a result of the closing of the Business Combination on July 16, 2021, the risk factors previously disclosed in Part I, Item 1A of our Annual Report on Form 10-K/A for the fiscal year ended December 31, 2020 no longer apply. For risk factors relating to our business following the Business Combination, please refer to the section “Risk Factors” in the Proxy Statement/Prospectus.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60" w:type="dxa"/>
            <w:vAlign w:val="bottom"/>
            <w:gridSpan w:val="5"/>
          </w:tcPr>
          <w:p>
            <w:pPr>
              <w:ind w:left="23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1"/>
                <w:szCs w:val="21"/>
                <w:color w:val="auto"/>
              </w:rPr>
            </w:pPr>
          </w:p>
        </w:tc>
        <w:tc>
          <w:tcPr>
            <w:tcW w:w="9980" w:type="dxa"/>
            <w:vAlign w:val="bottom"/>
            <w:gridSpan w:val="8"/>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Principal Executive Officer Pursuant to Securities Exchange Act Rules 13a-14(a), as adopted Pursuant to Section 302 of</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the Sarbanes-Oxley Act of 2002</w:t>
              </w:r>
            </w:hyperlink>
          </w:p>
        </w:tc>
        <w:tc>
          <w:tcPr>
            <w:tcW w:w="7480" w:type="dxa"/>
            <w:vAlign w:val="bottom"/>
            <w:tcBorders>
              <w:top w:val="single" w:sz="8" w:color="0000EE"/>
            </w:tcBorders>
            <w:gridSpan w:val="3"/>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7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of Principal Financial Officer Pursuant to Securities Exchange Act Rules 13a-14(a), as adopted Pursuant to Section 302 of</w:t>
              </w:r>
            </w:hyperlink>
          </w:p>
        </w:tc>
        <w:tc>
          <w:tcPr>
            <w:tcW w:w="22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the Sarbanes-Oxley Act of 2002</w:t>
              </w:r>
            </w:hyperlink>
          </w:p>
        </w:tc>
        <w:tc>
          <w:tcPr>
            <w:tcW w:w="7660" w:type="dxa"/>
            <w:vAlign w:val="bottom"/>
            <w:gridSpan w:val="5"/>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420" w:type="dxa"/>
            <w:vAlign w:val="bottom"/>
            <w:gridSpan w:val="4"/>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Oxley Act of 2002</w:t>
              </w:r>
            </w:hyperlink>
          </w:p>
        </w:tc>
        <w:tc>
          <w:tcPr>
            <w:tcW w:w="8640" w:type="dxa"/>
            <w:vAlign w:val="bottom"/>
            <w:gridSpan w:val="6"/>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Act of 2002</w:t>
              </w:r>
            </w:hyperlink>
          </w:p>
        </w:tc>
        <w:tc>
          <w:tcPr>
            <w:tcW w:w="908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r>
      <w:tr>
        <w:trPr>
          <w:trHeight w:val="33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w w:val="93"/>
              </w:rPr>
              <w:t>The following financial information from Holley Inc.’s Quarterly Report on Form 10-Q for the quarter ended June 30, 2021, is formatted</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w w:val="91"/>
              </w:rPr>
              <w:t>in iXBRL (Inline Extensible Business Reporting Language): ((i) Condensed Balance Sheets as of June 30, 2021 and December 31, 2020;</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w w:val="92"/>
              </w:rPr>
              <w:t>(ii) Condensed Statements of Operations for the Three and Six Months Ended June 30, 2021; (iii) Condensed Statements of Changes in</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w w:val="95"/>
              </w:rPr>
              <w:t>Shareholders’ Equity for the Three and Six Months Ended June 30, 2021; and (iv) Condensed Statement of Cash Flows for the Six</w:t>
            </w: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Months Ended June 30, 2021.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iXBRL document).</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20" w:type="dxa"/>
            <w:vAlign w:val="bottom"/>
            <w:gridSpan w:val="2"/>
          </w:tcPr>
          <w:p>
            <w:pPr>
              <w:ind w:left="5520"/>
              <w:spacing w:after="0"/>
              <w:rPr>
                <w:sz w:val="20"/>
                <w:szCs w:val="20"/>
                <w:color w:val="auto"/>
              </w:rPr>
            </w:pPr>
            <w:r>
              <w:rPr>
                <w:rFonts w:ascii="Arial" w:cs="Arial" w:eastAsia="Arial" w:hAnsi="Arial"/>
                <w:sz w:val="18"/>
                <w:szCs w:val="18"/>
                <w:b w:val="1"/>
                <w:bCs w:val="1"/>
                <w:color w:val="auto"/>
              </w:rPr>
              <w:t>HOLLEY INC.</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August 11,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W. Tomlinson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W. Tomlinson</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August 11,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Dominic Bardos</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Dominic Bardos</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64"/>
        </w:trPr>
        <w:tc>
          <w:tcPr>
            <w:tcW w:w="6160" w:type="dxa"/>
            <w:vAlign w:val="bottom"/>
          </w:tcPr>
          <w:p>
            <w:pPr>
              <w:ind w:left="5420"/>
              <w:spacing w:after="0"/>
              <w:rPr>
                <w:sz w:val="20"/>
                <w:szCs w:val="20"/>
                <w:color w:val="auto"/>
              </w:rPr>
            </w:pPr>
            <w:r>
              <w:rPr>
                <w:rFonts w:ascii="Arial" w:cs="Arial" w:eastAsia="Arial" w:hAnsi="Arial"/>
                <w:sz w:val="18"/>
                <w:szCs w:val="18"/>
                <w:color w:val="auto"/>
              </w:rPr>
              <w:t>22</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W. Tomlinson, certify that:</w:t>
      </w:r>
    </w:p>
    <w:p>
      <w:pPr>
        <w:spacing w:after="0" w:line="131"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W.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W. Tomlinson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 Bardos, certify that:</w:t>
      </w:r>
    </w:p>
    <w:p>
      <w:pPr>
        <w:spacing w:after="0" w:line="131"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Dominic Bardos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of Holley Inc. (the “Company”) on Form 10-Q for the quarterly period ended June 30, 2021, as filed with the Securities and Exchange Commission (the “Report”), I, Thomas W. Tomlinson, Chief Executive Officer of the Company, certify, pursuant to 18 U.S.C. §1350, as adopted pursuant to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W.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W. Tomlinson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Quarterly Report of Holley Inc. (the “Company”) on Form 10-Q for the quarterly period ended June 30, 2021, as filed with the Securities and Exchange Commission (the “Report”), I, Dominic Bardos, Chief Financial Officer of the Company, certify, pursuant to 18 U.S.C. §1350, as adopted pursuant to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Dominic Bardos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Dominic Bardos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decimal"/>
      <w:start w:val="20"/>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2021-08-12T05:25:24Z</dcterms:created>
  <dcterms:modified xsi:type="dcterms:W3CDTF">2021-08-12T05:25:24Z</dcterms:modified>
</cp:coreProperties>
</file>