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7" w:lineRule="exact"/>
        <w:rPr>
          <w:sz w:val="24"/>
          <w:szCs w:val="24"/>
          <w:color w:val="auto"/>
        </w:rPr>
      </w:pPr>
    </w:p>
    <w:p>
      <w:pPr>
        <w:ind w:left="3820" w:right="2440" w:hanging="3812"/>
        <w:spacing w:after="0" w:line="462" w:lineRule="auto"/>
        <w:tabs>
          <w:tab w:leader="none" w:pos="49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October 2, 2022</w:t>
      </w:r>
    </w:p>
    <w:p>
      <w:pPr>
        <w:spacing w:after="0" w:line="264" w:lineRule="exact"/>
        <w:rPr>
          <w:sz w:val="24"/>
          <w:szCs w:val="24"/>
          <w:color w:val="auto"/>
        </w:rPr>
      </w:pPr>
    </w:p>
    <w:p>
      <w:pPr>
        <w:ind w:left="3480" w:right="2440" w:hanging="3472"/>
        <w:spacing w:after="0" w:line="422" w:lineRule="auto"/>
        <w:tabs>
          <w:tab w:leader="none" w:pos="48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__________to__________</w:t>
      </w:r>
    </w:p>
    <w:p>
      <w:pPr>
        <w:ind w:left="42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001-39599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719" w:right="339" w:bottom="1440" w:gutter="0" w:footer="0" w:header="0"/>
        </w:sectPr>
      </w:pPr>
    </w:p>
    <w:p>
      <w:pPr>
        <w:spacing w:after="0" w:line="174"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1" w:lineRule="exact"/>
        <w:rPr>
          <w:sz w:val="24"/>
          <w:szCs w:val="24"/>
          <w:color w:val="auto"/>
        </w:rPr>
      </w:pPr>
    </w:p>
    <w:p>
      <w:pPr>
        <w:sectPr>
          <w:pgSz w:w="11900" w:h="16838" w:orient="portrait"/>
          <w:cols w:equalWidth="0" w:num="2">
            <w:col w:w="7280" w:space="720"/>
            <w:col w:w="3240"/>
          </w:cols>
          <w:pgMar w:left="320" w:top="719" w:right="339" w:bottom="1440" w:gutter="0" w:footer="0" w:header="0"/>
          <w:type w:val="continuous"/>
        </w:sectPr>
      </w:pPr>
    </w:p>
    <w:p>
      <w:pPr>
        <w:ind w:left="104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2">
            <w:col w:w="6680" w:space="720"/>
            <w:col w:w="3840"/>
          </w:cols>
          <w:pgMar w:left="320" w:top="719"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1801 Russellville Road, Bowling Green, KY 42101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w:t>
      </w:r>
      <w:r>
        <w:rPr>
          <w:rFonts w:ascii="Arial" w:cs="Arial" w:eastAsia="Arial" w:hAnsi="Arial"/>
          <w:sz w:val="13"/>
          <w:szCs w:val="13"/>
          <w:color w:val="auto"/>
        </w:rPr>
        <w:t>’</w:t>
      </w:r>
      <w:r>
        <w:rPr>
          <w:rFonts w:ascii="Arial" w:cs="Arial" w:eastAsia="Arial" w:hAnsi="Arial"/>
          <w:sz w:val="13"/>
          <w:szCs w:val="13"/>
          <w:b w:val="1"/>
          <w:bCs w:val="1"/>
          <w:color w:val="auto"/>
        </w:rPr>
        <w:t>s telephone number, including area code)</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84"/>
        </w:trPr>
        <w:tc>
          <w:tcPr>
            <w:tcW w:w="3720" w:type="dxa"/>
            <w:vAlign w:val="bottom"/>
          </w:tcPr>
          <w:p>
            <w:pPr>
              <w:jc w:val="center"/>
              <w:spacing w:after="0"/>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95"/>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29" w:lineRule="exact"/>
        <w:rPr>
          <w:sz w:val="24"/>
          <w:szCs w:val="24"/>
          <w:color w:val="auto"/>
        </w:rPr>
      </w:pPr>
    </w:p>
    <w:p>
      <w:pPr>
        <w:jc w:val="both"/>
        <w:ind w:right="460"/>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ind w:right="2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400" w:type="dxa"/>
        <w:tblCellMar>
          <w:top w:w="0" w:type="dxa"/>
          <w:left w:w="0" w:type="dxa"/>
          <w:bottom w:w="0" w:type="dxa"/>
          <w:right w:w="0" w:type="dxa"/>
        </w:tblCellMar>
      </w:tblP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2"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ind w:right="120"/>
        <w:spacing w:after="0" w:line="260" w:lineRule="auto"/>
        <w:rPr>
          <w:sz w:val="20"/>
          <w:szCs w:val="20"/>
          <w:color w:val="auto"/>
        </w:rPr>
      </w:pPr>
      <w:r>
        <w:rPr>
          <w:rFonts w:ascii="Arial" w:cs="Arial" w:eastAsia="Arial" w:hAnsi="Arial"/>
          <w:sz w:val="16"/>
          <w:szCs w:val="16"/>
          <w:color w:val="auto"/>
        </w:rPr>
        <w:t xml:space="preserve">There were </w:t>
      </w:r>
      <w:r>
        <w:rPr>
          <w:rFonts w:ascii="Arial" w:cs="Arial" w:eastAsia="Arial" w:hAnsi="Arial"/>
          <w:sz w:val="16"/>
          <w:szCs w:val="16"/>
          <w:color w:val="444444"/>
        </w:rPr>
        <w:t>118,241,747 shares of Common Stock, including 1,093,750</w:t>
      </w:r>
      <w:r>
        <w:rPr>
          <w:rFonts w:ascii="Arial" w:cs="Arial" w:eastAsia="Arial" w:hAnsi="Arial"/>
          <w:sz w:val="16"/>
          <w:szCs w:val="16"/>
          <w:color w:val="auto"/>
        </w:rPr>
        <w:t xml:space="preserve"> restricted earn-out shares, par value $0.0001 per share, issued and outstanding as of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920" w:type="dxa"/>
            <w:vAlign w:val="bottom"/>
            <w:gridSpan w:val="16"/>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82"/>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20" w:type="dxa"/>
            <w:vAlign w:val="bottom"/>
            <w:gridSpan w:val="4"/>
          </w:tcPr>
          <w:p>
            <w:pPr>
              <w:ind w:left="15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10920" w:type="dxa"/>
            <w:vAlign w:val="bottom"/>
            <w:gridSpan w:val="16"/>
          </w:tcPr>
          <w:p>
            <w:pPr>
              <w:spacing w:after="0"/>
              <w:rPr>
                <w:sz w:val="20"/>
                <w:szCs w:val="20"/>
                <w:color w:val="auto"/>
              </w:rPr>
            </w:pPr>
            <w:r>
              <w:rPr>
                <w:rFonts w:ascii="Arial" w:cs="Arial" w:eastAsia="Arial" w:hAnsi="Arial"/>
                <w:sz w:val="18"/>
                <w:szCs w:val="18"/>
                <w:color w:val="0000EE"/>
              </w:rPr>
              <w:t>PART I – 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234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Item 1. Financial Statements.</w:t>
            </w:r>
          </w:p>
        </w:tc>
        <w:tc>
          <w:tcPr>
            <w:tcW w:w="660" w:type="dxa"/>
            <w:vAlign w:val="bottom"/>
            <w:tcBorders>
              <w:top w:val="single" w:sz="8" w:color="0000EE"/>
            </w:tcBorders>
            <w:gridSpan w:val="4"/>
          </w:tcPr>
          <w:p>
            <w:pPr>
              <w:spacing w:after="0"/>
              <w:rPr>
                <w:sz w:val="15"/>
                <w:szCs w:val="15"/>
                <w:color w:val="auto"/>
              </w:rPr>
            </w:pPr>
          </w:p>
        </w:tc>
        <w:tc>
          <w:tcPr>
            <w:tcW w:w="7920" w:type="dxa"/>
            <w:vAlign w:val="bottom"/>
            <w:gridSpan w:val="5"/>
          </w:tcPr>
          <w:p>
            <w:pPr>
              <w:spacing w:after="0"/>
              <w:rPr>
                <w:sz w:val="15"/>
                <w:szCs w:val="15"/>
                <w:color w:val="auto"/>
              </w:rPr>
            </w:pPr>
          </w:p>
        </w:tc>
        <w:tc>
          <w:tcPr>
            <w:tcW w:w="10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79"/>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77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318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29</w:t>
            </w:r>
          </w:p>
        </w:tc>
        <w:tc>
          <w:tcPr>
            <w:tcW w:w="120" w:type="dxa"/>
            <w:vAlign w:val="bottom"/>
          </w:tcPr>
          <w:p>
            <w:pPr>
              <w:spacing w:after="0"/>
              <w:rPr>
                <w:sz w:val="24"/>
                <w:szCs w:val="24"/>
                <w:color w:val="auto"/>
              </w:rPr>
            </w:pPr>
          </w:p>
        </w:tc>
      </w:tr>
      <w:tr>
        <w:trPr>
          <w:trHeight w:val="385"/>
        </w:trPr>
        <w:tc>
          <w:tcPr>
            <w:tcW w:w="10920" w:type="dxa"/>
            <w:vAlign w:val="bottom"/>
            <w:gridSpan w:val="16"/>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320" w:type="dxa"/>
            <w:vAlign w:val="bottom"/>
            <w:gridSpan w:val="3"/>
          </w:tcPr>
          <w:p>
            <w:pPr>
              <w:spacing w:after="0"/>
              <w:rPr>
                <w:sz w:val="20"/>
                <w:szCs w:val="20"/>
                <w:color w:val="auto"/>
              </w:rPr>
            </w:pPr>
            <w:r>
              <w:rPr>
                <w:rFonts w:ascii="Arial" w:cs="Arial" w:eastAsia="Arial" w:hAnsi="Arial"/>
                <w:sz w:val="18"/>
                <w:szCs w:val="18"/>
                <w:color w:val="0000EE"/>
              </w:rPr>
              <w:t>39</w:t>
            </w:r>
          </w:p>
        </w:tc>
      </w:tr>
      <w:tr>
        <w:trPr>
          <w:trHeight w:val="385"/>
        </w:trPr>
        <w:tc>
          <w:tcPr>
            <w:tcW w:w="26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9"/>
              </w:rPr>
              <w:t>Item 4. Controls and Procedures</w:t>
            </w:r>
          </w:p>
        </w:tc>
        <w:tc>
          <w:tcPr>
            <w:tcW w:w="2760" w:type="dxa"/>
            <w:vAlign w:val="bottom"/>
            <w:tcBorders>
              <w:top w:val="single" w:sz="8" w:color="0000EE"/>
            </w:tcBorders>
            <w:gridSpan w:val="4"/>
          </w:tcPr>
          <w:p>
            <w:pPr>
              <w:spacing w:after="0"/>
              <w:rPr>
                <w:sz w:val="24"/>
                <w:szCs w:val="24"/>
                <w:color w:val="auto"/>
              </w:rPr>
            </w:pPr>
          </w:p>
        </w:tc>
        <w:tc>
          <w:tcPr>
            <w:tcW w:w="5560" w:type="dxa"/>
            <w:vAlign w:val="bottom"/>
            <w:gridSpan w:val="3"/>
          </w:tcPr>
          <w:p>
            <w:pPr>
              <w:spacing w:after="0"/>
              <w:rPr>
                <w:sz w:val="24"/>
                <w:szCs w:val="24"/>
                <w:color w:val="auto"/>
              </w:rPr>
            </w:pPr>
          </w:p>
        </w:tc>
        <w:tc>
          <w:tcPr>
            <w:tcW w:w="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39</w:t>
            </w:r>
          </w:p>
        </w:tc>
        <w:tc>
          <w:tcPr>
            <w:tcW w:w="120" w:type="dxa"/>
            <w:vAlign w:val="bottom"/>
          </w:tcPr>
          <w:p>
            <w:pPr>
              <w:spacing w:after="0"/>
              <w:rPr>
                <w:sz w:val="24"/>
                <w:szCs w:val="24"/>
                <w:color w:val="auto"/>
              </w:rPr>
            </w:pPr>
          </w:p>
        </w:tc>
      </w:tr>
      <w:tr>
        <w:trPr>
          <w:trHeight w:val="587"/>
        </w:trPr>
        <w:tc>
          <w:tcPr>
            <w:tcW w:w="10920" w:type="dxa"/>
            <w:vAlign w:val="bottom"/>
            <w:gridSpan w:val="16"/>
          </w:tcPr>
          <w:p>
            <w:pPr>
              <w:spacing w:after="0"/>
              <w:rPr>
                <w:sz w:val="20"/>
                <w:szCs w:val="20"/>
                <w:color w:val="auto"/>
              </w:rPr>
            </w:pPr>
            <w:r>
              <w:rPr>
                <w:rFonts w:ascii="Arial" w:cs="Arial" w:eastAsia="Arial" w:hAnsi="Arial"/>
                <w:sz w:val="18"/>
                <w:szCs w:val="18"/>
                <w:color w:val="0000EE"/>
              </w:rPr>
              <w:t>PART II – OTHER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27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180" w:type="dxa"/>
            <w:vAlign w:val="bottom"/>
            <w:gridSpan w:val="6"/>
          </w:tcPr>
          <w:p>
            <w:pPr>
              <w:spacing w:after="0"/>
              <w:rPr>
                <w:sz w:val="15"/>
                <w:szCs w:val="15"/>
                <w:color w:val="auto"/>
              </w:rPr>
            </w:pPr>
          </w:p>
        </w:tc>
        <w:tc>
          <w:tcPr>
            <w:tcW w:w="320" w:type="dxa"/>
            <w:vAlign w:val="bottom"/>
            <w:gridSpan w:val="3"/>
          </w:tcPr>
          <w:p>
            <w:pPr>
              <w:spacing w:after="0" w:line="182" w:lineRule="exact"/>
              <w:rPr>
                <w:sz w:val="20"/>
                <w:szCs w:val="20"/>
                <w:color w:val="auto"/>
              </w:rPr>
            </w:pPr>
            <w:r>
              <w:rPr>
                <w:rFonts w:ascii="Arial" w:cs="Arial" w:eastAsia="Arial" w:hAnsi="Arial"/>
                <w:sz w:val="18"/>
                <w:szCs w:val="18"/>
                <w:color w:val="0000EE"/>
              </w:rPr>
              <w:t>40</w:t>
            </w:r>
          </w:p>
        </w:tc>
      </w:tr>
      <w:tr>
        <w:trPr>
          <w:trHeight w:val="385"/>
        </w:trPr>
        <w:tc>
          <w:tcPr>
            <w:tcW w:w="17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9"/>
              </w:rPr>
              <w:t>Item 1A. Risk Factors.</w:t>
            </w:r>
          </w:p>
        </w:tc>
        <w:tc>
          <w:tcPr>
            <w:tcW w:w="360" w:type="dxa"/>
            <w:vAlign w:val="bottom"/>
            <w:tcBorders>
              <w:top w:val="single" w:sz="8" w:color="0000EE"/>
            </w:tcBorders>
            <w:gridSpan w:val="2"/>
          </w:tcPr>
          <w:p>
            <w:pPr>
              <w:spacing w:after="0"/>
              <w:rPr>
                <w:sz w:val="24"/>
                <w:szCs w:val="24"/>
                <w:color w:val="auto"/>
              </w:rPr>
            </w:pPr>
          </w:p>
        </w:tc>
        <w:tc>
          <w:tcPr>
            <w:tcW w:w="8780" w:type="dxa"/>
            <w:vAlign w:val="bottom"/>
            <w:gridSpan w:val="10"/>
          </w:tcPr>
          <w:p>
            <w:pPr>
              <w:spacing w:after="0"/>
              <w:rPr>
                <w:sz w:val="24"/>
                <w:szCs w:val="24"/>
                <w:color w:val="auto"/>
              </w:rPr>
            </w:pPr>
          </w:p>
        </w:tc>
        <w:tc>
          <w:tcPr>
            <w:tcW w:w="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40</w:t>
            </w:r>
          </w:p>
        </w:tc>
        <w:tc>
          <w:tcPr>
            <w:tcW w:w="120" w:type="dxa"/>
            <w:vAlign w:val="bottom"/>
          </w:tcPr>
          <w:p>
            <w:pPr>
              <w:spacing w:after="0"/>
              <w:rPr>
                <w:sz w:val="24"/>
                <w:szCs w:val="24"/>
                <w:color w:val="auto"/>
              </w:rPr>
            </w:pPr>
          </w:p>
        </w:tc>
      </w:tr>
      <w:tr>
        <w:trPr>
          <w:trHeight w:val="385"/>
        </w:trPr>
        <w:tc>
          <w:tcPr>
            <w:tcW w:w="10920" w:type="dxa"/>
            <w:vAlign w:val="bottom"/>
            <w:gridSpan w:val="16"/>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320" w:type="dxa"/>
            <w:vAlign w:val="bottom"/>
            <w:gridSpan w:val="3"/>
          </w:tcPr>
          <w:p>
            <w:pPr>
              <w:spacing w:after="0"/>
              <w:rPr>
                <w:sz w:val="20"/>
                <w:szCs w:val="20"/>
                <w:color w:val="auto"/>
              </w:rPr>
            </w:pPr>
            <w:r>
              <w:rPr>
                <w:rFonts w:ascii="Arial" w:cs="Arial" w:eastAsia="Arial" w:hAnsi="Arial"/>
                <w:sz w:val="18"/>
                <w:szCs w:val="18"/>
                <w:color w:val="0000EE"/>
              </w:rPr>
              <w:t>40</w:t>
            </w:r>
          </w:p>
        </w:tc>
      </w:tr>
      <w:tr>
        <w:trPr>
          <w:trHeight w:val="385"/>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0000EE"/>
              </w:rPr>
              <w:t>Item 3.</w:t>
            </w:r>
          </w:p>
        </w:tc>
        <w:tc>
          <w:tcPr>
            <w:tcW w:w="4920" w:type="dxa"/>
            <w:vAlign w:val="bottom"/>
            <w:tcBorders>
              <w:top w:val="single" w:sz="8" w:color="0000EE"/>
            </w:tcBorders>
            <w:gridSpan w:val="13"/>
          </w:tcPr>
          <w:p>
            <w:pPr>
              <w:ind w:left="20"/>
              <w:spacing w:after="0"/>
              <w:rPr>
                <w:sz w:val="20"/>
                <w:szCs w:val="20"/>
                <w:color w:val="auto"/>
              </w:rPr>
            </w:pPr>
            <w:r>
              <w:rPr>
                <w:rFonts w:ascii="Arial" w:cs="Arial" w:eastAsia="Arial" w:hAnsi="Arial"/>
                <w:sz w:val="18"/>
                <w:szCs w:val="18"/>
                <w:color w:val="0000EE"/>
              </w:rPr>
              <w:t>Defaults Upon Senior Securities.</w:t>
            </w:r>
          </w:p>
        </w:tc>
        <w:tc>
          <w:tcPr>
            <w:tcW w:w="5420" w:type="dxa"/>
            <w:vAlign w:val="bottom"/>
            <w:gridSpan w:val="2"/>
          </w:tcPr>
          <w:p>
            <w:pPr>
              <w:spacing w:after="0"/>
              <w:rPr>
                <w:sz w:val="24"/>
                <w:szCs w:val="24"/>
                <w:color w:val="auto"/>
              </w:rPr>
            </w:pPr>
          </w:p>
        </w:tc>
        <w:tc>
          <w:tcPr>
            <w:tcW w:w="2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89"/>
              </w:rPr>
              <w:t>40</w:t>
            </w:r>
          </w:p>
        </w:tc>
        <w:tc>
          <w:tcPr>
            <w:tcW w:w="120" w:type="dxa"/>
            <w:vAlign w:val="bottom"/>
          </w:tcPr>
          <w:p>
            <w:pPr>
              <w:spacing w:after="0"/>
              <w:rPr>
                <w:sz w:val="24"/>
                <w:szCs w:val="24"/>
                <w:color w:val="auto"/>
              </w:rPr>
            </w:pPr>
          </w:p>
        </w:tc>
      </w:tr>
      <w:tr>
        <w:trPr>
          <w:trHeight w:val="385"/>
        </w:trPr>
        <w:tc>
          <w:tcPr>
            <w:tcW w:w="5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rPr>
              <w:t>Item 4.</w:t>
            </w:r>
          </w:p>
        </w:tc>
        <w:tc>
          <w:tcPr>
            <w:tcW w:w="1960" w:type="dxa"/>
            <w:vAlign w:val="bottom"/>
            <w:tcBorders>
              <w:top w:val="single" w:sz="8" w:color="0000EE"/>
              <w:bottom w:val="single" w:sz="8" w:color="0000EE"/>
            </w:tcBorders>
            <w:gridSpan w:val="7"/>
          </w:tcPr>
          <w:p>
            <w:pPr>
              <w:ind w:left="20"/>
              <w:spacing w:after="0"/>
              <w:rPr>
                <w:sz w:val="20"/>
                <w:szCs w:val="20"/>
                <w:color w:val="auto"/>
              </w:rPr>
            </w:pPr>
            <w:r>
              <w:rPr>
                <w:rFonts w:ascii="Arial" w:cs="Arial" w:eastAsia="Arial" w:hAnsi="Arial"/>
                <w:sz w:val="18"/>
                <w:szCs w:val="18"/>
                <w:color w:val="0000EE"/>
                <w:w w:val="99"/>
              </w:rPr>
              <w:t>Mine Safety Disclosures</w:t>
            </w:r>
          </w:p>
        </w:tc>
        <w:tc>
          <w:tcPr>
            <w:tcW w:w="660" w:type="dxa"/>
            <w:vAlign w:val="bottom"/>
            <w:tcBorders>
              <w:top w:val="single" w:sz="8" w:color="0000EE"/>
            </w:tcBorders>
            <w:gridSpan w:val="4"/>
          </w:tcPr>
          <w:p>
            <w:pPr>
              <w:spacing w:after="0"/>
              <w:rPr>
                <w:sz w:val="24"/>
                <w:szCs w:val="24"/>
                <w:color w:val="auto"/>
              </w:rPr>
            </w:pPr>
          </w:p>
        </w:tc>
        <w:tc>
          <w:tcPr>
            <w:tcW w:w="7720" w:type="dxa"/>
            <w:vAlign w:val="bottom"/>
            <w:gridSpan w:val="4"/>
          </w:tcPr>
          <w:p>
            <w:pPr>
              <w:spacing w:after="0"/>
              <w:rPr>
                <w:sz w:val="24"/>
                <w:szCs w:val="24"/>
                <w:color w:val="auto"/>
              </w:rPr>
            </w:pPr>
          </w:p>
        </w:tc>
        <w:tc>
          <w:tcPr>
            <w:tcW w:w="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40</w:t>
            </w:r>
          </w:p>
        </w:tc>
        <w:tc>
          <w:tcPr>
            <w:tcW w:w="120" w:type="dxa"/>
            <w:vAlign w:val="bottom"/>
          </w:tcPr>
          <w:p>
            <w:pPr>
              <w:spacing w:after="0"/>
              <w:rPr>
                <w:sz w:val="24"/>
                <w:szCs w:val="24"/>
                <w:color w:val="auto"/>
              </w:rPr>
            </w:pPr>
          </w:p>
        </w:tc>
      </w:tr>
      <w:tr>
        <w:trPr>
          <w:trHeight w:val="385"/>
        </w:trPr>
        <w:tc>
          <w:tcPr>
            <w:tcW w:w="5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rPr>
              <w:t>Item 5.</w:t>
            </w:r>
          </w:p>
        </w:tc>
        <w:tc>
          <w:tcPr>
            <w:tcW w:w="1480" w:type="dxa"/>
            <w:vAlign w:val="bottom"/>
            <w:tcBorders>
              <w:bottom w:val="single" w:sz="8" w:color="0000EE"/>
            </w:tcBorders>
            <w:gridSpan w:val="4"/>
          </w:tcPr>
          <w:p>
            <w:pPr>
              <w:ind w:left="20"/>
              <w:spacing w:after="0"/>
              <w:rPr>
                <w:sz w:val="20"/>
                <w:szCs w:val="20"/>
                <w:color w:val="auto"/>
              </w:rPr>
            </w:pPr>
            <w:r>
              <w:rPr>
                <w:rFonts w:ascii="Arial" w:cs="Arial" w:eastAsia="Arial" w:hAnsi="Arial"/>
                <w:sz w:val="18"/>
                <w:szCs w:val="18"/>
                <w:color w:val="0000EE"/>
                <w:w w:val="99"/>
              </w:rPr>
              <w:t>Other Information.</w:t>
            </w:r>
          </w:p>
        </w:tc>
        <w:tc>
          <w:tcPr>
            <w:tcW w:w="8860" w:type="dxa"/>
            <w:vAlign w:val="bottom"/>
            <w:gridSpan w:val="11"/>
          </w:tcPr>
          <w:p>
            <w:pPr>
              <w:spacing w:after="0"/>
              <w:rPr>
                <w:sz w:val="24"/>
                <w:szCs w:val="24"/>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40</w:t>
            </w:r>
          </w:p>
        </w:tc>
        <w:tc>
          <w:tcPr>
            <w:tcW w:w="120" w:type="dxa"/>
            <w:vAlign w:val="bottom"/>
          </w:tcPr>
          <w:p>
            <w:pPr>
              <w:spacing w:after="0"/>
              <w:rPr>
                <w:sz w:val="24"/>
                <w:szCs w:val="24"/>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6.</w:t>
            </w:r>
          </w:p>
        </w:tc>
        <w:tc>
          <w:tcPr>
            <w:tcW w:w="10340" w:type="dxa"/>
            <w:vAlign w:val="bottom"/>
            <w:gridSpan w:val="15"/>
          </w:tcPr>
          <w:p>
            <w:pPr>
              <w:ind w:left="20"/>
              <w:spacing w:after="0"/>
              <w:rPr>
                <w:sz w:val="20"/>
                <w:szCs w:val="20"/>
                <w:color w:val="auto"/>
              </w:rPr>
            </w:pPr>
            <w:r>
              <w:rPr>
                <w:rFonts w:ascii="Arial" w:cs="Arial" w:eastAsia="Arial" w:hAnsi="Arial"/>
                <w:sz w:val="18"/>
                <w:szCs w:val="18"/>
                <w:color w:val="0000EE"/>
              </w:rPr>
              <w:t>Exhibits.</w:t>
            </w:r>
          </w:p>
        </w:tc>
        <w:tc>
          <w:tcPr>
            <w:tcW w:w="320" w:type="dxa"/>
            <w:vAlign w:val="bottom"/>
            <w:gridSpan w:val="3"/>
          </w:tcPr>
          <w:p>
            <w:pPr>
              <w:spacing w:after="0"/>
              <w:rPr>
                <w:sz w:val="20"/>
                <w:szCs w:val="20"/>
                <w:color w:val="auto"/>
              </w:rPr>
            </w:pPr>
            <w:r>
              <w:rPr>
                <w:rFonts w:ascii="Arial" w:cs="Arial" w:eastAsia="Arial" w:hAnsi="Arial"/>
                <w:sz w:val="18"/>
                <w:szCs w:val="18"/>
                <w:color w:val="0000EE"/>
              </w:rPr>
              <w:t>41</w:t>
            </w: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SIGNATURE</w:t>
            </w:r>
          </w:p>
        </w:tc>
        <w:tc>
          <w:tcPr>
            <w:tcW w:w="9640" w:type="dxa"/>
            <w:vAlign w:val="bottom"/>
            <w:gridSpan w:val="13"/>
          </w:tcPr>
          <w:p>
            <w:pPr>
              <w:spacing w:after="0"/>
              <w:rPr>
                <w:sz w:val="24"/>
                <w:szCs w:val="24"/>
                <w:color w:val="auto"/>
              </w:rPr>
            </w:pPr>
          </w:p>
        </w:tc>
        <w:tc>
          <w:tcPr>
            <w:tcW w:w="2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89"/>
              </w:rPr>
              <w:t>42</w:t>
            </w:r>
          </w:p>
        </w:tc>
        <w:tc>
          <w:tcPr>
            <w:tcW w:w="120" w:type="dxa"/>
            <w:vAlign w:val="bottom"/>
          </w:tcPr>
          <w:p>
            <w:pPr>
              <w:spacing w:after="0"/>
              <w:rPr>
                <w:sz w:val="24"/>
                <w:szCs w:val="24"/>
                <w:color w:val="auto"/>
              </w:rPr>
            </w:pPr>
          </w:p>
        </w:tc>
      </w:tr>
      <w:tr>
        <w:trPr>
          <w:trHeight w:val="568"/>
        </w:trPr>
        <w:tc>
          <w:tcPr>
            <w:tcW w:w="5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and Section 21E of the Securities Exchange Act of 1934, as amended. These forward-looking statements relate to expectations for future financial performance, business strategies or expectations for the Company’s business. These statements may be preceded by, followed by or include the words “believes,” “estimates,” “expects,” “projects,” “forecasts,” “may,” “will,” “should,” “seeks,” “plans,” “scheduled,” “anticipates,” “intends” or similar expressions. These forward-looking statements are subject to a number of risks and uncertainties and actual results could differ materially due to numerous factors, including but not limited to the Company’s ability to do any of the following:</w:t>
      </w:r>
    </w:p>
    <w:p>
      <w:pPr>
        <w:spacing w:after="0" w:line="191" w:lineRule="exact"/>
        <w:rPr>
          <w:sz w:val="20"/>
          <w:szCs w:val="20"/>
          <w:color w:val="auto"/>
        </w:rPr>
      </w:pPr>
    </w:p>
    <w:p>
      <w:pPr>
        <w:ind w:left="660" w:right="22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83" w:lineRule="exact"/>
        <w:rPr>
          <w:rFonts w:ascii="Arial" w:cs="Arial" w:eastAsia="Arial" w:hAnsi="Arial"/>
          <w:sz w:val="18"/>
          <w:szCs w:val="18"/>
          <w:color w:val="auto"/>
        </w:rPr>
      </w:pPr>
    </w:p>
    <w:p>
      <w:pPr>
        <w:ind w:left="660" w:right="8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Company products and the need to shift the mix of products offered in response thereto;</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collect and use personal data about consumers;</w:t>
      </w:r>
    </w:p>
    <w:p>
      <w:pPr>
        <w:spacing w:after="0" w:line="238" w:lineRule="exact"/>
        <w:rPr>
          <w:rFonts w:ascii="Arial" w:cs="Arial" w:eastAsia="Arial" w:hAnsi="Arial"/>
          <w:sz w:val="18"/>
          <w:szCs w:val="18"/>
          <w:color w:val="auto"/>
        </w:rPr>
      </w:pPr>
    </w:p>
    <w:p>
      <w:pPr>
        <w:ind w:left="660" w:right="5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impact of the coronavirus disease 2019 (“COVID-19”) pandemic and its effect on business and financial conditions;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risks associated with operational changes in response to the COVID-19 pandemic;</w:t>
      </w:r>
    </w:p>
    <w:p>
      <w:pPr>
        <w:spacing w:after="0" w:line="238" w:lineRule="exact"/>
        <w:rPr>
          <w:rFonts w:ascii="Arial" w:cs="Arial" w:eastAsia="Arial" w:hAnsi="Arial"/>
          <w:sz w:val="18"/>
          <w:szCs w:val="18"/>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the anticipated benefits of and successfully deploy the proceeds from the Business Combination (as defined herein), which may be affected by, among other things, competition, the ability to integrate the combined businesses and the ability of the combined business to grow and manage growth profitably;</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uncertainties inherent in the development of new business lines and business strategies;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and hire necessary employees;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brand awareness;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train and retain effective officers, key employees or directors;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upgrade and maintain information technology systems;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cyber-attacks, security breaches, or computer viruses;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respond to privacy or data breaches, or the loss of data;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38" w:lineRule="exact"/>
        <w:rPr>
          <w:rFonts w:ascii="Arial" w:cs="Arial" w:eastAsia="Arial" w:hAnsi="Arial"/>
          <w:sz w:val="18"/>
          <w:szCs w:val="18"/>
          <w:color w:val="auto"/>
        </w:rPr>
      </w:pPr>
    </w:p>
    <w:p>
      <w:pPr>
        <w:ind w:left="660" w:right="30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 (including the impacts of the Russian invasion of Ukraine and its regional and global ramifications);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38" w:lineRule="exact"/>
        <w:rPr>
          <w:rFonts w:ascii="Arial" w:cs="Arial" w:eastAsia="Arial" w:hAnsi="Arial"/>
          <w:sz w:val="18"/>
          <w:szCs w:val="18"/>
          <w:color w:val="auto"/>
        </w:rPr>
      </w:pPr>
    </w:p>
    <w:p>
      <w:pPr>
        <w:ind w:left="660" w:right="42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the listing on, or the delisting of the Company’s securities from, the NYSE or an inability to have our securities listed on another national securities exchange;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additional capital, including use of the debt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 future operating and financial results;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rapid technological changes;</w:t>
      </w:r>
    </w:p>
    <w:p>
      <w:pPr>
        <w:spacing w:after="0" w:line="252" w:lineRule="exact"/>
        <w:rPr>
          <w:rFonts w:ascii="Arial" w:cs="Arial" w:eastAsia="Arial" w:hAnsi="Arial"/>
          <w:sz w:val="18"/>
          <w:szCs w:val="18"/>
          <w:color w:val="auto"/>
        </w:rPr>
      </w:pPr>
    </w:p>
    <w:p>
      <w:pPr>
        <w:ind w:left="660" w:right="40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laws and regulations applicable to its business and industry, including laws and regulations related to environmental health and safety;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stay abreast of modified or new laws and regulations;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38" w:lineRule="exact"/>
        <w:rPr>
          <w:rFonts w:ascii="Arial" w:cs="Arial" w:eastAsia="Arial" w:hAnsi="Arial"/>
          <w:sz w:val="18"/>
          <w:szCs w:val="18"/>
          <w:color w:val="auto"/>
        </w:rPr>
      </w:pPr>
    </w:p>
    <w:p>
      <w:pPr>
        <w:ind w:left="660" w:right="16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fluctuations in foreign currency exchange rates and political unrest and regulatory changes in international markets from various events;</w:t>
      </w:r>
    </w:p>
    <w:p>
      <w:pPr>
        <w:spacing w:after="0" w:line="183"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and manage through the rise in interest rates which would increase the cost of capital, as well as responding to inflationary pressures;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new U.S. federal income tax law, including the impact on deferred tax assets;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investigations, complaints, product liability claims and/or adverse publicity;</w:t>
      </w:r>
    </w:p>
    <w:p>
      <w:pPr>
        <w:spacing w:after="0" w:line="238" w:lineRule="exact"/>
        <w:rPr>
          <w:rFonts w:ascii="Arial" w:cs="Arial" w:eastAsia="Arial" w:hAnsi="Arial"/>
          <w:sz w:val="18"/>
          <w:szCs w:val="18"/>
          <w:color w:val="auto"/>
        </w:rPr>
      </w:pPr>
    </w:p>
    <w:p>
      <w:pPr>
        <w:ind w:left="660" w:right="36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Jumpstart Our Business Startups Act of 2012 ("JOBS Act");</w:t>
      </w:r>
    </w:p>
    <w:p>
      <w:pPr>
        <w:spacing w:after="0" w:line="183" w:lineRule="exact"/>
        <w:rPr>
          <w:rFonts w:ascii="Arial" w:cs="Arial" w:eastAsia="Arial" w:hAnsi="Arial"/>
          <w:sz w:val="18"/>
          <w:szCs w:val="18"/>
          <w:color w:val="auto"/>
        </w:rPr>
      </w:pPr>
    </w:p>
    <w:p>
      <w:pPr>
        <w:ind w:left="660" w:right="54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83" w:lineRule="exact"/>
        <w:rPr>
          <w:rFonts w:ascii="Arial" w:cs="Arial" w:eastAsia="Arial" w:hAnsi="Arial"/>
          <w:sz w:val="18"/>
          <w:szCs w:val="18"/>
          <w:color w:val="auto"/>
        </w:rPr>
      </w:pPr>
    </w:p>
    <w:p>
      <w:pPr>
        <w:ind w:left="660" w:right="20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listed under the caption “Risk Factors” included in our Annual Report on 10-K for the year ended December 31, 2021, as filed with the SEC on March 15, 2022, and in any subsequent filings with the SEC.</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HOLLEY INC.</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color w:val="auto"/>
              </w:rPr>
              <w:t>(in thousands, except share data)</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rPr>
              <w:t>(unaudited)</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As of</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6"/>
                <w:szCs w:val="16"/>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rPr>
              <w:t>October 2, 2022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1310"/>
              <w:spacing w:after="0" w:line="196" w:lineRule="exact"/>
              <w:rPr>
                <w:sz w:val="20"/>
                <w:szCs w:val="20"/>
                <w:color w:val="auto"/>
              </w:rPr>
            </w:pPr>
            <w:r>
              <w:rPr>
                <w:rFonts w:ascii="Arial" w:cs="Arial" w:eastAsia="Arial" w:hAnsi="Arial"/>
                <w:sz w:val="18"/>
                <w:szCs w:val="18"/>
                <w:b w:val="1"/>
                <w:bCs w:val="1"/>
                <w:color w:val="auto"/>
                <w:w w:val="99"/>
              </w:rPr>
              <w:t>ASSETS</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16,606</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36,325</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$1,215 and $1,387, respectively</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51,390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230,509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185,040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Prepaids and other 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18,478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18,962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325,315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291,717</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54,768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51,495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417,298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411,383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428,404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438,461</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Right-of-use assets</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31,274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1,257,059</w:t>
            </w:r>
          </w:p>
        </w:tc>
        <w:tc>
          <w:tcPr>
            <w:tcW w:w="3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1,193,056</w:t>
            </w:r>
          </w:p>
        </w:tc>
      </w:tr>
      <w:tr>
        <w:trPr>
          <w:trHeight w:val="183"/>
        </w:trPr>
        <w:tc>
          <w:tcPr>
            <w:tcW w:w="1280" w:type="dxa"/>
            <w:vAlign w:val="bottom"/>
            <w:tcBorders>
              <w:top w:val="single" w:sz="8" w:color="CCEEFF"/>
            </w:tcBorders>
          </w:tcPr>
          <w:p>
            <w:pPr>
              <w:spacing w:after="0"/>
              <w:rPr>
                <w:sz w:val="15"/>
                <w:szCs w:val="15"/>
                <w:color w:val="auto"/>
              </w:rPr>
            </w:pPr>
          </w:p>
        </w:tc>
        <w:tc>
          <w:tcPr>
            <w:tcW w:w="6720" w:type="dxa"/>
            <w:vAlign w:val="bottom"/>
            <w:tcBorders>
              <w:top w:val="single" w:sz="8" w:color="CCEEFF"/>
            </w:tcBorders>
          </w:tcPr>
          <w:p>
            <w:pPr>
              <w:jc w:val="center"/>
              <w:ind w:right="131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43,519</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45,708</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4,775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34,853</w:t>
            </w:r>
          </w:p>
        </w:tc>
      </w:tr>
      <w:tr>
        <w:trPr>
          <w:trHeight w:val="202"/>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7,875</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96,396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91,795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635,627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637,673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61,293</w:t>
            </w:r>
          </w:p>
        </w:tc>
      </w:tr>
      <w:tr>
        <w:trPr>
          <w:trHeight w:val="202"/>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Earn-out liability</w:t>
            </w: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26,596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taxes</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70,045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28,119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1,167</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838,774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888,569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Commitments and contingencies (Refer to Note 16 - Commitments and Contingencies)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$0.0001 par value, 5,000,000 shares authorized, none issued and outstanding as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of October 2, 2022 and December 31, 2021</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$0.0001 par value, 550,000,000 shares authorized, 117,147,997 and 115,805,639</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shares issued and outstanding as of October 2, 2022 and December 31, 2021, respectively</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353,245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329,705</w:t>
            </w:r>
          </w:p>
        </w:tc>
      </w:tr>
      <w:tr>
        <w:trPr>
          <w:trHeight w:val="202"/>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gain (loss)</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Retained earnings (accumulated deficit)</w:t>
            </w: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64,026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(24,974)</w:t>
            </w:r>
          </w:p>
        </w:tc>
      </w:tr>
      <w:tr>
        <w:trPr>
          <w:trHeight w:val="196"/>
        </w:trPr>
        <w:tc>
          <w:tcPr>
            <w:tcW w:w="800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418,285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304,487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1,257,059</w:t>
            </w:r>
          </w:p>
        </w:tc>
        <w:tc>
          <w:tcPr>
            <w:tcW w:w="3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1,193,056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9"/>
        </w:trPr>
        <w:tc>
          <w:tcPr>
            <w:tcW w:w="128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2580" w:type="dxa"/>
            <w:vAlign w:val="bottom"/>
            <w:gridSpan w:val="4"/>
          </w:tcPr>
          <w:p>
            <w:pPr>
              <w:jc w:val="center"/>
              <w:ind w:right="800"/>
              <w:spacing w:after="0"/>
              <w:rPr>
                <w:sz w:val="20"/>
                <w:szCs w:val="20"/>
                <w:color w:val="auto"/>
              </w:rPr>
            </w:pPr>
            <w:r>
              <w:rPr>
                <w:rFonts w:ascii="Arial" w:cs="Arial" w:eastAsia="Arial" w:hAnsi="Arial"/>
                <w:sz w:val="18"/>
                <w:szCs w:val="18"/>
                <w:b w:val="1"/>
                <w:bCs w:val="1"/>
                <w:color w:val="auto"/>
                <w:w w:val="99"/>
              </w:rPr>
              <w:t>HOLLEY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1280" w:type="dxa"/>
            <w:vAlign w:val="bottom"/>
          </w:tcPr>
          <w:p>
            <w:pPr>
              <w:spacing w:after="0"/>
              <w:rPr>
                <w:sz w:val="19"/>
                <w:szCs w:val="19"/>
                <w:color w:val="auto"/>
              </w:rPr>
            </w:pPr>
          </w:p>
        </w:tc>
        <w:tc>
          <w:tcPr>
            <w:tcW w:w="874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COMPREHENSIVE INCOME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2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580" w:type="dxa"/>
            <w:vAlign w:val="bottom"/>
            <w:gridSpan w:val="4"/>
          </w:tcPr>
          <w:p>
            <w:pPr>
              <w:jc w:val="center"/>
              <w:ind w:right="800"/>
              <w:spacing w:after="0" w:line="202" w:lineRule="exact"/>
              <w:rPr>
                <w:sz w:val="20"/>
                <w:szCs w:val="20"/>
                <w:color w:val="auto"/>
              </w:rPr>
            </w:pPr>
            <w:r>
              <w:rPr>
                <w:rFonts w:ascii="Arial" w:cs="Arial" w:eastAsia="Arial" w:hAnsi="Arial"/>
                <w:sz w:val="18"/>
                <w:szCs w:val="18"/>
                <w:color w:val="auto"/>
                <w:w w:val="99"/>
              </w:rPr>
              <w:t>(in thousands)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12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40" w:type="dxa"/>
            <w:vAlign w:val="bottom"/>
            <w:gridSpan w:val="2"/>
          </w:tcPr>
          <w:p>
            <w:pPr>
              <w:jc w:val="center"/>
              <w:ind w:left="350"/>
              <w:spacing w:after="0"/>
              <w:rPr>
                <w:sz w:val="20"/>
                <w:szCs w:val="20"/>
                <w:color w:val="auto"/>
              </w:rPr>
            </w:pPr>
            <w:r>
              <w:rPr>
                <w:rFonts w:ascii="Arial" w:cs="Arial" w:eastAsia="Arial" w:hAnsi="Arial"/>
                <w:sz w:val="18"/>
                <w:szCs w:val="18"/>
                <w:color w:val="auto"/>
                <w:w w:val="98"/>
              </w:rPr>
              <w:t>(unaudited)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1"/>
        </w:trPr>
        <w:tc>
          <w:tcPr>
            <w:tcW w:w="1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8"/>
                <w:szCs w:val="18"/>
                <w:color w:val="auto"/>
              </w:rPr>
              <w:t>For the thirty-nine weeks</w:t>
            </w:r>
          </w:p>
        </w:tc>
      </w:tr>
      <w:tr>
        <w:trPr>
          <w:trHeight w:val="203"/>
        </w:trPr>
        <w:tc>
          <w:tcPr>
            <w:tcW w:w="12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00" w:type="dxa"/>
            <w:vAlign w:val="bottom"/>
            <w:gridSpan w:val="6"/>
          </w:tcPr>
          <w:p>
            <w:pPr>
              <w:jc w:val="right"/>
              <w:ind w:right="300"/>
              <w:spacing w:after="0" w:line="203" w:lineRule="exact"/>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7"/>
                <w:szCs w:val="17"/>
                <w:color w:val="auto"/>
              </w:rPr>
            </w:pPr>
          </w:p>
        </w:tc>
        <w:tc>
          <w:tcPr>
            <w:tcW w:w="2440" w:type="dxa"/>
            <w:vAlign w:val="bottom"/>
            <w:gridSpan w:val="5"/>
          </w:tcPr>
          <w:p>
            <w:pPr>
              <w:jc w:val="right"/>
              <w:ind w:right="1080"/>
              <w:spacing w:after="0" w:line="203" w:lineRule="exact"/>
              <w:rPr>
                <w:sz w:val="20"/>
                <w:szCs w:val="20"/>
                <w:color w:val="auto"/>
              </w:rPr>
            </w:pPr>
            <w:r>
              <w:rPr>
                <w:rFonts w:ascii="Arial" w:cs="Arial" w:eastAsia="Arial" w:hAnsi="Arial"/>
                <w:sz w:val="18"/>
                <w:szCs w:val="18"/>
                <w:color w:val="auto"/>
              </w:rPr>
              <w:t>ended</w:t>
            </w:r>
          </w:p>
        </w:tc>
      </w:tr>
      <w:tr>
        <w:trPr>
          <w:trHeight w:val="195"/>
        </w:trPr>
        <w:tc>
          <w:tcPr>
            <w:tcW w:w="12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95" w:lineRule="exact"/>
              <w:rPr>
                <w:sz w:val="20"/>
                <w:szCs w:val="20"/>
                <w:color w:val="auto"/>
              </w:rPr>
            </w:pPr>
            <w:r>
              <w:rPr>
                <w:rFonts w:ascii="Arial" w:cs="Arial" w:eastAsia="Arial" w:hAnsi="Arial"/>
                <w:sz w:val="18"/>
                <w:szCs w:val="18"/>
                <w:color w:val="auto"/>
                <w:w w:val="99"/>
              </w:rPr>
              <w:t>October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9"/>
              </w:rPr>
              <w:t>September</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9"/>
              </w:rPr>
              <w:t>October 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7"/>
              </w:rPr>
              <w:t>September</w:t>
            </w:r>
          </w:p>
        </w:tc>
        <w:tc>
          <w:tcPr>
            <w:tcW w:w="100" w:type="dxa"/>
            <w:vAlign w:val="bottom"/>
          </w:tcPr>
          <w:p>
            <w:pPr>
              <w:spacing w:after="0"/>
              <w:rPr>
                <w:sz w:val="16"/>
                <w:szCs w:val="16"/>
                <w:color w:val="auto"/>
              </w:rPr>
            </w:pPr>
          </w:p>
        </w:tc>
      </w:tr>
      <w:tr>
        <w:trPr>
          <w:trHeight w:val="203"/>
        </w:trPr>
        <w:tc>
          <w:tcPr>
            <w:tcW w:w="12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2022</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26, 2021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r>
      <w:tr>
        <w:trPr>
          <w:trHeight w:val="196"/>
        </w:trPr>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154,775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159,673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534,250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513,046</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106,383</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94,475</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327,849</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300,969</w:t>
            </w:r>
          </w:p>
        </w:tc>
      </w:tr>
      <w:tr>
        <w:trPr>
          <w:trHeight w:val="20"/>
        </w:trPr>
        <w:tc>
          <w:tcPr>
            <w:tcW w:w="1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48,392</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65,198</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206,401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212,077</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31,921</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28,891</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102,532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79,093</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7,133</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22,396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20,167</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3,662</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3,553</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10,985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10,391</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1,266</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368</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3,247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21,877</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23,250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25,789</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expense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89</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594</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r>
      <w:tr>
        <w:trPr>
          <w:trHeight w:val="20"/>
        </w:trPr>
        <w:tc>
          <w:tcPr>
            <w:tcW w:w="1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operating expense</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45,330</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63,284</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142,149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157,320</w:t>
            </w:r>
          </w:p>
        </w:tc>
      </w:tr>
      <w:tr>
        <w:trPr>
          <w:trHeight w:val="20"/>
        </w:trPr>
        <w:tc>
          <w:tcPr>
            <w:tcW w:w="12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Operating income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3,062</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1,914</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64,252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54,757</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(30,171)</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17,273</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(51,112)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17,273</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(7,429)</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6,866</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(9,282)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6,866</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1,425</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10,428</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9,851</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26,780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31,096</w:t>
            </w:r>
          </w:p>
        </w:tc>
      </w:tr>
      <w:tr>
        <w:trPr>
          <w:trHeight w:val="20"/>
        </w:trPr>
        <w:tc>
          <w:tcPr>
            <w:tcW w:w="1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non-operating (income) expense</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(27,172)</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35,415</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(33,614)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56,660</w:t>
            </w:r>
          </w:p>
        </w:tc>
      </w:tr>
      <w:tr>
        <w:trPr>
          <w:trHeight w:val="20"/>
        </w:trPr>
        <w:tc>
          <w:tcPr>
            <w:tcW w:w="12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Income (loss) before income taxes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30,234</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(33,501)</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97,866</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(1,903)</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(3,301)</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8,866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7,255</w:t>
            </w:r>
          </w:p>
        </w:tc>
      </w:tr>
      <w:tr>
        <w:trPr>
          <w:trHeight w:val="20"/>
        </w:trPr>
        <w:tc>
          <w:tcPr>
            <w:tcW w:w="12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80" w:type="dxa"/>
            <w:vAlign w:val="bottom"/>
            <w:gridSpan w:val="2"/>
          </w:tcPr>
          <w:p>
            <w:pPr>
              <w:ind w:left="340"/>
              <w:spacing w:after="0" w:line="196" w:lineRule="exact"/>
              <w:rPr>
                <w:sz w:val="20"/>
                <w:szCs w:val="20"/>
                <w:color w:val="auto"/>
              </w:rPr>
            </w:pPr>
            <w:r>
              <w:rPr>
                <w:rFonts w:ascii="Arial" w:cs="Arial" w:eastAsia="Arial" w:hAnsi="Arial"/>
                <w:sz w:val="18"/>
                <w:szCs w:val="18"/>
                <w:b w:val="1"/>
                <w:bCs w:val="1"/>
                <w:color w:val="auto"/>
              </w:rPr>
              <w:t>Net income (loss)</w:t>
            </w: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31,579</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(30,200)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89,000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(9,158)</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(loss):</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516</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1,258</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w:t>
            </w:r>
          </w:p>
        </w:tc>
      </w:tr>
      <w:tr>
        <w:trPr>
          <w:trHeight w:val="20"/>
        </w:trPr>
        <w:tc>
          <w:tcPr>
            <w:tcW w:w="1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780" w:type="dxa"/>
            <w:vAlign w:val="bottom"/>
            <w:gridSpan w:val="2"/>
            <w:shd w:val="clear" w:color="auto" w:fill="CCEEFF"/>
          </w:tcPr>
          <w:p>
            <w:pPr>
              <w:ind w:left="340"/>
              <w:spacing w:after="0" w:line="182" w:lineRule="exact"/>
              <w:rPr>
                <w:sz w:val="20"/>
                <w:szCs w:val="20"/>
                <w:color w:val="auto"/>
              </w:rPr>
            </w:pPr>
            <w:r>
              <w:rPr>
                <w:rFonts w:ascii="Arial" w:cs="Arial" w:eastAsia="Arial" w:hAnsi="Arial"/>
                <w:sz w:val="18"/>
                <w:szCs w:val="18"/>
                <w:b w:val="1"/>
                <w:bCs w:val="1"/>
                <w:color w:val="auto"/>
              </w:rPr>
              <w:t>Total comprehensive income (loss)</w:t>
            </w:r>
          </w:p>
        </w:tc>
        <w:tc>
          <w:tcPr>
            <w:tcW w:w="13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32,095</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(30,231)</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90,258</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(9,170)</w:t>
            </w:r>
          </w:p>
        </w:tc>
      </w:tr>
      <w:tr>
        <w:trPr>
          <w:trHeight w:val="183"/>
        </w:trPr>
        <w:tc>
          <w:tcPr>
            <w:tcW w:w="478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Common Share Data:</w:t>
            </w:r>
          </w:p>
        </w:tc>
        <w:tc>
          <w:tcPr>
            <w:tcW w:w="1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117,119,609</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9"/>
              </w:rPr>
              <w:t>106,285,072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116,636,906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80,735,661</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7"/>
              </w:rPr>
              <w:t>117,138,134</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106,285,072</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117,273,613</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80,735,661</w:t>
            </w: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net income (loss) per share</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(0.11)</w:t>
            </w:r>
          </w:p>
        </w:tc>
      </w:tr>
      <w:tr>
        <w:trPr>
          <w:trHeight w:val="217"/>
        </w:trPr>
        <w:tc>
          <w:tcPr>
            <w:tcW w:w="4780" w:type="dxa"/>
            <w:vAlign w:val="bottom"/>
            <w:gridSpan w:val="2"/>
          </w:tcPr>
          <w:p>
            <w:pPr>
              <w:spacing w:after="0"/>
              <w:rPr>
                <w:sz w:val="20"/>
                <w:szCs w:val="20"/>
                <w:color w:val="auto"/>
              </w:rPr>
            </w:pPr>
            <w:r>
              <w:rPr>
                <w:rFonts w:ascii="Arial" w:cs="Arial" w:eastAsia="Arial" w:hAnsi="Arial"/>
                <w:sz w:val="18"/>
                <w:szCs w:val="18"/>
                <w:color w:val="auto"/>
              </w:rPr>
              <w:t>Diluted net income (loss) per share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bl>
    <w:p>
      <w:pPr>
        <w:spacing w:after="0" w:line="165"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HOLLEY INC.</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8960" w:type="dxa"/>
            <w:vAlign w:val="bottom"/>
            <w:gridSpan w:val="16"/>
          </w:tcPr>
          <w:p>
            <w:pPr>
              <w:jc w:val="center"/>
              <w:ind w:right="26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60" w:type="dxa"/>
            <w:vAlign w:val="bottom"/>
            <w:gridSpan w:val="8"/>
          </w:tcPr>
          <w:p>
            <w:pPr>
              <w:jc w:val="center"/>
              <w:ind w:left="90"/>
              <w:spacing w:after="0" w:line="202" w:lineRule="exact"/>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24"/>
                <w:szCs w:val="2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9"/>
              </w:rPr>
              <w:t>Retained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8"/>
              </w:rPr>
              <w:t>Earnings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Paid-In</w:t>
            </w:r>
          </w:p>
        </w:tc>
        <w:tc>
          <w:tcPr>
            <w:tcW w:w="156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Comprehensive</w:t>
            </w:r>
          </w:p>
        </w:tc>
        <w:tc>
          <w:tcPr>
            <w:tcW w:w="1320" w:type="dxa"/>
            <w:vAlign w:val="bottom"/>
            <w:gridSpan w:val="3"/>
          </w:tcPr>
          <w:p>
            <w:pPr>
              <w:spacing w:after="0" w:line="202" w:lineRule="exact"/>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rPr>
              <w:t>Gain (Loss)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238,890</w:t>
            </w:r>
          </w:p>
        </w:tc>
        <w:tc>
          <w:tcPr>
            <w:tcW w:w="2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240,381</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Retroactive application of recapitalization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67,673,784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balance at December 31, 2020</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67,673,884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238,883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240,381</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(2,056)</w:t>
            </w: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March 28, 2021</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67,673,884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239,014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238,440</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23,098</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23,098</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June 27, 2021</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67,673,884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239,145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(655)</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23,207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261,704</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(30,200)</w:t>
            </w: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(30,200)</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Recapitalization transaction, net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48,131,755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85,859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85,864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at September 26, 2021</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115,805,639</w:t>
            </w:r>
          </w:p>
        </w:tc>
        <w:tc>
          <w:tcPr>
            <w:tcW w:w="220" w:type="dxa"/>
            <w:vAlign w:val="bottom"/>
          </w:tcPr>
          <w:p>
            <w:pPr>
              <w:spacing w:after="0"/>
              <w:rPr>
                <w:sz w:val="17"/>
                <w:szCs w:val="17"/>
                <w:color w:val="auto"/>
              </w:rPr>
            </w:pP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12</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327,490</w:t>
            </w:r>
          </w:p>
        </w:tc>
        <w:tc>
          <w:tcPr>
            <w:tcW w:w="200" w:type="dxa"/>
            <w:vAlign w:val="bottom"/>
            <w:gridSpan w:val="2"/>
          </w:tcPr>
          <w:p>
            <w:pPr>
              <w:ind w:left="8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(686)</w:t>
            </w:r>
          </w:p>
        </w:tc>
        <w:tc>
          <w:tcPr>
            <w:tcW w:w="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(6,993)</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319,823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Balance at December 31, 2021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115,805,639</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329,705</w:t>
            </w:r>
          </w:p>
        </w:tc>
        <w:tc>
          <w:tcPr>
            <w:tcW w:w="2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(256)</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(24,974)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304,487</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16,858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16,858</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Issuance of earn-out shares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14,689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April 3, 2022</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116,899,389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347,556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(8,116)</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339,437</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40,563</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40,563</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2"/>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501</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Warrants exercised</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33,333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Balance at July 3, 2022</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116,932,722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351,422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486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32,447</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384,367</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31,579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31,579</w:t>
            </w:r>
          </w:p>
        </w:tc>
        <w:tc>
          <w:tcPr>
            <w:tcW w:w="0" w:type="dxa"/>
            <w:vAlign w:val="bottom"/>
          </w:tcPr>
          <w:p>
            <w:pPr>
              <w:spacing w:after="0"/>
              <w:rPr>
                <w:sz w:val="1"/>
                <w:szCs w:val="1"/>
                <w:color w:val="auto"/>
              </w:rPr>
            </w:pPr>
          </w:p>
        </w:tc>
      </w:tr>
      <w:tr>
        <w:trPr>
          <w:trHeight w:val="203"/>
        </w:trPr>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37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Tax withholding related to vesting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(1,050)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shares for restricted stock</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215,275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3700" w:type="dxa"/>
            <w:vAlign w:val="bottom"/>
            <w:gridSpan w:val="2"/>
            <w:shd w:val="clear" w:color="auto" w:fill="CCEEFF"/>
          </w:tcPr>
          <w:p>
            <w:pPr>
              <w:ind w:left="340"/>
              <w:spacing w:after="0" w:line="190" w:lineRule="exact"/>
              <w:rPr>
                <w:sz w:val="20"/>
                <w:szCs w:val="20"/>
                <w:color w:val="auto"/>
              </w:rPr>
            </w:pPr>
            <w:r>
              <w:rPr>
                <w:rFonts w:ascii="Arial" w:cs="Arial" w:eastAsia="Arial" w:hAnsi="Arial"/>
                <w:sz w:val="18"/>
                <w:szCs w:val="18"/>
                <w:color w:val="auto"/>
              </w:rPr>
              <w:t>units</w:t>
            </w:r>
          </w:p>
        </w:tc>
        <w:tc>
          <w:tcPr>
            <w:tcW w:w="11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at October 2, 2022</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117,147,997</w:t>
            </w:r>
          </w:p>
        </w:tc>
        <w:tc>
          <w:tcPr>
            <w:tcW w:w="220" w:type="dxa"/>
            <w:vAlign w:val="bottom"/>
          </w:tcPr>
          <w:p>
            <w:pPr>
              <w:spacing w:after="0"/>
              <w:rPr>
                <w:sz w:val="17"/>
                <w:szCs w:val="17"/>
                <w:color w:val="auto"/>
              </w:rPr>
            </w:pP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12</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353,245</w:t>
            </w:r>
          </w:p>
        </w:tc>
        <w:tc>
          <w:tcPr>
            <w:tcW w:w="200" w:type="dxa"/>
            <w:vAlign w:val="bottom"/>
            <w:gridSpan w:val="2"/>
          </w:tcPr>
          <w:p>
            <w:pPr>
              <w:ind w:left="8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1,002</w:t>
            </w:r>
          </w:p>
        </w:tc>
        <w:tc>
          <w:tcPr>
            <w:tcW w:w="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64,026</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418,285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9"/>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HOLLEY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1280" w:type="dxa"/>
            <w:vAlign w:val="bottom"/>
          </w:tcPr>
          <w:p>
            <w:pPr>
              <w:spacing w:after="0"/>
              <w:rPr>
                <w:sz w:val="19"/>
                <w:szCs w:val="19"/>
                <w:color w:val="auto"/>
              </w:rPr>
            </w:pPr>
          </w:p>
        </w:tc>
        <w:tc>
          <w:tcPr>
            <w:tcW w:w="83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1280" w:type="dxa"/>
            <w:vAlign w:val="bottom"/>
          </w:tcPr>
          <w:p>
            <w:pPr>
              <w:spacing w:after="0"/>
              <w:rPr>
                <w:sz w:val="17"/>
                <w:szCs w:val="17"/>
                <w:color w:val="auto"/>
              </w:rPr>
            </w:pPr>
          </w:p>
        </w:tc>
        <w:tc>
          <w:tcPr>
            <w:tcW w:w="6720" w:type="dxa"/>
            <w:vAlign w:val="bottom"/>
          </w:tcPr>
          <w:p>
            <w:pPr>
              <w:jc w:val="center"/>
              <w:ind w:left="1890"/>
              <w:spacing w:after="0" w:line="202" w:lineRule="exact"/>
              <w:rPr>
                <w:sz w:val="20"/>
                <w:szCs w:val="20"/>
                <w:color w:val="auto"/>
              </w:rPr>
            </w:pPr>
            <w:r>
              <w:rPr>
                <w:rFonts w:ascii="Arial" w:cs="Arial" w:eastAsia="Arial" w:hAnsi="Arial"/>
                <w:sz w:val="18"/>
                <w:szCs w:val="18"/>
                <w:color w:val="auto"/>
                <w:w w:val="99"/>
              </w:rPr>
              <w:t>(in thousands)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1"/>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jc w:val="right"/>
              <w:ind w:right="420"/>
              <w:spacing w:after="0"/>
              <w:rPr>
                <w:sz w:val="20"/>
                <w:szCs w:val="20"/>
                <w:color w:val="auto"/>
              </w:rPr>
            </w:pPr>
            <w:r>
              <w:rPr>
                <w:rFonts w:ascii="Arial" w:cs="Arial" w:eastAsia="Arial" w:hAnsi="Arial"/>
                <w:sz w:val="18"/>
                <w:szCs w:val="18"/>
                <w:color w:val="auto"/>
              </w:rPr>
              <w:t>For the thirty-nine weeks ended</w:t>
            </w:r>
          </w:p>
        </w:tc>
      </w:tr>
      <w:tr>
        <w:trPr>
          <w:trHeight w:val="195"/>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September 26,</w:t>
            </w:r>
          </w:p>
        </w:tc>
        <w:tc>
          <w:tcPr>
            <w:tcW w:w="100" w:type="dxa"/>
            <w:vAlign w:val="bottom"/>
          </w:tcPr>
          <w:p>
            <w:pPr>
              <w:spacing w:after="0"/>
              <w:rPr>
                <w:sz w:val="16"/>
                <w:szCs w:val="16"/>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60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October 2, 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89,000</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(9,158)</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(loss) to net cash from operating activities: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7,328</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10,391</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deferred loan costs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2,656</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Amortization of right of use assets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Gain on termination of leases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(Decrease) increase in warrant liability</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(51,112)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17,273</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(Decrease) increase in earn-out liability</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6,866</w:t>
            </w:r>
          </w:p>
        </w:tc>
      </w:tr>
      <w:tr>
        <w:trPr>
          <w:trHeight w:val="202"/>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Increase in acquisition contingent consideration payable</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17,173</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2,748</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Change in deferred taxes</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836</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Loss on early extinguishment of long-term debt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1,425</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Loss (gain) on disposal of property, plant and equipment</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(290)</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Provision for inventory reserves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4,559</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Provision for credit losses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738</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(5,196)</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(46,299)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(30,555)</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Prepaids and other current assets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(3,472)</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9,765</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(311)</w:t>
            </w:r>
          </w:p>
        </w:tc>
      </w:tr>
      <w:tr>
        <w:trPr>
          <w:trHeight w:val="202"/>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and other liabilities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(7,859)</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12,164</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24,917</w:t>
            </w: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(10,468)</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323</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paid for acquisitions, net</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(61,786)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(25,349)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(71,931)</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change under revolving credit agreement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long-term debt</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(103,032)</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Payments from stock-based award activities</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issuance of common stock in connection with the exercise of warrants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Business Combination and PIPE financing, net of issuance costs paid</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132,299</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(5,457)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29,267</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(19,719)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(17,747)</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36,325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71,674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line="182" w:lineRule="exact"/>
              <w:rPr>
                <w:sz w:val="20"/>
                <w:szCs w:val="20"/>
                <w:color w:val="auto"/>
              </w:rPr>
            </w:pPr>
            <w:r>
              <w:rPr>
                <w:rFonts w:ascii="Arial" w:cs="Arial" w:eastAsia="Arial" w:hAnsi="Arial"/>
                <w:sz w:val="18"/>
                <w:szCs w:val="18"/>
                <w:color w:val="auto"/>
              </w:rPr>
              <w:t>End of period</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16,606</w:t>
            </w:r>
          </w:p>
        </w:tc>
        <w:tc>
          <w:tcPr>
            <w:tcW w:w="2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53,927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Earn-out shares issued to Empower Sponsor Holdings LLC</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14,689</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28,751</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paid for income taxes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6,834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10,648</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Assumption of warrant liability</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28,713</w:t>
            </w: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Assumption of earn-out liability</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17,722</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220"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(the “Company” or “Holley”), conducts operations through its wholly-owned subsidiaries. These operating subsidiaries are comprised of Holley Performance Products Inc. (“Holley Performance”), Hot Rod Brands, Inc. (“Hot Rod Brands”), Simpson Safety Solutions, Inc., B&amp;M Racing and Performance Products, Inc., and Speedshop.com, Inc.</w:t>
      </w:r>
    </w:p>
    <w:p>
      <w:pPr>
        <w:spacing w:after="0" w:line="191"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On July 16, 2021, (the “Closing” and such date, the “Closing Date”) the Company consummated the business combination (the “Business Combination”) pursuant to that certain Agreement and Plan of Merger dated March 11, 2021 (the “Merger Agreement”), by and among Empower Ltd., (“Empower”), Empower Merger Sub I Inc. (“Merger Sub I”), Empower Merger Sub II LLC (“Merger Sub II”), and Holley Intermediate Holdings, Inc. (“Holley Intermediate”). On the Closing Date, Empower changed its name to Holley Inc. See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for more information.</w:t>
      </w:r>
    </w:p>
    <w:p>
      <w:pPr>
        <w:spacing w:after="0" w:line="188" w:lineRule="exact"/>
        <w:rPr>
          <w:rFonts w:ascii="Arial" w:cs="Arial" w:eastAsia="Arial" w:hAnsi="Arial"/>
          <w:sz w:val="18"/>
          <w:szCs w:val="18"/>
          <w:b w:val="1"/>
          <w:bCs w:val="1"/>
          <w:color w:val="auto"/>
        </w:rPr>
      </w:pPr>
    </w:p>
    <w:p>
      <w:pPr>
        <w:jc w:val="both"/>
        <w:ind w:left="3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Holley Intermediate, the predecessor to Holley, was incorporated on October 25, 2018 to effect the merger of Driven Performance Brands, Inc. (“Driven”) and the purchase of High Performance Industries, Inc. (“HPI”). 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North America, Canada, Italy and China.</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220"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20" w:lineRule="exact"/>
        <w:rPr>
          <w:rFonts w:ascii="Arial" w:cs="Arial" w:eastAsia="Arial" w:hAnsi="Arial"/>
          <w:sz w:val="18"/>
          <w:szCs w:val="18"/>
          <w:b w:val="1"/>
          <w:bCs w:val="1"/>
          <w:color w:val="auto"/>
        </w:rPr>
      </w:pPr>
    </w:p>
    <w:p>
      <w:pPr>
        <w:jc w:val="both"/>
        <w:ind w:left="3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COVID-19 has adversely impacted global supply chain and general economic conditions. The Company has continued to experience disruptions and higher costs in manufacturing, supply chain, logistical operations, and shortages of certain Company products in distribution channels. The full extent of COVID-19's effect on the Company's operational and financial performance in the future will depend on future developments, including but not limited to the duration, spread, intensity and phase of the pandemic in various countries; the emergence of COVID-19 variants and the utilization and effectiveness of treatments and vaccines against these variants; the further impact of COVID-19 on the global economy; and demand for the Company's products and services. Should the ongoing COVID-19 pandemic not improve, or worsen, or if the Company's attempt to mitigate its impact on its supply chain, operations and costs is not successful, the Company's business, results of operations, and financial condition may be adversely affected.</w:t>
      </w:r>
    </w:p>
    <w:p>
      <w:pPr>
        <w:spacing w:after="0" w:line="194"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business and results of operations, financial condition, and liquidity are impacted by broad economic conditions including inflation, labor shortages, and disruption of the supply chain, as well as by geopolitical events, specifically the conflict in Ukraine. The Company's operations have been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the Company has attempted to minimize potential adverse impacts on its business with cost savings initiatives, price increases to customers, and by increasing inventory levels of certain products and working closely with its suppliers and customers to minimize disruptions in delivering products to customers.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0"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U.S. Securities and Exchange Commission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2021, as filed with the SEC on March 15, 2022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92"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The Company operates on a calendar year that ends on December 31, 2022 and 2021. The three and nine month periods ended October 2, 2022 and September 26, 2021 each included 13 weeks and 39 weeks, respectively.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0"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The following are updates to the significant accounting policies described in our audited consolidated financial statements as of and for the year ended December 31, 2021.</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20"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 xml:space="preserve">Operating lease right of use ("ROU") assets and liabilities are recognized at the commencement date of the lease based on the present value of lease payments over the lease term. The Company's leases may include options to extend or terminate the lease. These options to extend are included in the lease term when it is reasonably certain that the Company will exercise that option. Some leases have variable payments, however, because they are not based on an index or rate, they are not included in the ROU assets and liabilities. Variable payments for real estate leases primarily relate to common area maintenance, insurance, taxes and utilities. Since the Company's leases generally do not provide an implicit rate, the Company applies a portfolio approach using an estimated incremental borrowing rate based on the lease term and other information available at the commencement date in determining the present value of lease payments. The rate applied is based on the currency of the lease. Leases having a lease term of 12 months or less are not recorded on the balance sheet and the related lease expense is recognized on a straight-line basis over the term of the lease. In addition, the Company has applied the practical expedient to account for the lease and non-lease components as a single lease component for all of the Company's leases.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for further details.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w:t>
      </w:r>
    </w:p>
    <w:p>
      <w:pPr>
        <w:spacing w:after="0" w:line="220"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The Company accounts for warrants to purchase its common stock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 xml:space="preserve">If a warrant does not meet the conditions for equity classification, it is carried in the consolidated balance sheet as a warrant liability measured at fair value, with subsequent changes in the fair value of the warrant recorded in the consolidated statements of comprehensive income as a non-operating expense. If a warrant meets both conditions for equity classification, the warrant is initially recorded in additional paid-in capital on the consolidated balance sheet, and the amount initially recorded is not subsequently re-measured at fair value. See Note 7, </w:t>
      </w:r>
      <w:r>
        <w:rPr>
          <w:rFonts w:ascii="Arial" w:cs="Arial" w:eastAsia="Arial" w:hAnsi="Arial"/>
          <w:sz w:val="18"/>
          <w:szCs w:val="18"/>
          <w:i w:val="1"/>
          <w:iCs w:val="1"/>
          <w:color w:val="auto"/>
        </w:rPr>
        <w:t>"Common Stock Warrants,"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further details.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53"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Leases (Topic 842) which requires lessees to recognize right-of-use assets, representing their right to use the underlying asset for the lease term, and lease liabilities on the balance sheet for all leases with terms greater than 12 months. The Company adopted the provisions of this guidance effective January 1, 2022, using the modified retrospective optional transition method. Therefore, the standard was applied beginning January 1, 2022 and prior periods were not restated. The adoption of the standard did not result in a cumulative-effect adjustment to the opening balance of retained earnings. The Company elected the package of practical expedients and implemented internal controls and executed changes to business processes to enable the preparation of financial information upon adoption. The adoption of the new standard resulted in the recognition of a right of use asset and short-term and long-term liabilities recorded on the Company's consolidated balance sheet related to operating leases. In addition, the adoption of the standard did not have a material impact on the Company's results of operations or cash flows.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for further details.</w:t>
      </w:r>
    </w:p>
    <w:p>
      <w:pPr>
        <w:spacing w:after="0" w:line="192"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In August 2018, the FASB issued ASU 2018-14, Compensation – Retirements Benefits – Defined Benefit Plans – General (Subtopic 715-20). The ASU will update disclosure requirements for employers that sponsor defined benefit pension or other post retirement plans. The Company adopted ASU 2019-12 on a retrospective basis as of January 1, 2022. Adoption did not result in a significant change to the Company's consolidated financial statement disclosures.</w:t>
      </w:r>
    </w:p>
    <w:p>
      <w:pPr>
        <w:spacing w:after="0" w:line="191" w:lineRule="exact"/>
        <w:rPr>
          <w:sz w:val="20"/>
          <w:szCs w:val="20"/>
          <w:color w:val="auto"/>
        </w:rPr>
      </w:pPr>
    </w:p>
    <w:p>
      <w:pPr>
        <w:jc w:val="both"/>
        <w:ind w:left="340"/>
        <w:spacing w:after="0" w:line="257" w:lineRule="auto"/>
        <w:rPr>
          <w:sz w:val="20"/>
          <w:szCs w:val="20"/>
          <w:color w:val="auto"/>
        </w:rPr>
      </w:pPr>
      <w:r>
        <w:rPr>
          <w:rFonts w:ascii="Arial" w:cs="Arial" w:eastAsia="Arial" w:hAnsi="Arial"/>
          <w:sz w:val="17"/>
          <w:szCs w:val="17"/>
          <w:color w:val="auto"/>
        </w:rPr>
        <w:t>In December 2019, the FASB issued ASU 2019-12, Simplifying the Accounting for Income Taxes (Topic 740) which is intended to simplify various aspects related to accounting for income taxes. The ASU removes certain exceptions to the general principles in Topic 740 and also clarifies and amends existing guidance to improve consistent application. The Company adopted ASU 2019-12 on a prospective basis as of January 1, 2022. Adoption of the ASU did not have a material effect on the Company's consolidated financial statements.</w:t>
      </w:r>
    </w:p>
    <w:p>
      <w:pPr>
        <w:spacing w:after="0" w:line="175"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In August 2020, the FASB issued ASU 2020-06, Accounting for Convertible Instruments and Contracts in an Entity’s Own Equity (Subtopic 470-20). ASU 2020-06 eliminates the beneficial conversion and cash conversion accounting models for convertible instruments. The new guidance modifies how particular convertible instruments and certain contracts that may be settled in cash or shares impact the diluted EPS computation. It also amends the accounting for certain contracts in an entity’s own equity that are currently accounted for as derivatives because of specific settlement provisions. The Company adopted ASU 2020-06 on January 1, 2022. Adoption of the ASU did not impact the Company's consolidated financial statements.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53"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requires entities to apply the definition of a performance obligation under ASC Topic 606 to recognize and measure contract assets and contract liabilities (i.e., deferred revenue)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No. 2021-08 will result in the acquirer recording acquired contract assets and liabilities on the same basis that would have been recorded by the acquiree before the acquisition under ASC Topic 606. Adoption of the provisions of ASU 2021-08 are effective for the Company's fiscal year beginning after December 15, 2022, with early adoption permitted. The Company is currently evaluating the potential impact of adopting this guidance on its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In March 2020, the FASB issued ASU 2020-04, Reference Rate Reform (Topic 848). The ASU provides optional expedients and exceptions for applying GAAP to contracts, hedging relationships, and other transactions affected by reference rate reform if certain criteria are met. Adoption of the provisions of ASU 2020-04 are optional and are effective from March 12, 2020 through December 31, 2022. As of October 2, 2022, the Company did not adopt any expedients or exceptions under ASU 2020-04. The Company will continue to evaluate the impact of ASU 2020-04 and whether it will apply the optional expedients and exceptions.</w:t>
      </w:r>
    </w:p>
    <w:p>
      <w:pPr>
        <w:spacing w:after="0" w:line="329" w:lineRule="exact"/>
        <w:rPr>
          <w:sz w:val="20"/>
          <w:szCs w:val="20"/>
          <w:color w:val="auto"/>
        </w:rPr>
      </w:pPr>
    </w:p>
    <w:p>
      <w:pPr>
        <w:ind w:left="340" w:right="6880" w:hanging="332"/>
        <w:spacing w:after="0" w:line="482"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ACQUISITIONS BUSINESS COMBINATION</w:t>
      </w: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On July 16, 2021, Holley consummated the Business Combination pursuant to the terms of the Merger Agreement, whereby (i) Merger Sub I, a direct wholly owned subsidiary of Empower, merged with and into Holley Intermediate, with Holley Intermediate surviving such merger as a wholly owned subsidiary of Holley (“Merger I”) and (ii) Merger Sub II, a direct wholly owned subsidiary of Empower, merged with and into Holley Intermediate, with Merger Sub II surviving such merger as a wholly owned subsidiary of Holley (“Merger II”).</w:t>
      </w:r>
    </w:p>
    <w:p>
      <w:pPr>
        <w:spacing w:after="0" w:line="191"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Pursuant to the Merger Agreement, at the Closing, all outstanding shares of Holley Intermediate common stock as of immediately prior to the effective time of Merger I were cancelled and Holley Parent Holdings, LLC, the sole stockholder of Holley Intermediate (the “Holley Stockholder” or “Parent”), received $264,718 in cash and 67,673,884 shares of common stock (at a deemed value of $10.00 per share). The Company’s common stock is listed on the New York Stock Exchange (the "NYSE") under the symbol “HLLY.”</w:t>
      </w:r>
    </w:p>
    <w:p>
      <w:pPr>
        <w:spacing w:after="0" w:line="191"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In connection with the Business Combination, a number of subscribers purchased from the Company an aggregate of 24,000,000 shares of common stock (the “PIPE”), for a purchase price of $10.00 per share, or $240,000 in the aggregate. Per the Merger Agreement, $100,000 of the PIPE proceeds were used to partially pay off Holley’s debt.</w:t>
      </w:r>
    </w:p>
    <w:p>
      <w:pPr>
        <w:spacing w:after="0" w:line="189"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Pursuant to the Amended and Restated Forward Purchase Agreement (“A&amp;R FPA”), at the Closing, 5,000,000 shares of the Company’s common stock and 1,666,667 warrants were issued to certain investors for an aggregate purchase price of $50,000. Pursuant to the A&amp;R FPA, each warrant entitles the holder to purchase one share of the Company’s common stock at a price of $11.50 per share (the ”Public Warrants”), subject to certain conditions.</w:t>
      </w:r>
    </w:p>
    <w:p>
      <w:pPr>
        <w:spacing w:after="0" w:line="191"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also assumed 8,333,310 Public Warrants and 4,666,667 private placement warrants (the “Private Warrants”, and together with the Public Warrants, the “Warrants”) upon the Business Combination, all of which were issued in connection with Empower’s initial public offering. Each Warrant represents the right to purchase one share of the Company’s common stock at a price of $11.50 per share, subject to certain conditions. The Warrants became exercisable on October 9, 2021 (the one-year anniversary of Empower’s initial public offering) and expire on July 16, 2026 (five years after the Closing Date). The Public Warrants are listed on the NYSE under the symbol “HLLY WS.”</w:t>
      </w:r>
    </w:p>
    <w:p>
      <w:pPr>
        <w:spacing w:after="0" w:line="191"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Additionally, Empower Sponsor Holdings LLC (the "Sponsor") received 2,187,500 shares of the Company’s common stock, which vest in two equal tranches upon achieving certain market share price milestones as outlined in the Merger Agreement during the earn-out period (“the “Earn-Out Shares”). The first tranche of Earn-Out Shares vested during the first quarter of 2022. Upon vesting, the first tranche of the Earn-Out Shares, or 1,093,750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remaining Earn-Out Shares are classified as a liability on the condensed consolidated balance sheet and are remeasured at fair value with changes in the post-Business Combination fair value recognized in the Company’s condensed consolidated statement of comprehensive income as non-operating expense.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The Business Combination was accounted for as a reverse recapitalization in accordance with U.S. GAAP. This determination was primarily based on current shareholders of Holley having a relative majority of the voting power of the Company, the operations of Holley prior to the acquisition comprising the only ongoing operations of the Company, and senior management of Holley comprising the majority of the senior management of the Company. Under this method of accounting, Empower was treated as the acquired company for financial reporting. Accordingly, the Business Combination was accounted for as the equivalent of Holley issuing stock for the net assets of Empower, accompanied by a recapitalization. The net assets of Empower are stated at historical cost, with no goodwill or other intangible assets recorded. Reported amounts from operations included herein prior to the Business Combination are those of Holley Intermediate. The shares and corresponding capital amounts and earnings per share, prior to the Business Combination, have been retroactively restated based on shares received by the Holley Stockholder.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22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During the 39-week period ended October 2, 2022, the Company has completed three acquisitions, and during the year ended December 31, 2021, the Company completed eight acquisitions. These acquisitions are expected to enhance the Company's portfolio of products and services in the automotive aftermarket and automotive safety solutions market.</w:t>
      </w:r>
    </w:p>
    <w:p>
      <w:pPr>
        <w:spacing w:after="0" w:line="189"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Company accounts for acquisitions using the acquisition method, and accordingly, the purchase price has been allocated based upon the fair value of the assets acquired and liabilities assumed. The valuation of the assets acquired and liabilities assumed is subject to revision. If additional information becomes available, the Company may further revise the purchase price allocation as soon as practical, but no later than one year from the acquisition date; however, material changes are not expected. Goodwill generated by the acquisitions is primarily attributable to the strong market position of the entities acquired.</w:t>
      </w:r>
    </w:p>
    <w:p>
      <w:pPr>
        <w:spacing w:after="0" w:line="189"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Purchase price consideration for all acquisitions was paid primarily in cash. All acquisitions were for 100 percent of the acquired business and are reported in the Consolidated Statements of Cash Flows, net of acquired cash and cash equivalents. Acquisition-related costs, including advisory, legal, accounting, valuation and other costs, are typically expensed in the periods in which the costs are incurred and are recorded in acquisition and restructuring costs. The results of operations of acquired businesses are included in the consolidated financial statements from the acquisition date.</w:t>
      </w:r>
    </w:p>
    <w:p>
      <w:pPr>
        <w:spacing w:after="0" w:line="189"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During the 39-week period ended October 2, 2022, the Company acquired substantially all the assets of John's Ind., Inc. ("John's"), Southern Kentucky Classics ("SKC"), and Vesta Motorsports USA, Inc., doing business as RaceQuip ("RaceQuip"). These acquisitions were immaterial business combinations. Cash paid for the three acquisitions, net of cash acquired, was $13,778, and was funded with borrowings from the Company's credit facility and cash on hand. The acquisitions resulted in both amortizable and nonamortizable intangibles and goodwill totaling $9,018. The goodwill and intangibles generated as a result of these acquisitions are deductible for income tax purposes. The final allocation of the purchase price to specific assets acquired and liabilities assumed may change in future periods as the fair value estimates of inventory and intangibles are completed.</w:t>
      </w:r>
    </w:p>
    <w:p>
      <w:pPr>
        <w:spacing w:after="0" w:line="189"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Measurement</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2022 (as initially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Period</w:t>
            </w:r>
          </w:p>
        </w:tc>
        <w:tc>
          <w:tcPr>
            <w:tcW w:w="240" w:type="dxa"/>
            <w:vAlign w:val="bottom"/>
          </w:tcPr>
          <w:p>
            <w:pPr>
              <w:spacing w:after="0"/>
              <w:rPr>
                <w:sz w:val="17"/>
                <w:szCs w:val="17"/>
                <w:color w:val="auto"/>
              </w:rPr>
            </w:pPr>
          </w:p>
        </w:tc>
        <w:tc>
          <w:tcPr>
            <w:tcW w:w="1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2022 (as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8"/>
              </w:rPr>
              <w:t>reported)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w w:val="98"/>
              </w:rPr>
              <w:t>Adjustments</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959</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(397)</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1,681</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5,162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(1,108)</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5,858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5,817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(133)</w:t>
            </w:r>
          </w:p>
        </w:tc>
        <w:tc>
          <w:tcPr>
            <w:tcW w:w="2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(1,105)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13,778</w:t>
            </w: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13,778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51"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In 2021, the Company acquired substantially all the assets of Finspeed, LLC ("Finspeed"), Classic Instruments LLC ("Classic Instruments"), ADS Precision Machining, Inc., doing business as Arizona Desert Shocks ("ADS"), Rocket Performance Machine, Inc., doing business as Rocket Racing Wheels ("Rocket"), and Speartech Fuel Injections Systems, Inc ("Speartech"). These five acquisitions were individually immaterial business combinations that are material in the aggregate. Cash paid for the five immaterial acquisitions, net of cash acquired, was $19,685, and was funded with borrowings from the Company's credit facility and cash on hand. The acquisitions resulted in both amortizable and nonamortizable intangibles and goodwill totaling $13,023. The goodwill and intangibles generated as a result of these acquisitions are deductible for income tax purposes. The final allocation of the purchase price to specific assets acquired and liabilities assumed may change in future periods as the fair value estimates of inventory and intangibles are completed for Speartech and ADS. The measurement period has ended and the final fair value estimates of acquired assets and liabilities are reflected below for Finspeed, Classic Instruments and Rocket.</w:t>
      </w:r>
    </w:p>
    <w:p>
      <w:pPr>
        <w:spacing w:after="0" w:line="152"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Measurement</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2021 (as initially</w:t>
            </w:r>
          </w:p>
        </w:tc>
        <w:tc>
          <w:tcPr>
            <w:tcW w:w="140" w:type="dxa"/>
            <w:vAlign w:val="bottom"/>
          </w:tcPr>
          <w:p>
            <w:pPr>
              <w:spacing w:after="0"/>
              <w:rPr>
                <w:sz w:val="17"/>
                <w:szCs w:val="17"/>
                <w:color w:val="auto"/>
              </w:rPr>
            </w:pPr>
          </w:p>
        </w:tc>
        <w:tc>
          <w:tcPr>
            <w:tcW w:w="154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Period</w:t>
            </w:r>
          </w:p>
        </w:tc>
        <w:tc>
          <w:tcPr>
            <w:tcW w:w="240" w:type="dxa"/>
            <w:vAlign w:val="bottom"/>
          </w:tcPr>
          <w:p>
            <w:pPr>
              <w:spacing w:after="0"/>
              <w:rPr>
                <w:sz w:val="17"/>
                <w:szCs w:val="17"/>
                <w:color w:val="auto"/>
              </w:rPr>
            </w:pPr>
          </w:p>
        </w:tc>
        <w:tc>
          <w:tcPr>
            <w:tcW w:w="1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2021 (as</w:t>
            </w:r>
          </w:p>
        </w:tc>
      </w:tr>
      <w:tr>
        <w:trPr>
          <w:trHeight w:val="203"/>
        </w:trPr>
        <w:tc>
          <w:tcPr>
            <w:tcW w:w="4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reported)</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8"/>
              </w:rPr>
              <w:t>Adjustments</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17"/>
                <w:szCs w:val="17"/>
                <w:color w:val="auto"/>
              </w:rPr>
            </w:pPr>
          </w:p>
        </w:tc>
      </w:tr>
      <w:tr>
        <w:trPr>
          <w:trHeight w:val="196"/>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190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122</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618</w:t>
            </w:r>
          </w:p>
        </w:tc>
        <w:tc>
          <w:tcPr>
            <w:tcW w:w="1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3,975</w:t>
            </w: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3,975</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2,274</w:t>
            </w:r>
          </w:p>
        </w:tc>
        <w:tc>
          <w:tcPr>
            <w:tcW w:w="1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2,274</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Tradenames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2,608</w:t>
            </w:r>
          </w:p>
        </w:tc>
        <w:tc>
          <w:tcPr>
            <w:tcW w:w="1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2,608</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2,450</w:t>
            </w: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2,450</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8,087</w:t>
            </w:r>
          </w:p>
        </w:tc>
        <w:tc>
          <w:tcPr>
            <w:tcW w:w="14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7,965</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(343)</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(129)</w:t>
            </w:r>
          </w:p>
        </w:tc>
        <w:tc>
          <w:tcPr>
            <w:tcW w:w="1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122</w:t>
            </w:r>
          </w:p>
        </w:tc>
        <w:tc>
          <w:tcPr>
            <w:tcW w:w="2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w:t>
            </w:r>
          </w:p>
        </w:tc>
      </w:tr>
      <w:tr>
        <w:trPr>
          <w:trHeight w:val="20"/>
        </w:trPr>
        <w:tc>
          <w:tcPr>
            <w:tcW w:w="4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19,685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19,685</w:t>
            </w: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fair value of the acquired customer relationship intangible assets were estimated using the excess earnings approach. The customer relationship intangible assets are being amortized based on the attrition rate of customers which have an estimated weighted average life of 18 years. The fair value of the acquired tradenames intangible asset was estimated using the relief from royalty method, a form of the income approach. The tradenames were determined to have an indefinite life.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three acquisitions completed during 2021 are described below.</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Baer, Inc.</w:t>
      </w:r>
    </w:p>
    <w:p>
      <w:pPr>
        <w:spacing w:after="0" w:line="180"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On December 23, 2021, the Company acquired substantially all the assets and liabilities of Baer, Inc., doing business as Baer Brakes. Consideration for the assets acquired was cash payments of $22,170. The acquisition resulted in both amortizable and non-amortizable intangibles and goodwill totaling $ 18,989. The goodwill and intangibles generated as a result of this acquisition are deductible for income tax purposes. The purchase price was funded with borrowings from the Company's credit facility and cash on hand. The determination of the final purchase price allocation to specific assets acquired and liabilities assumed may change in future periods as the fair value estimates of inventory and intangibles are completed.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rPr>
              <w:t>December 23,</w:t>
            </w:r>
          </w:p>
        </w:tc>
        <w:tc>
          <w:tcPr>
            <w:tcW w:w="14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Measurement</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23,</w:t>
            </w:r>
          </w:p>
        </w:tc>
      </w:tr>
      <w:tr>
        <w:trPr>
          <w:trHeight w:val="203"/>
        </w:trPr>
        <w:tc>
          <w:tcPr>
            <w:tcW w:w="5720" w:type="dxa"/>
            <w:vAlign w:val="bottom"/>
          </w:tcPr>
          <w:p>
            <w:pPr>
              <w:spacing w:after="0"/>
              <w:rPr>
                <w:sz w:val="17"/>
                <w:szCs w:val="17"/>
                <w:color w:val="auto"/>
              </w:rPr>
            </w:pPr>
          </w:p>
        </w:tc>
        <w:tc>
          <w:tcPr>
            <w:tcW w:w="168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rPr>
              <w:t>2021 (as initially</w:t>
            </w:r>
          </w:p>
        </w:tc>
        <w:tc>
          <w:tcPr>
            <w:tcW w:w="140" w:type="dxa"/>
            <w:vAlign w:val="bottom"/>
          </w:tcPr>
          <w:p>
            <w:pPr>
              <w:spacing w:after="0"/>
              <w:rPr>
                <w:sz w:val="17"/>
                <w:szCs w:val="17"/>
                <w:color w:val="auto"/>
              </w:rPr>
            </w:pPr>
          </w:p>
        </w:tc>
        <w:tc>
          <w:tcPr>
            <w:tcW w:w="154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Period</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2021 (as</w:t>
            </w:r>
          </w:p>
        </w:tc>
      </w:tr>
      <w:tr>
        <w:trPr>
          <w:trHeight w:val="203"/>
        </w:trPr>
        <w:tc>
          <w:tcPr>
            <w:tcW w:w="5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rPr>
              <w:t>reported)</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8"/>
              </w:rPr>
              <w:t>Adjustments</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17"/>
                <w:szCs w:val="17"/>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627</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1,813</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695</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4,630</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4,630</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6,075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6,075</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8,363</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8,284</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7"/>
                <w:szCs w:val="17"/>
                <w:color w:val="auto"/>
              </w:rPr>
            </w:pPr>
          </w:p>
        </w:tc>
        <w:tc>
          <w:tcPr>
            <w:tcW w:w="1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w:t>
            </w:r>
          </w:p>
        </w:tc>
        <w:tc>
          <w:tcPr>
            <w:tcW w:w="1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w:t>
            </w: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w:t>
            </w:r>
          </w:p>
        </w:tc>
      </w:tr>
      <w:tr>
        <w:trPr>
          <w:trHeight w:val="20"/>
        </w:trPr>
        <w:tc>
          <w:tcPr>
            <w:tcW w:w="5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7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22,170</w:t>
            </w:r>
          </w:p>
        </w:tc>
        <w:tc>
          <w:tcPr>
            <w:tcW w:w="1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22,170</w:t>
            </w: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$800.</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Brothers Mail Order Industries, Inc.</w:t>
      </w:r>
    </w:p>
    <w:p>
      <w:pPr>
        <w:spacing w:after="0" w:line="220"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On December 16, 2021, the Company acquired substantially all the assets and liabilities of Brothers Mail Order Industries, Inc., doing business as Brothers Trucks. Consideration for the assets acquired was cash payments of $26,135. The acquisition resulted in non-amortizable intangibles and goodwill totaling $24,835. The goodwill and intangibles generated as a result of this acquisition are deductible for income tax purposes. The purchase price was funded with borrowings from the Company's credit facility and cash on hand. The determination of the final purchase price allocation to specific assets acquired and liabilities assumed may change in future periods as the fair value estimates of inventory and intangibles are completed.</w:t>
      </w:r>
    </w:p>
    <w:p>
      <w:pPr>
        <w:spacing w:after="0" w:line="191"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rPr>
              <w:t>December 16,</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Measurement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16,</w:t>
            </w:r>
          </w:p>
        </w:tc>
      </w:tr>
      <w:tr>
        <w:trPr>
          <w:trHeight w:val="203"/>
        </w:trPr>
        <w:tc>
          <w:tcPr>
            <w:tcW w:w="4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rPr>
              <w:t>2021 (as initially</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Period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2021 (as</w:t>
            </w:r>
          </w:p>
        </w:tc>
      </w:tr>
      <w:tr>
        <w:trPr>
          <w:trHeight w:val="203"/>
        </w:trPr>
        <w:tc>
          <w:tcPr>
            <w:tcW w:w="4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rPr>
              <w:t>reported)</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8"/>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17"/>
                <w:szCs w:val="17"/>
                <w:color w:val="auto"/>
              </w:rPr>
            </w:pPr>
          </w:p>
        </w:tc>
      </w:tr>
      <w:tr>
        <w:trPr>
          <w:trHeight w:val="196"/>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1,682</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1,682</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4,975</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4,975</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19,561</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19,860</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(403)</w:t>
            </w: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(403)</w:t>
            </w:r>
          </w:p>
        </w:tc>
      </w:tr>
      <w:tr>
        <w:trPr>
          <w:trHeight w:val="20"/>
        </w:trPr>
        <w:tc>
          <w:tcPr>
            <w:tcW w:w="4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25,836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299</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26,135</w:t>
            </w: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auto"/>
        </w:rPr>
        <w:t>The fair value of the acquired tradenames intangible asset was estimated using the relief from royalty method, a form of the income approach. The tradenames were determined to have an indefinite life.</w:t>
      </w:r>
    </w:p>
    <w:p>
      <w:pPr>
        <w:spacing w:after="0" w:line="183"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The contractual value of the accounts receivable acquired was $22.</w:t>
      </w:r>
    </w:p>
    <w:p>
      <w:pPr>
        <w:spacing w:after="0" w:line="198"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 Engine Management Inc.</w:t>
      </w:r>
    </w:p>
    <w:p>
      <w:pPr>
        <w:spacing w:after="0" w:line="220"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On April 14, 2021, the Company acquired substantially all the assets and liabilities of Advance Engine Management Inc. doing business as AEM Performance Electronics. Consideration for the assets acquired was cash payments of $51,243. The acquisition resulted in both amortizable and non-amortizable intangibles and goodwill, totaling $44,486. The goodwill and intangibles generated as a result of this acquisition are deductible for income tax purposes. The purchase price was funded from cash on hand.</w:t>
      </w:r>
    </w:p>
    <w:p>
      <w:pPr>
        <w:spacing w:after="0" w:line="191" w:lineRule="exact"/>
        <w:rPr>
          <w:sz w:val="20"/>
          <w:szCs w:val="20"/>
          <w:color w:val="auto"/>
        </w:rPr>
      </w:pPr>
    </w:p>
    <w:p>
      <w:pPr>
        <w:jc w:val="both"/>
        <w:ind w:left="340" w:right="20"/>
        <w:spacing w:after="0"/>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Measurement</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6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April 14, 2021 (as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Period</w:t>
            </w:r>
          </w:p>
        </w:tc>
        <w:tc>
          <w:tcPr>
            <w:tcW w:w="158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9"/>
              </w:rPr>
              <w:t>April 14, 2021 (as</w:t>
            </w:r>
          </w:p>
        </w:tc>
      </w:tr>
      <w:tr>
        <w:trPr>
          <w:trHeight w:val="203"/>
        </w:trPr>
        <w:tc>
          <w:tcPr>
            <w:tcW w:w="5640" w:type="dxa"/>
            <w:vAlign w:val="bottom"/>
          </w:tcPr>
          <w:p>
            <w:pPr>
              <w:spacing w:after="0"/>
              <w:rPr>
                <w:sz w:val="17"/>
                <w:szCs w:val="17"/>
                <w:color w:val="auto"/>
              </w:rPr>
            </w:pPr>
          </w:p>
        </w:tc>
        <w:tc>
          <w:tcPr>
            <w:tcW w:w="1520" w:type="dxa"/>
            <w:vAlign w:val="bottom"/>
            <w:tcBorders>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rPr>
              <w:t>initially reported)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w w:val="98"/>
              </w:rPr>
              <w:t>Adjustments</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0"/>
              <w:spacing w:after="0" w:line="203" w:lineRule="exact"/>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17"/>
                <w:szCs w:val="17"/>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3,454</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3,393</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3,892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1,342</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10,760</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5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14,640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14,640</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1,970</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Technology intangibles</w:t>
            </w:r>
          </w:p>
        </w:tc>
        <w:tc>
          <w:tcPr>
            <w:tcW w:w="5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(420)</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17,006</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110</w:t>
            </w:r>
          </w:p>
        </w:tc>
        <w:tc>
          <w:tcPr>
            <w:tcW w:w="2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(1,922)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(350)</w:t>
            </w:r>
          </w:p>
        </w:tc>
      </w:tr>
      <w:tr>
        <w:trPr>
          <w:trHeight w:val="20"/>
        </w:trPr>
        <w:tc>
          <w:tcPr>
            <w:tcW w:w="56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51,566</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(323)</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51,243</w:t>
            </w:r>
          </w:p>
        </w:tc>
      </w:tr>
      <w:tr>
        <w:trPr>
          <w:trHeight w:val="20"/>
        </w:trPr>
        <w:tc>
          <w:tcPr>
            <w:tcW w:w="5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13 years based on the weighted average remaining life of the patent portfolio.</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$3,454.</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October 2, 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70,902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54,818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Work-in-process</w:t>
            </w:r>
          </w:p>
        </w:tc>
        <w:tc>
          <w:tcPr>
            <w:tcW w:w="4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21,728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135,019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108,494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230,509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185,040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4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4120" w:type="dxa"/>
            <w:vAlign w:val="bottom"/>
            <w:tcBorders>
              <w:top w:val="single" w:sz="8" w:color="CCEEFF"/>
            </w:tcBorders>
          </w:tcPr>
          <w:p>
            <w:pPr>
              <w:jc w:val="right"/>
              <w:ind w:right="189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2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31,</w:t>
            </w:r>
          </w:p>
        </w:tc>
      </w:tr>
      <w:tr>
        <w:trPr>
          <w:trHeight w:val="203"/>
        </w:trPr>
        <w:tc>
          <w:tcPr>
            <w:tcW w:w="7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October 2, 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3,426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1,330</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10,623</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65,826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56,824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10,933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12,859</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91,117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81,636</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36,349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30,141</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54,768</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51,495</w:t>
            </w:r>
          </w:p>
        </w:tc>
      </w:tr>
      <w:tr>
        <w:trPr>
          <w:trHeight w:val="399"/>
        </w:trPr>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1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91"/>
        </w:trPr>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31,</w:t>
            </w:r>
          </w:p>
        </w:tc>
      </w:tr>
      <w:tr>
        <w:trPr>
          <w:trHeight w:val="203"/>
        </w:trPr>
        <w:tc>
          <w:tcPr>
            <w:tcW w:w="7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October 2, 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53,134</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49,547</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1,948</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54,768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51,495</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2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changes to goodwill for the period indicated: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97" w:lineRule="exact"/>
        <w:rPr>
          <w:rFonts w:ascii="Arial" w:cs="Arial" w:eastAsia="Arial" w:hAnsi="Arial"/>
          <w:sz w:val="18"/>
          <w:szCs w:val="18"/>
          <w:b w:val="1"/>
          <w:bCs w:val="1"/>
          <w:color w:val="auto"/>
        </w:rPr>
      </w:pPr>
    </w:p>
    <w:p>
      <w:pPr>
        <w:ind w:left="340" w:right="5780"/>
        <w:spacing w:after="0" w:line="24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at December 31, 2021 </w:t>
      </w:r>
      <w:r>
        <w:rPr>
          <w:rFonts w:ascii="Arial" w:cs="Arial" w:eastAsia="Arial" w:hAnsi="Arial"/>
          <w:sz w:val="18"/>
          <w:szCs w:val="18"/>
          <w:color w:val="auto"/>
        </w:rPr>
        <w:t>John's acquisition</w:t>
      </w:r>
    </w:p>
    <w:p>
      <w:pPr>
        <w:ind w:left="340" w:right="560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SKC acquisition RaceQuip acquisition Measurement period adjustments*</w:t>
      </w: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Balance at October 2, 2022</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 See Note 2, "</w:t>
      </w:r>
      <w:r>
        <w:rPr>
          <w:rFonts w:ascii="Arial" w:cs="Arial" w:eastAsia="Arial" w:hAnsi="Arial"/>
          <w:sz w:val="17"/>
          <w:szCs w:val="17"/>
          <w:i w:val="1"/>
          <w:iCs w:val="1"/>
          <w:color w:val="auto"/>
        </w:rPr>
        <w:t>Business Combination and Acquisitions - Acquisitions</w:t>
      </w:r>
      <w:r>
        <w:rPr>
          <w:rFonts w:ascii="Arial" w:cs="Arial" w:eastAsia="Arial" w:hAnsi="Arial"/>
          <w:sz w:val="17"/>
          <w:szCs w:val="17"/>
          <w:color w:val="auto"/>
        </w:rPr>
        <w:t>,"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-929005</wp:posOffset>
            </wp:positionV>
            <wp:extent cx="677227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-671830</wp:posOffset>
            </wp:positionV>
            <wp:extent cx="677227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-414655</wp:posOffset>
            </wp:positionV>
            <wp:extent cx="67722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For the thirty-nine</w:t>
      </w:r>
    </w:p>
    <w:p>
      <w:pPr>
        <w:jc w:val="center"/>
        <w:ind w:right="340"/>
        <w:spacing w:after="0" w:line="234" w:lineRule="auto"/>
        <w:rPr>
          <w:sz w:val="20"/>
          <w:szCs w:val="20"/>
          <w:color w:val="auto"/>
        </w:rPr>
      </w:pPr>
      <w:r>
        <w:rPr>
          <w:rFonts w:ascii="Arial" w:cs="Arial" w:eastAsia="Arial" w:hAnsi="Arial"/>
          <w:sz w:val="18"/>
          <w:szCs w:val="18"/>
          <w:color w:val="auto"/>
        </w:rPr>
        <w:t>weeks ended</w:t>
      </w:r>
    </w:p>
    <w:p>
      <w:pPr>
        <w:spacing w:after="0" w:line="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October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951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860" w:hanging="856"/>
        <w:spacing w:after="0"/>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411,383</w:t>
      </w:r>
    </w:p>
    <w:p>
      <w:pPr>
        <w:spacing w:after="0" w:line="7"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240</w:t>
      </w:r>
    </w:p>
    <w:p>
      <w:pPr>
        <w:spacing w:after="0" w:line="3"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1,270</w:t>
      </w:r>
    </w:p>
    <w:p>
      <w:pPr>
        <w:jc w:val="right"/>
        <w:ind w:right="340"/>
        <w:spacing w:after="0" w:line="234" w:lineRule="auto"/>
        <w:rPr>
          <w:sz w:val="20"/>
          <w:szCs w:val="20"/>
          <w:color w:val="auto"/>
        </w:rPr>
      </w:pPr>
      <w:r>
        <w:rPr>
          <w:rFonts w:ascii="Arial" w:cs="Arial" w:eastAsia="Arial" w:hAnsi="Arial"/>
          <w:sz w:val="18"/>
          <w:szCs w:val="18"/>
          <w:color w:val="auto"/>
        </w:rPr>
        <w:t>4,348</w:t>
      </w:r>
    </w:p>
    <w:p>
      <w:pPr>
        <w:spacing w:after="0" w:line="1"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57</w:t>
      </w:r>
    </w:p>
    <w:p>
      <w:pPr>
        <w:spacing w:after="0" w:line="9" w:lineRule="exact"/>
        <w:rPr>
          <w:sz w:val="20"/>
          <w:szCs w:val="20"/>
          <w:color w:val="auto"/>
        </w:rPr>
      </w:pPr>
    </w:p>
    <w:p>
      <w:pPr>
        <w:ind w:left="860" w:hanging="856"/>
        <w:spacing w:after="0"/>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417,298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951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wp:posOffset>
            </wp:positionV>
            <wp:extent cx="9512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8680" w:space="720"/>
            <w:col w:w="1840"/>
          </w:cols>
          <w:pgMar w:left="320" w:top="125" w:right="339" w:bottom="1440" w:gutter="0" w:footer="0" w:header="0"/>
          <w:type w:val="continuous"/>
        </w:sectPr>
      </w:pPr>
    </w:p>
    <w:p>
      <w:pPr>
        <w:spacing w:after="0" w:line="10"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40"/>
          </w:cols>
          <w:pgMar w:left="320" w:top="125" w:right="339" w:bottom="63" w:gutter="0" w:footer="0" w:header="0"/>
        </w:sect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Finite-lived intangible assets:</w:t>
      </w:r>
    </w:p>
    <w:p>
      <w:pPr>
        <w:ind w:left="500"/>
        <w:spacing w:after="0" w:line="234" w:lineRule="auto"/>
        <w:rPr>
          <w:sz w:val="20"/>
          <w:szCs w:val="20"/>
          <w:color w:val="auto"/>
        </w:rPr>
      </w:pPr>
      <w:r>
        <w:rPr>
          <w:rFonts w:ascii="Arial" w:cs="Arial" w:eastAsia="Arial" w:hAnsi="Arial"/>
          <w:sz w:val="18"/>
          <w:szCs w:val="18"/>
          <w:color w:val="auto"/>
        </w:rPr>
        <w:t>Customer relationships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Tradenames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Technology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finite-lived intangible assets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Indefinite-lived intangible assets:</w:t>
      </w:r>
    </w:p>
    <w:p>
      <w:pPr>
        <w:ind w:left="500"/>
        <w:spacing w:after="0"/>
        <w:rPr>
          <w:sz w:val="20"/>
          <w:szCs w:val="20"/>
          <w:color w:val="auto"/>
        </w:rPr>
      </w:pPr>
      <w:r>
        <w:rPr>
          <w:rFonts w:ascii="Arial" w:cs="Arial" w:eastAsia="Arial" w:hAnsi="Arial"/>
          <w:sz w:val="18"/>
          <w:szCs w:val="18"/>
          <w:color w:val="auto"/>
        </w:rPr>
        <w:t>Tradenames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October 2, 2022</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9"/>
              </w:rPr>
              <w:t>Gross Carrying</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rPr>
              <w:t>Accumulated</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Net Carrying</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Value</w:t>
            </w:r>
          </w:p>
        </w:tc>
        <w:tc>
          <w:tcPr>
            <w:tcW w:w="20" w:type="dxa"/>
            <w:vAlign w:val="bottom"/>
          </w:tcPr>
          <w:p>
            <w:pPr>
              <w:spacing w:after="0"/>
              <w:rPr>
                <w:sz w:val="17"/>
                <w:szCs w:val="17"/>
                <w:color w:val="auto"/>
              </w:rPr>
            </w:pPr>
          </w:p>
        </w:tc>
      </w:tr>
      <w:tr>
        <w:trPr>
          <w:trHeight w:val="398"/>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269,950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(41,271)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228,679</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13,775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(4,663)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9,112</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26,676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(10,912)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15,764</w:t>
            </w:r>
          </w:p>
        </w:tc>
      </w:tr>
      <w:tr>
        <w:trPr>
          <w:trHeight w:val="196"/>
        </w:trPr>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310,401</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(56,846)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253,555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2"/>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174,849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174,849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-1071245</wp:posOffset>
            </wp:positionV>
            <wp:extent cx="677227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-814070</wp:posOffset>
            </wp:positionV>
            <wp:extent cx="677227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-548005</wp:posOffset>
            </wp:positionV>
            <wp:extent cx="67722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2275" cy="15430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-265430</wp:posOffset>
            </wp:positionV>
            <wp:extent cx="677227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9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31, 2021</w:t>
      </w:r>
    </w:p>
    <w:p>
      <w:pPr>
        <w:spacing w:after="0" w:line="1" w:lineRule="exact"/>
        <w:rPr>
          <w:sz w:val="20"/>
          <w:szCs w:val="20"/>
          <w:color w:val="auto"/>
        </w:rPr>
      </w:pPr>
    </w:p>
    <w:p>
      <w:pPr>
        <w:sectPr>
          <w:pgSz w:w="11900" w:h="16838" w:orient="portrait"/>
          <w:cols w:equalWidth="0" w:num="2">
            <w:col w:w="5260" w:space="720"/>
            <w:col w:w="5260"/>
          </w:cols>
          <w:pgMar w:left="320" w:top="125" w:right="339" w:bottom="63" w:gutter="0" w:footer="0" w:header="0"/>
          <w:type w:val="continuous"/>
        </w:sectPr>
      </w:pPr>
    </w:p>
    <w:tbl>
      <w:tblPr>
        <w:tblLayout w:type="fixed"/>
        <w:tblInd w:w="34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260"/>
              <w:spacing w:after="0" w:line="195" w:lineRule="exact"/>
              <w:rPr>
                <w:sz w:val="20"/>
                <w:szCs w:val="20"/>
                <w:color w:val="auto"/>
              </w:rPr>
            </w:pPr>
            <w:r>
              <w:rPr>
                <w:rFonts w:ascii="Arial" w:cs="Arial" w:eastAsia="Arial" w:hAnsi="Arial"/>
                <w:sz w:val="18"/>
                <w:szCs w:val="18"/>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rPr>
              <w:t>Accumulated</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Net Carrying</w:t>
            </w:r>
          </w:p>
        </w:tc>
        <w:tc>
          <w:tcPr>
            <w:tcW w:w="100" w:type="dxa"/>
            <w:vAlign w:val="bottom"/>
          </w:tcPr>
          <w:p>
            <w:pPr>
              <w:spacing w:after="0"/>
              <w:rPr>
                <w:sz w:val="16"/>
                <w:szCs w:val="16"/>
                <w:color w:val="auto"/>
              </w:rPr>
            </w:pPr>
          </w:p>
        </w:tc>
      </w:tr>
      <w:tr>
        <w:trPr>
          <w:trHeight w:val="203"/>
        </w:trPr>
        <w:tc>
          <w:tcPr>
            <w:tcW w:w="4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Value</w:t>
            </w: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14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268,438</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(32,662)</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235,776</w:t>
            </w:r>
          </w:p>
        </w:tc>
      </w:tr>
      <w:tr>
        <w:trPr>
          <w:trHeight w:val="203"/>
        </w:trPr>
        <w:tc>
          <w:tcPr>
            <w:tcW w:w="4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(4,119)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9,656</w:t>
            </w:r>
          </w:p>
        </w:tc>
      </w:tr>
      <w:tr>
        <w:trPr>
          <w:trHeight w:val="202"/>
        </w:trPr>
        <w:tc>
          <w:tcPr>
            <w:tcW w:w="414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26,675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(9,080)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17,595</w:t>
            </w:r>
          </w:p>
        </w:tc>
      </w:tr>
      <w:tr>
        <w:trPr>
          <w:trHeight w:val="20"/>
        </w:trPr>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finite-lived intangible assets</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308,888</w:t>
            </w:r>
          </w:p>
        </w:tc>
        <w:tc>
          <w:tcPr>
            <w:tcW w:w="2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(45,861)</w:t>
            </w:r>
          </w:p>
        </w:tc>
        <w:tc>
          <w:tcPr>
            <w:tcW w:w="2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263,027</w:t>
            </w:r>
          </w:p>
        </w:tc>
      </w:tr>
      <w:tr>
        <w:trPr>
          <w:trHeight w:val="183"/>
        </w:trPr>
        <w:tc>
          <w:tcPr>
            <w:tcW w:w="414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414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175,434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175,434</w:t>
            </w:r>
          </w:p>
        </w:tc>
      </w:tr>
    </w:tbl>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October 2, 2022:</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2022 (excluding the thirty-nine weeks ended October 2, 2022)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14,557</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13,744</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13,714</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13,608</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194,235</w:t>
            </w:r>
          </w:p>
        </w:tc>
      </w:tr>
      <w:tr>
        <w:trPr>
          <w:trHeight w:val="20"/>
        </w:trPr>
        <w:tc>
          <w:tcPr>
            <w:tcW w:w="9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253,555</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During the third quarter of 2022, management concluded it was necessary to reevaluate goodwill and indefinite-lived intangible assets for impairment due to the supply chain challenges that have prevented us from building and shipping many of our most popular products, which resulted in the Company revising its earnings estimates for 2022. As a result of this evaluation, a pre-tax impairment of $2.4 million was recognized on certain indefinite-lived tradenames.</w:t>
      </w:r>
    </w:p>
    <w:p>
      <w:pPr>
        <w:spacing w:after="0" w:line="191"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The fair value of the indefinite-lived tradenames was estimated using the relief from royalty method, a form of the income approach. Significant judgement is required in estimating the fair value of a reporting unit and in performing impairment tests. The most significant assumptions utilized in the determination of the estimated fair values of the indefinite-lived tradenames were the sales projections and long-term earnings growth rates, the royalty rate and the discount rate. The long-term earnings growth rate represents the expected rate at which the brands are expected to grow beyond the shorter-term business planning period. The royalty rate is based on observed market royalty rates for various industrial, consumer and commercial trademarks. The discount rate is based on the Company's weighted average cost of capital adjusted for risk. Due to the inherent uncertainty in forecasting future sales, actual results in the future may vary significantly from the forecasts. Disruptions arising from supply chain issues and other factors outside our control, such as ongoing or escalated international conflict and the U.S. response thereto, political unrest, terrorist attacks, and war (including the ongoing conflict in Ukraine) will likely continue to evolve and the effects on our business may differ from what we currently estimate. If the effects prove to be worse than is reflected in our current estimates, additional indefinite-lived intangible asset impairment and / or goodwill impairment charges could be required.</w:t>
      </w:r>
    </w:p>
    <w:p>
      <w:pPr>
        <w:spacing w:after="0" w:line="35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December 31,</w:t>
            </w:r>
          </w:p>
        </w:tc>
      </w:tr>
      <w:tr>
        <w:trPr>
          <w:trHeight w:val="203"/>
        </w:trPr>
        <w:tc>
          <w:tcPr>
            <w:tcW w:w="7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October 2, 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650,850</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630,000</w:t>
            </w:r>
          </w:p>
        </w:tc>
      </w:tr>
      <w:tr>
        <w:trPr>
          <w:trHeight w:val="202"/>
        </w:trPr>
        <w:tc>
          <w:tcPr>
            <w:tcW w:w="7360" w:type="dxa"/>
            <w:vAlign w:val="bottom"/>
          </w:tcPr>
          <w:p>
            <w:pPr>
              <w:spacing w:after="0" w:line="202" w:lineRule="exact"/>
              <w:rPr>
                <w:sz w:val="20"/>
                <w:szCs w:val="20"/>
                <w:color w:val="auto"/>
              </w:rPr>
            </w:pPr>
            <w:r>
              <w:rPr>
                <w:rFonts w:ascii="Arial" w:cs="Arial" w:eastAsia="Arial" w:hAnsi="Arial"/>
                <w:sz w:val="18"/>
                <w:szCs w:val="18"/>
                <w:color w:val="auto"/>
              </w:rPr>
              <w:t>Revolver</w:t>
            </w:r>
          </w:p>
        </w:tc>
        <w:tc>
          <w:tcPr>
            <w:tcW w:w="100" w:type="dxa"/>
            <w:vAlign w:val="bottom"/>
          </w:tcPr>
          <w:p>
            <w:pPr>
              <w:spacing w:after="0"/>
              <w:rPr>
                <w:sz w:val="17"/>
                <w:szCs w:val="17"/>
                <w:color w:val="auto"/>
              </w:rPr>
            </w:pPr>
          </w:p>
        </w:tc>
        <w:tc>
          <w:tcPr>
            <w:tcW w:w="1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3,812</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00" w:type="dxa"/>
            <w:vAlign w:val="bottom"/>
          </w:tcPr>
          <w:p>
            <w:pPr>
              <w:spacing w:after="0"/>
              <w:rPr>
                <w:sz w:val="17"/>
                <w:szCs w:val="17"/>
                <w:color w:val="auto"/>
              </w:rPr>
            </w:pP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(11,987)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(13,264)</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641,627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645,548</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00" w:type="dxa"/>
            <w:vAlign w:val="bottom"/>
          </w:tcPr>
          <w:p>
            <w:pPr>
              <w:spacing w:after="0"/>
              <w:rPr>
                <w:sz w:val="17"/>
                <w:szCs w:val="17"/>
                <w:color w:val="auto"/>
              </w:rPr>
            </w:pP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(7,875)</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635,627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637,673</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On November 18, 2021, the Company entered into a new credit facility with a syndicate of lenders and Wells Fargo Bank, N.A., as administrative agent for the lenders, letter of credit issuer and swing line lender (the "Credit Agreement"). The financing consisted of a seven-year $600,000 first lien term loan, a five-year $125,000 revolving credit facility, and a $100,000 delayed draw term loan.</w:t>
      </w:r>
    </w:p>
    <w:p>
      <w:pPr>
        <w:sectPr>
          <w:pgSz w:w="11900" w:h="16838" w:orient="portrait"/>
          <w:cols w:equalWidth="0" w:num="1">
            <w:col w:w="11240"/>
          </w:cols>
          <w:pgMar w:left="320" w:top="125" w:right="339" w:bottom="63"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3"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proceeds of any delayed draw loans made after closing were available to the Company to finance acquisitions. As of October 2, 2022, the Company had drawn $57,000 under the delayed draw term loan. Availability under the delayed draw term loan expired in May 2022.</w:t>
      </w:r>
    </w:p>
    <w:p>
      <w:pPr>
        <w:spacing w:after="0" w:line="189"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$1,200 in outstanding letters of credit at October 2, 2022.</w:t>
      </w:r>
    </w:p>
    <w:p>
      <w:pPr>
        <w:spacing w:after="0" w:line="189" w:lineRule="exact"/>
        <w:rPr>
          <w:sz w:val="20"/>
          <w:szCs w:val="20"/>
          <w:color w:val="auto"/>
        </w:rPr>
      </w:pPr>
    </w:p>
    <w:p>
      <w:pPr>
        <w:jc w:val="both"/>
        <w:ind w:left="340" w:right="20"/>
        <w:spacing w:after="0" w:line="246" w:lineRule="auto"/>
        <w:rPr>
          <w:sz w:val="20"/>
          <w:szCs w:val="20"/>
          <w:color w:val="auto"/>
        </w:rPr>
      </w:pPr>
      <w:r>
        <w:rPr>
          <w:rFonts w:ascii="Arial" w:cs="Arial" w:eastAsia="Arial" w:hAnsi="Arial"/>
          <w:sz w:val="18"/>
          <w:szCs w:val="18"/>
          <w:color w:val="auto"/>
        </w:rPr>
        <w:t>Proceeds from the new credit facility were used to repay in full the Company’s obligations under its existing first lien and second lien notes and to pay $13,413 in original issue discount and issuance costs related to the refinancing.</w:t>
      </w:r>
    </w:p>
    <w:p>
      <w:pPr>
        <w:spacing w:after="0" w:line="183"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first lien term loan is to be repaid in quarterly payments of$1,500 through September 30, 2028 with the balance due upon maturity on November 17, 2028. Beginning with the fiscal year ending on December 31, 2022, the Company is required to make a payment based on its available free cash flow (as defined in the Credit Agreement). Any such payments offset future mandatory quarterly payments.</w:t>
      </w:r>
    </w:p>
    <w:p>
      <w:pPr>
        <w:spacing w:after="0" w:line="191"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Amounts outstanding under the new credit facility will accrue interest at a rate equal to either the London Interbank Offering Rate ("LIBOR")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At October 2, 2022, the weighted average interest rate on the Company's borrowings under the credit facility was 6.8%.</w:t>
      </w:r>
    </w:p>
    <w:p>
      <w:pPr>
        <w:spacing w:after="0" w:line="189"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Obligations under the Credit Agreement are secured by substantially all of the Company’s assets. The Credit Agreement includes representations and warranties and affirmative and negative covenants customary for financings of this type, including, but not limited to, limitations on restricted payments, additional borrowings, additional investments, and asset sales. The Credit Agreement also requires that Holley maintain on the last day of each quarter, a Total Leverage Ratio not to exceed a maximum amount. At October 2, 2022, the Company was in compliance with all financial covenants.</w:t>
      </w:r>
    </w:p>
    <w:p>
      <w:pPr>
        <w:spacing w:after="0" w:line="189" w:lineRule="exact"/>
        <w:rPr>
          <w:sz w:val="20"/>
          <w:szCs w:val="20"/>
          <w:color w:val="auto"/>
        </w:rPr>
      </w:pPr>
    </w:p>
    <w:p>
      <w:pPr>
        <w:jc w:val="both"/>
        <w:ind w:left="340" w:right="20"/>
        <w:spacing w:after="0"/>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October 2, 2022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2022 (excluding the thirty-nine weeks ended October 2, 2022)</w:t>
            </w:r>
          </w:p>
        </w:tc>
        <w:tc>
          <w:tcPr>
            <w:tcW w:w="28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6,783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1,782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6,790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6,996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1,915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625,350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4,020</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653,614</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11,987</w:t>
            </w:r>
          </w:p>
        </w:tc>
        <w:tc>
          <w:tcPr>
            <w:tcW w:w="24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504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1890"/>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220" w:lineRule="exact"/>
        <w:rPr>
          <w:rFonts w:ascii="Arial" w:cs="Arial" w:eastAsia="Arial" w:hAnsi="Arial"/>
          <w:sz w:val="18"/>
          <w:szCs w:val="18"/>
          <w:b w:val="1"/>
          <w:bCs w:val="1"/>
          <w:color w:val="auto"/>
        </w:rPr>
      </w:pPr>
    </w:p>
    <w:p>
      <w:pPr>
        <w:jc w:val="both"/>
        <w:ind w:left="3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Upon the Closing, there were 14,666,644 Warrants, consisting of 9,999,977 Public Warrants and 4,666,667 Private Warrants, outstanding to purchase shares of the Company's common stock that were issued by Empower prior to the Business Combination. Each warrant entitles the registered holder to purchase one share of the Company's common stock at a price of $11.50 per share, subject to adjustments, commencing on October 9, 2021 (the one-year anniversary of Empower’s initial public offering),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the Company’s common stock. The Warrants expire on July 16, 2026, the date that is five years after the Closing date, or earlier upon redemption or liquidation. Additionally, the Private Warrants will be non-redeemable and are exercisable on a cashless basis so long as they are held by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90"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may redeem the Public Warrants at a price of $0.01 per warrant upon 30 days' notice if the closing price of the Company’s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w:t>
      </w:r>
    </w:p>
    <w:p>
      <w:pPr>
        <w:spacing w:after="0" w:line="191"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Further, the Company may redeem the Public Warrants at a price of $0.10 per warrant upon 30 days' notice if the closing price of the Company’s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the Company’s common stock as determined by reference to a table in the warrant agreement.</w:t>
      </w:r>
    </w:p>
    <w:p>
      <w:pPr>
        <w:spacing w:after="0" w:line="188"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but the Company will use its commercially reasonable best efforts to register or qualify the shares under applicable blue sky laws to the extent an exemption is not available.</w:t>
      </w:r>
    </w:p>
    <w:p>
      <w:pPr>
        <w:spacing w:after="0" w:line="191" w:lineRule="exact"/>
        <w:rPr>
          <w:rFonts w:ascii="Arial" w:cs="Arial" w:eastAsia="Arial" w:hAnsi="Arial"/>
          <w:sz w:val="18"/>
          <w:szCs w:val="18"/>
          <w:b w:val="1"/>
          <w:bCs w:val="1"/>
          <w:color w:val="auto"/>
        </w:rPr>
      </w:pPr>
    </w:p>
    <w:p>
      <w:pPr>
        <w:ind w:left="3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In April 2022, the Company issued 33,333 shares of common stock in connection with the exercise of Public Warrants assumed in the Business Combination.</w:t>
      </w:r>
    </w:p>
    <w:p>
      <w:pPr>
        <w:spacing w:after="0" w:line="183"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October 2, 2022 and December 31, 2021, a warrant liability with a fair value of $10,180 and $61,293, respectively, was reflected as a long-term liability in the condensed consolidated balance sheet. A $30,171 and $51,112 decrease in the fair value of the warrant liability was reflected as change in fair value of warrant liability in the condensed consolidated statements of comprehensive income for the 13-week and 39-week periods ended October 2, 2022, respectively. A $17,273 increase was reflected as change in fair value of warrant liability in the condensed consolidated statements of comprehensive income for both the 13-week and 39-week periods ended September 26, 2021.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52" w:lineRule="exact"/>
        <w:rPr>
          <w:rFonts w:ascii="Arial" w:cs="Arial" w:eastAsia="Arial" w:hAnsi="Arial"/>
          <w:sz w:val="18"/>
          <w:szCs w:val="18"/>
          <w:b w:val="1"/>
          <w:bCs w:val="1"/>
          <w:color w:val="auto"/>
        </w:rPr>
      </w:pPr>
    </w:p>
    <w:p>
      <w:pPr>
        <w:ind w:left="3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gridSpan w:val="11"/>
          </w:tcPr>
          <w:p>
            <w:pPr>
              <w:jc w:val="right"/>
              <w:ind w:right="70"/>
              <w:spacing w:after="0"/>
              <w:rPr>
                <w:sz w:val="20"/>
                <w:szCs w:val="20"/>
                <w:color w:val="auto"/>
              </w:rPr>
            </w:pPr>
            <w:r>
              <w:rPr>
                <w:rFonts w:ascii="Arial" w:cs="Arial" w:eastAsia="Arial" w:hAnsi="Arial"/>
                <w:sz w:val="18"/>
                <w:szCs w:val="18"/>
                <w:color w:val="auto"/>
              </w:rPr>
              <w:t>Fair Value Measured as of October 2, 2022</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40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included in:</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6,428</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6,428</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3,752</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3,752</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20"/>
              <w:spacing w:after="0" w:line="202" w:lineRule="exact"/>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2,626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2,626</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fair value</w:t>
            </w:r>
          </w:p>
        </w:tc>
        <w:tc>
          <w:tcPr>
            <w:tcW w:w="2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820"/>
              <w:spacing w:after="0" w:line="182" w:lineRule="exact"/>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12,806</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18"/>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color w:val="auto"/>
              </w:rPr>
              <w:t>Fair Value Measured as of December 31, 2021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40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included in:</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39,500</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39,500</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21,793</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21,793</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20"/>
              <w:spacing w:after="0" w:line="202" w:lineRule="exact"/>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26,596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26,596</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fair value</w:t>
            </w:r>
          </w:p>
        </w:tc>
        <w:tc>
          <w:tcPr>
            <w:tcW w:w="2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39,500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820"/>
              <w:spacing w:after="0" w:line="182" w:lineRule="exact"/>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48,389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87,889</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As of October 2, 2022, the Company's derivative liabilities for its private and public warrants and the earn-out liability (see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for more details) are measured at fair value on a recurring basis. The fair value for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w:t>
      </w:r>
    </w:p>
    <w:p>
      <w:pPr>
        <w:spacing w:after="0" w:line="126"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03"/>
        </w:trPr>
        <w:tc>
          <w:tcPr>
            <w:tcW w:w="46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rPr>
              <w:t>October 2, 2022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240" w:type="dxa"/>
            <w:vAlign w:val="bottom"/>
            <w:gridSpan w:val="2"/>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12.99</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324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2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324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Price threshold</w:t>
            </w:r>
          </w:p>
        </w:tc>
        <w:tc>
          <w:tcPr>
            <w:tcW w:w="32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r>
    </w:tbl>
    <w:p>
      <w:pPr>
        <w:spacing w:after="0" w:line="120"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rPr>
              <w:t>October 2, 2022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94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12.99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5.79</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58.22%</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40.59%</w:t>
            </w:r>
          </w:p>
        </w:tc>
        <w:tc>
          <w:tcPr>
            <w:tcW w:w="2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3.93%</w:t>
            </w:r>
          </w:p>
        </w:tc>
        <w:tc>
          <w:tcPr>
            <w:tcW w:w="14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 1</w:t>
            </w:r>
          </w:p>
        </w:tc>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not applicable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13.00</w:t>
            </w:r>
          </w:p>
        </w:tc>
        <w:tc>
          <w:tcPr>
            <w:tcW w:w="24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Price hurdle 2</w:t>
            </w:r>
          </w:p>
        </w:tc>
        <w:tc>
          <w:tcPr>
            <w:tcW w:w="3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r>
      <w:tr>
        <w:trPr>
          <w:trHeight w:val="323"/>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00" w:type="dxa"/>
            <w:vAlign w:val="bottom"/>
          </w:tcPr>
          <w:p>
            <w:pPr>
              <w:jc w:val="right"/>
              <w:ind w:right="179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As of October 2, 2022 and December 31, 2021,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during the 39-week period ended October 2, 2022 is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00" w:type="dxa"/>
            <w:vAlign w:val="bottom"/>
            <w:gridSpan w:val="9"/>
          </w:tcPr>
          <w:p>
            <w:pPr>
              <w:jc w:val="right"/>
              <w:ind w:right="620"/>
              <w:spacing w:after="0"/>
              <w:rPr>
                <w:sz w:val="20"/>
                <w:szCs w:val="20"/>
                <w:color w:val="auto"/>
              </w:rPr>
            </w:pPr>
            <w:r>
              <w:rPr>
                <w:rFonts w:ascii="Arial" w:cs="Arial" w:eastAsia="Arial" w:hAnsi="Arial"/>
                <w:sz w:val="18"/>
                <w:szCs w:val="18"/>
                <w:color w:val="auto"/>
              </w:rPr>
              <w:t>For the thirty-nine weeks ended October 2, 2022</w:t>
            </w:r>
          </w:p>
        </w:tc>
      </w:tr>
      <w:tr>
        <w:trPr>
          <w:trHeight w:val="196"/>
        </w:trPr>
        <w:tc>
          <w:tcPr>
            <w:tcW w:w="5640" w:type="dxa"/>
            <w:vAlign w:val="bottom"/>
          </w:tcPr>
          <w:p>
            <w:pPr>
              <w:spacing w:after="0"/>
              <w:rPr>
                <w:sz w:val="17"/>
                <w:szCs w:val="17"/>
                <w:color w:val="auto"/>
              </w:rPr>
            </w:pPr>
          </w:p>
        </w:tc>
        <w:tc>
          <w:tcPr>
            <w:tcW w:w="15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Private Warrants</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Earn-Out Liability</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21,793</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26,596</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48,389</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Liabilities reclassed to equity</w:t>
            </w:r>
          </w:p>
        </w:tc>
        <w:tc>
          <w:tcPr>
            <w:tcW w:w="320" w:type="dxa"/>
            <w:vAlign w:val="bottom"/>
          </w:tcPr>
          <w:p>
            <w:pPr>
              <w:spacing w:after="0"/>
              <w:rPr>
                <w:sz w:val="17"/>
                <w:szCs w:val="17"/>
                <w:color w:val="auto"/>
              </w:rPr>
            </w:pPr>
          </w:p>
        </w:tc>
        <w:tc>
          <w:tcPr>
            <w:tcW w:w="1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(14,689)</w:t>
            </w: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(14,689)</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Losses included in earnings</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(18,041)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(9,281)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(27,322)</w:t>
            </w:r>
          </w:p>
        </w:tc>
      </w:tr>
      <w:tr>
        <w:trPr>
          <w:trHeight w:val="20"/>
        </w:trPr>
        <w:tc>
          <w:tcPr>
            <w:tcW w:w="56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October 2, 2022</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3,752</w:t>
            </w:r>
          </w:p>
        </w:tc>
        <w:tc>
          <w:tcPr>
            <w:tcW w:w="140" w:type="dxa"/>
            <w:vAlign w:val="bottom"/>
          </w:tcPr>
          <w:p>
            <w:pPr>
              <w:spacing w:after="0"/>
              <w:rPr>
                <w:sz w:val="17"/>
                <w:szCs w:val="17"/>
                <w:color w:val="auto"/>
              </w:rPr>
            </w:pPr>
          </w:p>
        </w:tc>
        <w:tc>
          <w:tcPr>
            <w:tcW w:w="580" w:type="dxa"/>
            <w:vAlign w:val="bottom"/>
            <w:gridSpan w:val="2"/>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2,626</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6,378</w:t>
            </w:r>
          </w:p>
        </w:tc>
      </w:tr>
      <w:tr>
        <w:trPr>
          <w:trHeight w:val="20"/>
        </w:trPr>
        <w:tc>
          <w:tcPr>
            <w:tcW w:w="5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88"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89"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89"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16 for more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The following table summarizes total revenue by product category. The Company's product category definitions have been revised by management in 2022. The prior-year period has been revised to conform with the current presentation. There is no change to total sales.</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95"/>
        </w:trPr>
        <w:tc>
          <w:tcPr>
            <w:tcW w:w="5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October 2,</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8"/>
              </w:rPr>
              <w:t>September 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October 2,</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9"/>
              </w:rPr>
              <w:t>September</w:t>
            </w:r>
          </w:p>
        </w:tc>
        <w:tc>
          <w:tcPr>
            <w:tcW w:w="10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Electronic systems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62,174</w:t>
            </w:r>
          </w:p>
        </w:tc>
        <w:tc>
          <w:tcPr>
            <w:tcW w:w="46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73,256</w:t>
            </w:r>
          </w:p>
        </w:tc>
        <w:tc>
          <w:tcPr>
            <w:tcW w:w="22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219,380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231,190</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Mechanical systems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37,317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127,365</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112,914</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Exhaust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15,183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52,552</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60,365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24,561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20,651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81,660</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60,592</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Safety</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15,540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53,293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47,985</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sales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154,775</w:t>
            </w:r>
          </w:p>
        </w:tc>
        <w:tc>
          <w:tcPr>
            <w:tcW w:w="200" w:type="dxa"/>
            <w:vAlign w:val="bottom"/>
          </w:tcPr>
          <w:p>
            <w:pPr>
              <w:spacing w:after="0"/>
              <w:rPr>
                <w:sz w:val="17"/>
                <w:szCs w:val="17"/>
                <w:color w:val="auto"/>
              </w:rPr>
            </w:pPr>
          </w:p>
        </w:tc>
        <w:tc>
          <w:tcPr>
            <w:tcW w:w="2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159,673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534,250</w:t>
            </w:r>
          </w:p>
        </w:tc>
        <w:tc>
          <w:tcPr>
            <w:tcW w:w="1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513,046</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95"/>
        </w:trPr>
        <w:tc>
          <w:tcPr>
            <w:tcW w:w="5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October 2,</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8"/>
              </w:rPr>
              <w:t>September 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October 2,</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9"/>
              </w:rPr>
              <w:t>September</w:t>
            </w:r>
          </w:p>
        </w:tc>
        <w:tc>
          <w:tcPr>
            <w:tcW w:w="10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150,155</w:t>
            </w:r>
          </w:p>
        </w:tc>
        <w:tc>
          <w:tcPr>
            <w:tcW w:w="36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155,626</w:t>
            </w:r>
          </w:p>
        </w:tc>
        <w:tc>
          <w:tcPr>
            <w:tcW w:w="22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519,728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501,196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14,522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11,850</w:t>
            </w:r>
          </w:p>
        </w:tc>
      </w:tr>
      <w:tr>
        <w:trPr>
          <w:trHeight w:val="20"/>
        </w:trPr>
        <w:tc>
          <w:tcPr>
            <w:tcW w:w="5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sales</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154,775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159,673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534,250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513,046</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0"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jc w:val="right"/>
              <w:ind w:right="360"/>
              <w:spacing w:after="0"/>
              <w:rPr>
                <w:sz w:val="20"/>
                <w:szCs w:val="20"/>
                <w:color w:val="auto"/>
              </w:rPr>
            </w:pPr>
            <w:r>
              <w:rPr>
                <w:rFonts w:ascii="Arial" w:cs="Arial" w:eastAsia="Arial" w:hAnsi="Arial"/>
                <w:sz w:val="18"/>
                <w:szCs w:val="18"/>
                <w:color w:val="auto"/>
                <w:w w:val="99"/>
              </w:rPr>
              <w:t>For the thirteen weeks ended</w:t>
            </w:r>
          </w:p>
        </w:tc>
        <w:tc>
          <w:tcPr>
            <w:tcW w:w="2700" w:type="dxa"/>
            <w:vAlign w:val="bottom"/>
            <w:gridSpan w:val="6"/>
          </w:tcPr>
          <w:p>
            <w:pPr>
              <w:jc w:val="right"/>
              <w:ind w:right="140"/>
              <w:spacing w:after="0"/>
              <w:rPr>
                <w:sz w:val="20"/>
                <w:szCs w:val="20"/>
                <w:color w:val="auto"/>
              </w:rPr>
            </w:pPr>
            <w:r>
              <w:rPr>
                <w:rFonts w:ascii="Arial" w:cs="Arial" w:eastAsia="Arial" w:hAnsi="Arial"/>
                <w:sz w:val="18"/>
                <w:szCs w:val="18"/>
                <w:color w:val="auto"/>
              </w:rPr>
              <w:t>For the thirty-nine weeks ended</w:t>
            </w:r>
          </w:p>
        </w:tc>
      </w:tr>
      <w:tr>
        <w:trPr>
          <w:trHeight w:val="195"/>
        </w:trPr>
        <w:tc>
          <w:tcPr>
            <w:tcW w:w="3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00"/>
              <w:spacing w:after="0" w:line="195" w:lineRule="exact"/>
              <w:rPr>
                <w:sz w:val="20"/>
                <w:szCs w:val="20"/>
                <w:color w:val="auto"/>
              </w:rPr>
            </w:pPr>
            <w:r>
              <w:rPr>
                <w:rFonts w:ascii="Arial" w:cs="Arial" w:eastAsia="Arial" w:hAnsi="Arial"/>
                <w:sz w:val="18"/>
                <w:szCs w:val="18"/>
                <w:color w:val="auto"/>
                <w:w w:val="99"/>
              </w:rPr>
              <w:t>October 2,</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September</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420"/>
              <w:spacing w:after="0" w:line="195" w:lineRule="exact"/>
              <w:rPr>
                <w:sz w:val="20"/>
                <w:szCs w:val="20"/>
                <w:color w:val="auto"/>
              </w:rPr>
            </w:pPr>
            <w:r>
              <w:rPr>
                <w:rFonts w:ascii="Arial" w:cs="Arial" w:eastAsia="Arial" w:hAnsi="Arial"/>
                <w:sz w:val="18"/>
                <w:szCs w:val="18"/>
                <w:color w:val="auto"/>
                <w:w w:val="99"/>
              </w:rPr>
              <w:t>October 2,</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September</w:t>
            </w:r>
          </w:p>
        </w:tc>
        <w:tc>
          <w:tcPr>
            <w:tcW w:w="100" w:type="dxa"/>
            <w:vAlign w:val="bottom"/>
          </w:tcPr>
          <w:p>
            <w:pPr>
              <w:spacing w:after="0"/>
              <w:rPr>
                <w:sz w:val="16"/>
                <w:szCs w:val="16"/>
                <w:color w:val="auto"/>
              </w:rPr>
            </w:pPr>
          </w:p>
        </w:tc>
      </w:tr>
      <w:tr>
        <w:trPr>
          <w:trHeight w:val="203"/>
        </w:trPr>
        <w:tc>
          <w:tcPr>
            <w:tcW w:w="3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26, 2021</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r>
      <w:tr>
        <w:trPr>
          <w:trHeight w:val="196"/>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(benefit)</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(3,301)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8,866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7,255</w:t>
            </w: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Effective tax rates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77227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nm - not meaningful</w:t>
      </w:r>
    </w:p>
    <w:p>
      <w:pPr>
        <w:spacing w:after="0" w:line="157"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For the 13-week period ended October 2, 2022, the Company's effective tax rate differed from the 21% federal statutory rate primarily due to permanent differences related to changes in fair value of the Private Warrants and the earn-out liability recognized during the period. For the 13-week period ended September 26, 2021, the Company’s effective tax rate of 9.9% differed from the 21% federal statutory rate primarily due to permanent differences related to changes in the fair value of the warrant and earn-out liabilities recognized during the period.</w:t>
      </w:r>
    </w:p>
    <w:p>
      <w:pPr>
        <w:spacing w:after="0" w:line="148"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For the 39-week period ended October 2, 2022, the Company's effective tax rate of 9.1% differed from the 21% federal statutory rate primarily due to permanent differences related to changes in fair value of the warrant and earn-out liabilities recognized during the period. For the 39-week period ended September 26, 2021, the Company’s effective tax rate differed from the 21% federal statutory rate primarily due to permanent differences resulting from the adjustment to the earn-out liability related to the 2020 acquisition of Simpson Performance Products ("Simpson") and changes in the fair value of the warrant and earn-out liabilities recognized during the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3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(loss) per share:</w:t>
      </w:r>
    </w:p>
    <w:p>
      <w:pPr>
        <w:spacing w:after="0" w:line="11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6"/>
          </w:tcPr>
          <w:p>
            <w:pPr>
              <w:jc w:val="right"/>
              <w:ind w:right="32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95"/>
        </w:trPr>
        <w:tc>
          <w:tcPr>
            <w:tcW w:w="5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October 2,</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8"/>
              </w:rPr>
              <w:t>September 26,</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rPr>
              <w:t>October 2,</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9"/>
              </w:rPr>
              <w:t>September</w:t>
            </w:r>
          </w:p>
        </w:tc>
        <w:tc>
          <w:tcPr>
            <w:tcW w:w="10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income (loss) - basic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31,579</w:t>
            </w:r>
          </w:p>
        </w:tc>
        <w:tc>
          <w:tcPr>
            <w:tcW w:w="2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(30,200)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89,000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(9,158)</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fair value adjustment for warrants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(51,112)</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96" w:lineRule="exact"/>
              <w:rPr>
                <w:sz w:val="20"/>
                <w:szCs w:val="20"/>
                <w:color w:val="auto"/>
              </w:rPr>
            </w:pPr>
            <w:r>
              <w:rPr>
                <w:rFonts w:ascii="Arial" w:cs="Arial" w:eastAsia="Arial" w:hAnsi="Arial"/>
                <w:sz w:val="18"/>
                <w:szCs w:val="18"/>
                <w:color w:val="auto"/>
              </w:rPr>
              <w:t>Net income (loss) - diluted</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31,579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(30,200)</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37,888</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(9,158)</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117,119,609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106,285,072</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116,636,906</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80,735,661</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124,603</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warrants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512,104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117,138,134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106,285,072</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117,273,613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80,735,661</w:t>
            </w:r>
          </w:p>
        </w:tc>
      </w:tr>
      <w:tr>
        <w:trPr>
          <w:trHeight w:val="183"/>
        </w:trPr>
        <w:tc>
          <w:tcPr>
            <w:tcW w:w="522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Earnings (loss) per share:</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0.76</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(0.11)</w:t>
            </w:r>
          </w:p>
        </w:tc>
      </w:tr>
      <w:tr>
        <w:trPr>
          <w:trHeight w:val="217"/>
        </w:trPr>
        <w:tc>
          <w:tcPr>
            <w:tcW w:w="52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bl>
    <w:p>
      <w:pPr>
        <w:spacing w:after="0" w:line="106"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for the thirteen weeks ended October 2, 2022 are excluded from the calculation of diluted earnings per share.</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2820" w:type="dxa"/>
            <w:vAlign w:val="bottom"/>
            <w:gridSpan w:val="4"/>
          </w:tcPr>
          <w:p>
            <w:pPr>
              <w:jc w:val="right"/>
              <w:ind w:right="340"/>
              <w:spacing w:after="0"/>
              <w:rPr>
                <w:sz w:val="20"/>
                <w:szCs w:val="20"/>
                <w:color w:val="auto"/>
              </w:rPr>
            </w:pPr>
            <w:r>
              <w:rPr>
                <w:rFonts w:ascii="Arial" w:cs="Arial" w:eastAsia="Arial" w:hAnsi="Arial"/>
                <w:sz w:val="18"/>
                <w:szCs w:val="18"/>
                <w:color w:val="auto"/>
              </w:rPr>
              <w:t>For the thirteen weeks ended</w:t>
            </w:r>
          </w:p>
        </w:tc>
        <w:tc>
          <w:tcPr>
            <w:tcW w:w="26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For the thirty-nine weeks ended</w:t>
            </w:r>
          </w:p>
        </w:tc>
      </w:tr>
      <w:tr>
        <w:trPr>
          <w:trHeight w:val="195"/>
        </w:trPr>
        <w:tc>
          <w:tcPr>
            <w:tcW w:w="5220" w:type="dxa"/>
            <w:vAlign w:val="bottom"/>
          </w:tcPr>
          <w:p>
            <w:pPr>
              <w:spacing w:after="0"/>
              <w:rPr>
                <w:sz w:val="16"/>
                <w:szCs w:val="16"/>
                <w:color w:val="auto"/>
              </w:rPr>
            </w:pPr>
          </w:p>
        </w:tc>
        <w:tc>
          <w:tcPr>
            <w:tcW w:w="1420" w:type="dxa"/>
            <w:vAlign w:val="bottom"/>
            <w:tcBorders>
              <w:top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rPr>
              <w:t>October 2,</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September 26,</w:t>
            </w:r>
          </w:p>
        </w:tc>
        <w:tc>
          <w:tcPr>
            <w:tcW w:w="220" w:type="dxa"/>
            <w:vAlign w:val="bottom"/>
          </w:tcPr>
          <w:p>
            <w:pPr>
              <w:spacing w:after="0"/>
              <w:rPr>
                <w:sz w:val="16"/>
                <w:szCs w:val="16"/>
                <w:color w:val="auto"/>
              </w:rPr>
            </w:pPr>
          </w:p>
        </w:tc>
        <w:tc>
          <w:tcPr>
            <w:tcW w:w="1360" w:type="dxa"/>
            <w:vAlign w:val="bottom"/>
            <w:tcBorders>
              <w:top w:val="single" w:sz="8" w:color="auto"/>
            </w:tcBorders>
            <w:gridSpan w:val="2"/>
          </w:tcPr>
          <w:p>
            <w:pPr>
              <w:ind w:left="160"/>
              <w:spacing w:after="0" w:line="195" w:lineRule="exact"/>
              <w:rPr>
                <w:sz w:val="20"/>
                <w:szCs w:val="20"/>
                <w:color w:val="auto"/>
              </w:rPr>
            </w:pPr>
            <w:r>
              <w:rPr>
                <w:rFonts w:ascii="Arial" w:cs="Arial" w:eastAsia="Arial" w:hAnsi="Arial"/>
                <w:sz w:val="18"/>
                <w:szCs w:val="18"/>
                <w:color w:val="auto"/>
              </w:rPr>
              <w:t>October 2,</w:t>
            </w:r>
          </w:p>
        </w:tc>
        <w:tc>
          <w:tcPr>
            <w:tcW w:w="1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September</w:t>
            </w:r>
          </w:p>
        </w:tc>
        <w:tc>
          <w:tcPr>
            <w:tcW w:w="10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12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1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14,633,311</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14,666,644</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14,666,644</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1,769,614</w:t>
            </w: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1,394,008</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1,769,614</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1,394,008</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220,051</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658,891</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220,051</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658,891</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Earn-out shares</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2,187,500</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1,093,750</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2,187,500</w:t>
            </w:r>
          </w:p>
        </w:tc>
      </w:tr>
      <w:tr>
        <w:trPr>
          <w:trHeight w:val="20"/>
        </w:trPr>
        <w:tc>
          <w:tcPr>
            <w:tcW w:w="5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anti-dilutive shares</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17,716,726</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18,907,043</w:t>
            </w:r>
          </w:p>
        </w:tc>
        <w:tc>
          <w:tcPr>
            <w:tcW w:w="13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3,083,415</w:t>
            </w:r>
          </w:p>
        </w:tc>
        <w:tc>
          <w:tcPr>
            <w:tcW w:w="12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18,907,043</w:t>
            </w:r>
          </w:p>
        </w:tc>
      </w:tr>
      <w:tr>
        <w:trPr>
          <w:trHeight w:val="20"/>
        </w:trPr>
        <w:tc>
          <w:tcPr>
            <w:tcW w:w="5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39"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has a defined benefit pension plan (the “Plan”) for its employees. On January 28, 2022, the Company approved the termination of the Plan, effective March 31, 2022. Distribution of the Plan's assets, pursuant to the termination, will not be made until the Plan termination satisfies all regulatory requirements, which is expected to be completed by the fourth quarter of 2022. Plan participants will receive their full accrued benefits from the Plan's assets by electing either lump sum distributions or annuity contracts with a qualifying third-party annuity provider. The resulting settlement effect of the Plan termination will be determined based on prevailing market conditions, the lump sum offer participation rate of eligible participants, the actual lump sum distributions, and annuity purchase rates at the date of distribution. The Company estimates that the settlement charge will be in the range of $400 - $550.</w:t>
      </w:r>
    </w:p>
    <w:p>
      <w:pPr>
        <w:spacing w:after="0" w:line="1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summarizes the components of net periodic benefit cost for the Plan: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0" w:type="dxa"/>
            <w:vAlign w:val="bottom"/>
            <w:gridSpan w:val="7"/>
          </w:tcPr>
          <w:p>
            <w:pPr>
              <w:jc w:val="right"/>
              <w:ind w:right="32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c>
          <w:tcPr>
            <w:tcW w:w="240" w:type="dxa"/>
            <w:vAlign w:val="bottom"/>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00"/>
              <w:spacing w:after="0" w:line="195" w:lineRule="exact"/>
              <w:rPr>
                <w:sz w:val="20"/>
                <w:szCs w:val="20"/>
                <w:color w:val="auto"/>
              </w:rPr>
            </w:pPr>
            <w:r>
              <w:rPr>
                <w:rFonts w:ascii="Arial" w:cs="Arial" w:eastAsia="Arial" w:hAnsi="Arial"/>
                <w:sz w:val="18"/>
                <w:szCs w:val="18"/>
                <w:color w:val="auto"/>
                <w:w w:val="99"/>
              </w:rPr>
              <w:t>October 2,</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8"/>
              </w:rPr>
              <w:t>September 26,</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rPr>
              <w:t>October 2,</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9"/>
              </w:rPr>
              <w:t>September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expense:</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0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1500" w:type="dxa"/>
            <w:vAlign w:val="bottom"/>
            <w:gridSpan w:val="2"/>
          </w:tcPr>
          <w:p>
            <w:pPr>
              <w:jc w:val="center"/>
              <w:ind w:left="119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3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cost</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0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plan assets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w:t>
            </w:r>
          </w:p>
        </w:tc>
        <w:tc>
          <w:tcPr>
            <w:tcW w:w="14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(156)</w:t>
            </w:r>
          </w:p>
        </w:tc>
        <w:tc>
          <w:tcPr>
            <w:tcW w:w="1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Amortization of net loss</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900" w:type="dxa"/>
            <w:vAlign w:val="bottom"/>
          </w:tcPr>
          <w:p>
            <w:pPr>
              <w:spacing w:after="0" w:line="182" w:lineRule="exact"/>
              <w:rPr>
                <w:sz w:val="20"/>
                <w:szCs w:val="20"/>
                <w:color w:val="auto"/>
              </w:rPr>
            </w:pPr>
            <w:r>
              <w:rPr>
                <w:rFonts w:ascii="Arial" w:cs="Arial" w:eastAsia="Arial" w:hAnsi="Arial"/>
                <w:sz w:val="18"/>
                <w:szCs w:val="18"/>
                <w:color w:val="auto"/>
              </w:rPr>
              <w:t>Net periodic benefit cost</w:t>
            </w:r>
          </w:p>
        </w:tc>
        <w:tc>
          <w:tcPr>
            <w:tcW w:w="1320" w:type="dxa"/>
            <w:vAlign w:val="bottom"/>
          </w:tcPr>
          <w:p>
            <w:pPr>
              <w:spacing w:after="0"/>
              <w:rPr>
                <w:sz w:val="17"/>
                <w:szCs w:val="17"/>
                <w:color w:val="auto"/>
              </w:rPr>
            </w:pPr>
          </w:p>
        </w:tc>
        <w:tc>
          <w:tcPr>
            <w:tcW w:w="18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500" w:type="dxa"/>
            <w:vAlign w:val="bottom"/>
            <w:gridSpan w:val="2"/>
          </w:tcPr>
          <w:p>
            <w:pPr>
              <w:jc w:val="center"/>
              <w:ind w:left="1170"/>
              <w:spacing w:after="0"/>
              <w:rPr>
                <w:sz w:val="20"/>
                <w:szCs w:val="20"/>
                <w:color w:val="auto"/>
              </w:rPr>
            </w:pPr>
            <w:r>
              <w:rPr>
                <w:rFonts w:ascii="Arial" w:cs="Arial" w:eastAsia="Arial" w:hAnsi="Arial"/>
                <w:sz w:val="18"/>
                <w:szCs w:val="18"/>
                <w:color w:val="auto"/>
                <w:w w:val="99"/>
              </w:rPr>
              <w:t>24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made matching contributions totaling $587 and $1,019 to our 401(k) plan during the 13-week periods ended October 2, 2022 and September 26, 2021, respectively. The Company made matching contributions totaling $2,431 and $2,020 to our 401(k) plan during the 39-week periods ended October 2, 2022 and September 26, 2021, respectively.</w:t>
      </w:r>
    </w:p>
    <w:p>
      <w:pPr>
        <w:spacing w:after="0" w:line="149"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made no contributions and contributions of $300 to the Plan during the 13-week periods ended October 2, 2022 and September 26, 2021, respectively. The Company made contributions of $150 and $417 to the Plan during the 39-week periods ended October 2, 2022 and September 26, 2021, respectively.</w:t>
      </w:r>
    </w:p>
    <w:p>
      <w:pPr>
        <w:spacing w:after="0" w:line="20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152"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which provides for the grant of restricted stock awards, incentive and nonqualified stock options, and other share based awards to employees, directors and non-employees. The 2021 Plan authorized 8,850,000 shares of the Company’s common stock to be available for award grants. As of October 2, 2022, 6,324,768 shares of common stock remained available for future issuance under the 2021 Plan.</w:t>
      </w:r>
    </w:p>
    <w:p>
      <w:pPr>
        <w:spacing w:after="0" w:line="1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95"/>
        </w:trPr>
        <w:tc>
          <w:tcPr>
            <w:tcW w:w="5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October 2,</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8"/>
              </w:rPr>
              <w:t>September 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October 2,</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9"/>
              </w:rPr>
              <w:t>September</w:t>
            </w:r>
          </w:p>
        </w:tc>
        <w:tc>
          <w:tcPr>
            <w:tcW w:w="10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559</w:t>
            </w:r>
          </w:p>
        </w:tc>
        <w:tc>
          <w:tcPr>
            <w:tcW w:w="36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376</w:t>
            </w:r>
          </w:p>
        </w:tc>
        <w:tc>
          <w:tcPr>
            <w:tcW w:w="22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1,764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3,409</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Profit interest units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4,345</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2,372</w:t>
            </w:r>
          </w:p>
        </w:tc>
      </w:tr>
    </w:tbl>
    <w:p>
      <w:pPr>
        <w:spacing w:after="0" w:line="134" w:lineRule="exact"/>
        <w:rPr>
          <w:sz w:val="20"/>
          <w:szCs w:val="20"/>
          <w:color w:val="auto"/>
        </w:rPr>
      </w:pPr>
    </w:p>
    <w:p>
      <w:pPr>
        <w:jc w:val="both"/>
        <w:ind w:left="340" w:right="20"/>
        <w:spacing w:after="0" w:line="246" w:lineRule="auto"/>
        <w:rPr>
          <w:sz w:val="20"/>
          <w:szCs w:val="20"/>
          <w:color w:val="auto"/>
        </w:rPr>
      </w:pPr>
      <w:r>
        <w:rPr>
          <w:rFonts w:ascii="Arial" w:cs="Arial" w:eastAsia="Arial" w:hAnsi="Arial"/>
          <w:sz w:val="18"/>
          <w:szCs w:val="18"/>
          <w:color w:val="auto"/>
        </w:rPr>
        <w:t>All equity-based compensation expense is recorded in selling, general and administrative costs in the condensed consolidated statements of comprehensive income.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53"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at termination of service. On February 15, 2022 and May 6, 2022, the Company granted 548,001 and 44,055 options to purchase shares of the Company’s common stock to key employees, respectively. These stock options had weighted-average grant date fair values of $4.68 per share and $4.32 per share, respectively, which values were estimated as of their respective grant dates using a Black-Scholes option pricing model with the following assumptions:</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60" w:type="dxa"/>
            <w:vAlign w:val="bottom"/>
            <w:gridSpan w:val="4"/>
          </w:tcPr>
          <w:p>
            <w:pPr>
              <w:ind w:left="80"/>
              <w:spacing w:after="0"/>
              <w:rPr>
                <w:sz w:val="20"/>
                <w:szCs w:val="20"/>
                <w:color w:val="auto"/>
              </w:rPr>
            </w:pPr>
            <w:r>
              <w:rPr>
                <w:rFonts w:ascii="Arial" w:cs="Arial" w:eastAsia="Arial" w:hAnsi="Arial"/>
                <w:sz w:val="18"/>
                <w:szCs w:val="18"/>
                <w:color w:val="auto"/>
              </w:rPr>
              <w:t>Granted Feb. 15,</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Granted May 6,</w:t>
            </w:r>
          </w:p>
        </w:tc>
      </w:tr>
      <w:tr>
        <w:trPr>
          <w:trHeight w:val="203"/>
        </w:trPr>
        <w:tc>
          <w:tcPr>
            <w:tcW w:w="4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2022</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7"/>
                <w:szCs w:val="17"/>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expected term</w:t>
            </w:r>
          </w:p>
        </w:tc>
        <w:tc>
          <w:tcPr>
            <w:tcW w:w="2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6.0</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36.0%</w:t>
            </w:r>
          </w:p>
        </w:tc>
        <w:tc>
          <w:tcPr>
            <w:tcW w:w="12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w:t>
            </w:r>
          </w:p>
        </w:tc>
        <w:tc>
          <w:tcPr>
            <w:tcW w:w="26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ind w:left="1000"/>
              <w:spacing w:after="0" w:line="202" w:lineRule="exact"/>
              <w:rPr>
                <w:sz w:val="20"/>
                <w:szCs w:val="20"/>
                <w:color w:val="auto"/>
              </w:rPr>
            </w:pPr>
            <w:r>
              <w:rPr>
                <w:rFonts w:ascii="Arial" w:cs="Arial" w:eastAsia="Arial" w:hAnsi="Arial"/>
                <w:sz w:val="18"/>
                <w:szCs w:val="18"/>
                <w:color w:val="auto"/>
              </w:rPr>
              <w:t>—   $</w:t>
            </w:r>
          </w:p>
        </w:tc>
        <w:tc>
          <w:tcPr>
            <w:tcW w:w="1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17"/>
        </w:trPr>
        <w:tc>
          <w:tcPr>
            <w:tcW w:w="4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3.06%</w:t>
            </w:r>
          </w:p>
        </w:tc>
      </w:tr>
    </w:tbl>
    <w:p>
      <w:pPr>
        <w:spacing w:after="0" w:line="120"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expected term has been estimated using a simplified method, which calculates the expected term as the mid-point between the vesting date and the contractual life of the awards since the Company does not have an extended history of actual exercises. The expected dividend yield is assumed to be zero since the Company has never paid dividends and does not have current plans to pay any dividends. The risk-free interest rate is based on yields of U.S. Treasury securities with maturities similar to the expected term of the options. Expected volatility is based on an evenly weighted blend of implied volatility and historical volatility of publicly-traded peer companies since the Company has limited historical volatility.</w:t>
      </w:r>
    </w:p>
    <w:p>
      <w:pPr>
        <w:spacing w:after="0" w:line="124"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Compensation expense for stock options is recorded based on straight-line amortization of the grant date fair value over the requisite service period. As of October 2, 2022, there was $4,671 of unrecognized compensation cost related to unvested stock options that is expected to be recognized over a remaining weighted-average period of 2.0 years.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3"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Restricted stock units (“RSUs”) vest ratably over one to three years of continued employment. The fair value of a RSU at the grant date is equal to the market price of the Company’s common stock on the grant date. On February 15, 2022 and May 6, 2022, the Company granted 228,180 and 16,767 RSUs, respectively to key employees with grant date fair values of $12.29 per unit and $9.95 per unit, respectively. Additionally, on May 11, 2022, 55,920 RSUs were granted to members of Holley's Board of Directors with a grant date fair value of $8.53 per unit. Compensation expense for RSUs is recorded based on amortization of the grant date fair market value over the period the restrictions lapse. As of October 2, 2022, there was $5,506 of unrecognized compensation cost related to unvested RSUs that is expected to be recognized over a remaining weighted average period of 2.0 years.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Profit Interest Units</w:t>
      </w:r>
    </w:p>
    <w:p>
      <w:pPr>
        <w:spacing w:after="0" w:line="153"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Holley Stockholder has authorized an incentive pool of 41.4 million units of Parent, which are designated as PIUs, that its management has the right to grant to certain employees of the Company. As of October 2, 2022, no units are available for grant. The PIU's are a special type of limited liability company equity unit that allows the recipient to potentially participate in a future increase in the value of the Company. PIUs are issued for no consideration and generally provide for vesting over the requisite service period, subject to the recipient remaining an employee of the Company through each vesting date.</w:t>
      </w:r>
    </w:p>
    <w:p>
      <w:pPr>
        <w:spacing w:after="0" w:line="121"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As of October 2, 2022, there was $5,072 of unrecognized compensation cost related to time-based PIUs that is expected to be recognized over a remaining weighted-average period of 0.9 years.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 COMMITMENTS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 2022, the Company adopted ASC 842 using the modified retrospective optional transition method provided by ASU 2018-</w:t>
      </w:r>
    </w:p>
    <w:p>
      <w:pPr>
        <w:jc w:val="both"/>
        <w:ind w:left="340" w:hanging="8"/>
        <w:spacing w:after="0"/>
        <w:tabs>
          <w:tab w:leader="none" w:pos="6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applying this guidance resulted in an increase in noncurrent assets for right-of-use assets of $33.9 million and an increase in liabilities for associated lease obligations of $34.6 million, most of which were classified as noncurrent. The adoption of the standard did not result in a cumulative-effect adjustment to the opening balance of retained earnings.</w:t>
      </w:r>
    </w:p>
    <w:p>
      <w:pPr>
        <w:spacing w:after="0" w:line="122"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Under the transition option elected by the Company, ASC 842 is applied only to the most current period and reporting for comparative periods presented in the financial statements continues to be in accordance with Topic 840, including disclosures. Upon adoption, the Company elected the following practical expedients related to ASC 842:</w:t>
      </w:r>
    </w:p>
    <w:p>
      <w:pPr>
        <w:spacing w:after="0" w:line="122" w:lineRule="exact"/>
        <w:rPr>
          <w:sz w:val="20"/>
          <w:szCs w:val="20"/>
          <w:color w:val="auto"/>
        </w:rPr>
      </w:pPr>
    </w:p>
    <w:p>
      <w:pPr>
        <w:ind w:left="660" w:right="100" w:hanging="328"/>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reassess whether any expired or existing contracts are or contain leases, not reassess the lease classification for any expired or existing leases, and not reassess initial direct costs for any existing leases;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account for the lease and non-lease components as a single lease component for all of the Company's leases;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apply accounting similar to Topic 840 to leases that meet the definition of short-term leases.</w:t>
      </w:r>
    </w:p>
    <w:p>
      <w:pPr>
        <w:spacing w:after="0" w:line="171"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14 years, inclusive of renewal options that the Company is reasonably certain to exercise.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lease assets and obligations: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October 2, 2022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0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8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5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31,274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5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8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w:t>
            </w:r>
          </w:p>
        </w:tc>
        <w:tc>
          <w:tcPr>
            <w:tcW w:w="5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4,866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lease liabilities</w:t>
            </w:r>
          </w:p>
        </w:tc>
        <w:tc>
          <w:tcPr>
            <w:tcW w:w="5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26,950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98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508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31,816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80" w:type="dxa"/>
            <w:vAlign w:val="bottom"/>
            <w:vMerge w:val="restart"/>
          </w:tcPr>
          <w:p>
            <w:pPr>
              <w:jc w:val="right"/>
              <w:ind w:right="3590"/>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For the thirteen</w:t>
            </w:r>
          </w:p>
        </w:tc>
        <w:tc>
          <w:tcPr>
            <w:tcW w:w="120" w:type="dxa"/>
            <w:vAlign w:val="bottom"/>
          </w:tcPr>
          <w:p>
            <w:pPr>
              <w:spacing w:after="0"/>
              <w:rPr>
                <w:sz w:val="17"/>
                <w:szCs w:val="17"/>
                <w:color w:val="auto"/>
              </w:rPr>
            </w:pP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For the thirty-nine</w:t>
            </w:r>
          </w:p>
        </w:tc>
      </w:tr>
      <w:tr>
        <w:trPr>
          <w:trHeight w:val="203"/>
        </w:trPr>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380"/>
              <w:spacing w:after="0" w:line="203" w:lineRule="exact"/>
              <w:rPr>
                <w:sz w:val="20"/>
                <w:szCs w:val="20"/>
                <w:color w:val="auto"/>
              </w:rPr>
            </w:pPr>
            <w:r>
              <w:rPr>
                <w:rFonts w:ascii="Arial" w:cs="Arial" w:eastAsia="Arial" w:hAnsi="Arial"/>
                <w:sz w:val="18"/>
                <w:szCs w:val="18"/>
                <w:color w:val="auto"/>
                <w:w w:val="99"/>
              </w:rPr>
              <w:t>weeks ended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w w:val="98"/>
              </w:rPr>
              <w:t>weeks ended</w:t>
            </w:r>
          </w:p>
        </w:tc>
      </w:tr>
      <w:tr>
        <w:trPr>
          <w:trHeight w:val="196"/>
        </w:trPr>
        <w:tc>
          <w:tcPr>
            <w:tcW w:w="69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90"/>
              <w:spacing w:after="0" w:line="196" w:lineRule="exact"/>
              <w:rPr>
                <w:sz w:val="20"/>
                <w:szCs w:val="20"/>
                <w:color w:val="auto"/>
              </w:rPr>
            </w:pPr>
            <w:r>
              <w:rPr>
                <w:rFonts w:ascii="Arial" w:cs="Arial" w:eastAsia="Arial" w:hAnsi="Arial"/>
                <w:sz w:val="18"/>
                <w:szCs w:val="18"/>
                <w:color w:val="auto"/>
              </w:rPr>
              <w:t>October 2, 2022</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October 2, 2022</w:t>
            </w:r>
          </w:p>
        </w:tc>
        <w:tc>
          <w:tcPr>
            <w:tcW w:w="100" w:type="dxa"/>
            <w:vAlign w:val="bottom"/>
          </w:tcPr>
          <w:p>
            <w:pPr>
              <w:spacing w:after="0"/>
              <w:rPr>
                <w:sz w:val="17"/>
                <w:szCs w:val="17"/>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lease expense:</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4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expense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1,753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5,654</w:t>
            </w:r>
          </w:p>
        </w:tc>
      </w:tr>
      <w:tr>
        <w:trPr>
          <w:trHeight w:val="203"/>
        </w:trPr>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lease expense</w:t>
            </w:r>
          </w:p>
        </w:tc>
        <w:tc>
          <w:tcPr>
            <w:tcW w:w="1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1,849</w:t>
            </w:r>
          </w:p>
        </w:tc>
      </w:tr>
      <w:tr>
        <w:trPr>
          <w:trHeight w:val="203"/>
        </w:trPr>
        <w:tc>
          <w:tcPr>
            <w:tcW w:w="6940" w:type="dxa"/>
            <w:vAlign w:val="bottom"/>
          </w:tcPr>
          <w:p>
            <w:pPr>
              <w:ind w:left="160"/>
              <w:spacing w:after="0" w:line="202" w:lineRule="exact"/>
              <w:rPr>
                <w:sz w:val="20"/>
                <w:szCs w:val="20"/>
                <w:color w:val="auto"/>
              </w:rPr>
            </w:pPr>
            <w:r>
              <w:rPr>
                <w:rFonts w:ascii="Arial" w:cs="Arial" w:eastAsia="Arial" w:hAnsi="Arial"/>
                <w:sz w:val="18"/>
                <w:szCs w:val="18"/>
                <w:color w:val="auto"/>
              </w:rPr>
              <w:t>Variable lease expense</w:t>
            </w:r>
          </w:p>
        </w:tc>
        <w:tc>
          <w:tcPr>
            <w:tcW w:w="1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609</w:t>
            </w:r>
          </w:p>
        </w:tc>
      </w:tr>
      <w:tr>
        <w:trPr>
          <w:trHeight w:val="20"/>
        </w:trPr>
        <w:tc>
          <w:tcPr>
            <w:tcW w:w="6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expense</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2,547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8,112</w:t>
            </w:r>
          </w:p>
        </w:tc>
      </w:tr>
      <w:tr>
        <w:trPr>
          <w:trHeight w:val="183"/>
        </w:trPr>
        <w:tc>
          <w:tcPr>
            <w:tcW w:w="694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Supplemental cash flow information related to leases:</w:t>
            </w: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paid for amounts included in measurement of operating lease liabilities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5,424</w:t>
            </w:r>
          </w:p>
        </w:tc>
      </w:tr>
      <w:tr>
        <w:trPr>
          <w:trHeight w:val="203"/>
        </w:trPr>
        <w:tc>
          <w:tcPr>
            <w:tcW w:w="6940" w:type="dxa"/>
            <w:vAlign w:val="bottom"/>
          </w:tcPr>
          <w:p>
            <w:pPr>
              <w:ind w:left="160"/>
              <w:spacing w:after="0" w:line="202" w:lineRule="exact"/>
              <w:rPr>
                <w:sz w:val="20"/>
                <w:szCs w:val="20"/>
                <w:color w:val="auto"/>
              </w:rPr>
            </w:pPr>
            <w:r>
              <w:rPr>
                <w:rFonts w:ascii="Arial" w:cs="Arial" w:eastAsia="Arial" w:hAnsi="Arial"/>
                <w:sz w:val="18"/>
                <w:szCs w:val="18"/>
                <w:color w:val="auto"/>
              </w:rPr>
              <w:t>Right of use assets obtained in exchange for new operating lease liabilities</w:t>
            </w:r>
          </w:p>
        </w:tc>
        <w:tc>
          <w:tcPr>
            <w:tcW w:w="160" w:type="dxa"/>
            <w:vAlign w:val="bottom"/>
          </w:tcPr>
          <w:p>
            <w:pPr>
              <w:spacing w:after="0"/>
              <w:rPr>
                <w:sz w:val="17"/>
                <w:szCs w:val="17"/>
                <w:color w:val="auto"/>
              </w:rPr>
            </w:pPr>
          </w:p>
        </w:tc>
        <w:tc>
          <w:tcPr>
            <w:tcW w:w="1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13,769</w:t>
            </w:r>
          </w:p>
        </w:tc>
      </w:tr>
      <w:tr>
        <w:trPr>
          <w:trHeight w:val="202"/>
        </w:trPr>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Decapitalization of right-of-use assets upon lease termination and/or modification</w:t>
            </w:r>
          </w:p>
        </w:tc>
        <w:tc>
          <w:tcPr>
            <w:tcW w:w="1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12,178</w:t>
            </w:r>
          </w:p>
        </w:tc>
      </w:tr>
      <w:tr>
        <w:trPr>
          <w:trHeight w:val="419"/>
        </w:trPr>
        <w:tc>
          <w:tcPr>
            <w:tcW w:w="8860" w:type="dxa"/>
            <w:vAlign w:val="bottom"/>
            <w:gridSpan w:val="4"/>
          </w:tcPr>
          <w:p>
            <w:pPr>
              <w:spacing w:after="0"/>
              <w:rPr>
                <w:sz w:val="20"/>
                <w:szCs w:val="20"/>
                <w:color w:val="auto"/>
              </w:rPr>
            </w:pPr>
            <w:r>
              <w:rPr>
                <w:rFonts w:ascii="Arial" w:cs="Arial" w:eastAsia="Arial" w:hAnsi="Arial"/>
                <w:sz w:val="18"/>
                <w:szCs w:val="18"/>
                <w:color w:val="auto"/>
                <w:w w:val="99"/>
              </w:rPr>
              <w:t>Information associated with the measurement of operating lease obligations as of October 2, 2022 is as follows: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7"/>
                <w:szCs w:val="17"/>
                <w:color w:val="auto"/>
              </w:rPr>
            </w:pPr>
          </w:p>
        </w:tc>
      </w:t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5.72%</w:t>
            </w:r>
          </w:p>
        </w:tc>
      </w:tr>
      <w:tr>
        <w:trPr>
          <w:trHeight w:val="404"/>
        </w:trPr>
        <w:tc>
          <w:tcPr>
            <w:tcW w:w="8980" w:type="dxa"/>
            <w:vAlign w:val="bottom"/>
            <w:gridSpan w:val="5"/>
          </w:tcPr>
          <w:p>
            <w:pPr>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October 2,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spacing w:after="0"/>
              <w:rPr>
                <w:sz w:val="16"/>
                <w:szCs w:val="16"/>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 (excluding the thirty-nine weeks ended October 2, 2022)</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1,847</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6,830</w:t>
            </w: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5,583</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3,867</w:t>
            </w: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3,660</w:t>
            </w: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18,318</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40,105</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(8,289)</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31,816</w:t>
            </w:r>
          </w:p>
        </w:tc>
      </w:tr>
      <w:tr>
        <w:trPr>
          <w:trHeight w:val="20"/>
        </w:trPr>
        <w:tc>
          <w:tcPr>
            <w:tcW w:w="6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auto"/>
        </w:rPr>
        <w:t>For the 13-week and 39-week periods ended September 26, 2021, total rent expense under operating leases approximated $1,992 and $5,665.</w:t>
      </w:r>
    </w:p>
    <w:p>
      <w:pPr>
        <w:spacing w:after="0" w:line="183"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auto"/>
        </w:rPr>
        <w:t>In accordance with ASC 840, Leases, the aggregate minimum non-cancelable annual lease payments under operating leases in effect on December 31, 2021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w:t>
            </w:r>
          </w:p>
        </w:tc>
        <w:tc>
          <w:tcPr>
            <w:tcW w:w="24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6,320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5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4,766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5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2,813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8,546</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3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minimum lease commitments</w:t>
            </w:r>
          </w:p>
        </w:tc>
        <w:tc>
          <w:tcPr>
            <w:tcW w:w="5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33,957</w:t>
            </w:r>
          </w:p>
        </w:tc>
        <w:tc>
          <w:tcPr>
            <w:tcW w:w="24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5100" w:type="dxa"/>
            <w:vAlign w:val="bottom"/>
            <w:tcBorders>
              <w:top w:val="single" w:sz="8" w:color="CCEEFF"/>
            </w:tcBorders>
          </w:tcPr>
          <w:p>
            <w:pPr>
              <w:jc w:val="right"/>
              <w:ind w:right="3590"/>
              <w:spacing w:after="0"/>
              <w:rPr>
                <w:sz w:val="20"/>
                <w:szCs w:val="20"/>
                <w:color w:val="auto"/>
              </w:rPr>
            </w:pPr>
            <w:r>
              <w:rPr>
                <w:rFonts w:ascii="Arial" w:cs="Arial" w:eastAsia="Arial" w:hAnsi="Arial"/>
                <w:sz w:val="18"/>
                <w:szCs w:val="18"/>
                <w:color w:val="auto"/>
              </w:rPr>
              <w:t>27</w:t>
            </w:r>
          </w:p>
        </w:tc>
        <w:tc>
          <w:tcPr>
            <w:tcW w:w="5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5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RESTRUCTURING AND MANAGEMENT FEE COSTS</w:t>
      </w:r>
    </w:p>
    <w:p>
      <w:pPr>
        <w:spacing w:after="0" w:line="22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total acquisition, restructuring and management fee costs: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95"/>
        </w:trPr>
        <w:tc>
          <w:tcPr>
            <w:tcW w:w="5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October 2,</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8"/>
              </w:rPr>
              <w:t>September 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October 2,</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9"/>
              </w:rPr>
              <w:t>September</w:t>
            </w:r>
          </w:p>
        </w:tc>
        <w:tc>
          <w:tcPr>
            <w:tcW w:w="10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14"/>
                <w:szCs w:val="14"/>
                <w:color w:val="auto"/>
              </w:rPr>
              <w:t>(1)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36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228</w:t>
            </w:r>
          </w:p>
        </w:tc>
        <w:tc>
          <w:tcPr>
            <w:tcW w:w="22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1,625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3,439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xml:space="preserve">Restructuring </w:t>
            </w: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1,622</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1,265</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23,250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25,789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xml:space="preserve">Earn out adjustment </w:t>
            </w: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17,173</w:t>
            </w:r>
          </w:p>
        </w:tc>
      </w:tr>
      <w:tr>
        <w:trPr>
          <w:trHeight w:val="20"/>
        </w:trPr>
        <w:tc>
          <w:tcPr>
            <w:tcW w:w="5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acquisition, restructuring and management fees</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23,618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47,666</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38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Includes professional fees for legal, accounting, consulting, administrative, and other professional services directly attributable to potential acquisitions.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Includes costs incurred as part of the restructuring of operations including professional and consulting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Includes acquisition costs and management fees paid to Sentinel Capital Partners.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fair value adjustment to the contingent consideration payable from the Simpson acquisition.</w:t>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While the lawsuits and claims against the Company cannot be predicted with certainty, management believes that the ultimate resolution of the matters will not have a material effect on the consolidated financial position or results of operations of the Company.</w:t>
      </w:r>
    </w:p>
    <w:p>
      <w:pPr>
        <w:spacing w:after="0" w:line="189"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89" w:lineRule="exact"/>
        <w:rPr>
          <w:rFonts w:ascii="Arial" w:cs="Arial" w:eastAsia="Arial" w:hAnsi="Arial"/>
          <w:sz w:val="18"/>
          <w:szCs w:val="18"/>
          <w:b w:val="1"/>
          <w:bCs w:val="1"/>
          <w:color w:val="auto"/>
        </w:rPr>
      </w:pPr>
    </w:p>
    <w:p>
      <w:pPr>
        <w:ind w:left="3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0" w:type="dxa"/>
            <w:vAlign w:val="bottom"/>
            <w:gridSpan w:val="7"/>
          </w:tcPr>
          <w:p>
            <w:pPr>
              <w:jc w:val="right"/>
              <w:ind w:right="32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c>
          <w:tcPr>
            <w:tcW w:w="240" w:type="dxa"/>
            <w:vAlign w:val="bottom"/>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00"/>
              <w:spacing w:after="0" w:line="195" w:lineRule="exact"/>
              <w:rPr>
                <w:sz w:val="20"/>
                <w:szCs w:val="20"/>
                <w:color w:val="auto"/>
              </w:rPr>
            </w:pPr>
            <w:r>
              <w:rPr>
                <w:rFonts w:ascii="Arial" w:cs="Arial" w:eastAsia="Arial" w:hAnsi="Arial"/>
                <w:sz w:val="18"/>
                <w:szCs w:val="18"/>
                <w:color w:val="auto"/>
                <w:w w:val="99"/>
              </w:rPr>
              <w:t>October 2,</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8"/>
              </w:rPr>
              <w:t>September 26,</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rPr>
              <w:t>October 2,</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9"/>
              </w:rPr>
              <w:t>September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0" w:type="dxa"/>
            <w:vAlign w:val="bottom"/>
            <w:gridSpan w:val="2"/>
            <w:shd w:val="clear" w:color="auto" w:fill="CCEEFF"/>
          </w:tcPr>
          <w:p>
            <w:pPr>
              <w:jc w:val="center"/>
              <w:ind w:left="89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2,325</w:t>
            </w:r>
          </w:p>
        </w:tc>
        <w:tc>
          <w:tcPr>
            <w:tcW w:w="34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2,928</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3,994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3,989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6,535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2,027</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9,569</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5,461</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(2,310)</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(9,919)</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(6,805)</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20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020" w:type="dxa"/>
            <w:vAlign w:val="bottom"/>
          </w:tcPr>
          <w:p>
            <w:pPr>
              <w:spacing w:after="0"/>
              <w:rPr>
                <w:sz w:val="17"/>
                <w:szCs w:val="17"/>
                <w:color w:val="auto"/>
              </w:rPr>
            </w:pPr>
          </w:p>
        </w:tc>
        <w:tc>
          <w:tcPr>
            <w:tcW w:w="18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3,644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2,645</w:t>
            </w:r>
          </w:p>
        </w:tc>
        <w:tc>
          <w:tcPr>
            <w:tcW w:w="180" w:type="dxa"/>
            <w:vAlign w:val="bottom"/>
          </w:tcPr>
          <w:p>
            <w:pPr>
              <w:spacing w:after="0"/>
              <w:rPr>
                <w:sz w:val="17"/>
                <w:szCs w:val="17"/>
                <w:color w:val="auto"/>
              </w:rPr>
            </w:pPr>
          </w:p>
        </w:tc>
        <w:tc>
          <w:tcPr>
            <w:tcW w:w="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3,644</w:t>
            </w:r>
          </w:p>
        </w:tc>
        <w:tc>
          <w:tcPr>
            <w:tcW w:w="1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2,645</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42"/>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28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condensed consolidated financial statements and related notes thereto included in this Quarterly Report on Form 10-Q.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designer, marketer, and manufacturer of high 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The Company’s products are designed to enhance street, off-road, recreational and competitive vehicle performance and safety.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Innovation is at the core of our business and growth strategy with approximately 35% of our 2021 sales coming from products introduced by us into the market since 2016.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(“DTC”)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under the caption, "Cautionary Note Regarding Forward-Looking Statements," in this Quarterly Report on Form 10-Q, under the caption, “Risk Factors,” in our Annual Report on Form 10-K for the year ended December 31, 2021, as filed with the SEC on March 15, 2022, and in our subsequent filings with the SEC.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16, 2021 we consummated a business combination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("Holley Intermediate").</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Merger Agreement provided for, among other things, the following transactions: (i) Merger Sub I merged with and into Holley Intermediate, the separate corporate existence of Merger Sub I ceased and Holley Intermediate became the surviving corporation, and (ii) Holley Intermediate merged with and into Merger Sub II, the separate corporate existence of Holley Intermediate ceased and Merger Sub II became the surviving limited liability company. Upon closing, Empower changed its name to Holley Inc. and its trading symbol on the New York Stock Exchange (the “NYSE”) from “EMPW” to “HLLY.”</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Business Combination was accounted for as a reverse recapitalization. Holley Intermediate was deemed the accounting acquirer with Holley Inc. as the successor registrant. As such, Empower was treated as the acquired company for financial reporting purposes, and financial statements for periods prior to the Business Combination are those of Holley Intermediate.</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Business Combination, Holley Inc. listed on the NYSE, which required us to hire additional personnel and implement procedures and processes to address public company regulatory requirements and customary practices. We have incurred and expect to continue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Holley has historically pursued a growth strategy through both organic growth and acquisitions. The Company has pursued acquisitions that it believes will help drive profitability, cash flow and stockholder value. Holley targets companies that are market leaders, expand the Company’s geographic presence, provide a highly synergistic opportunity and/or enhance Holley’s ability to provide a wide array of its products to its customers through its distribution network.</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2022 and 2021 Holley completed three acquisitions and eight acquisitions, respectively. The most significant acquisitions impacting the comparability of our operating results were:</w:t>
      </w:r>
    </w:p>
    <w:p>
      <w:pPr>
        <w:spacing w:after="0" w:line="161" w:lineRule="exact"/>
        <w:rPr>
          <w:sz w:val="20"/>
          <w:szCs w:val="20"/>
          <w:color w:val="auto"/>
        </w:rPr>
      </w:pPr>
    </w:p>
    <w:p>
      <w:pPr>
        <w:jc w:val="both"/>
        <w:ind w:left="780" w:hanging="327"/>
        <w:spacing w:after="0" w:line="253"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Advance Engine Management Inc.</w:t>
      </w:r>
      <w:r>
        <w:rPr>
          <w:rFonts w:ascii="Arial" w:cs="Arial" w:eastAsia="Arial" w:hAnsi="Arial"/>
          <w:sz w:val="18"/>
          <w:szCs w:val="18"/>
          <w:color w:val="auto"/>
        </w:rPr>
        <w:t>: On April 14, 2021 Holley acquired Advance Engine Management Inc., doing business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AEM Performance Electronics, a developer and supplier of electronic control and monitoring systems for performance automotive applications. This acquisition increases Holley’s penetration into the import and other sport compact cars submarket.</w:t>
      </w:r>
    </w:p>
    <w:p>
      <w:pPr>
        <w:spacing w:after="0" w:line="155" w:lineRule="exact"/>
        <w:rPr>
          <w:rFonts w:ascii="Arial" w:cs="Arial" w:eastAsia="Arial" w:hAnsi="Arial"/>
          <w:sz w:val="18"/>
          <w:szCs w:val="18"/>
          <w:color w:val="auto"/>
        </w:rPr>
      </w:pPr>
    </w:p>
    <w:p>
      <w:pPr>
        <w:jc w:val="both"/>
        <w:ind w:left="780" w:hanging="327"/>
        <w:spacing w:after="0" w:line="253"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Brothers Mail Order Industries, Inc.</w:t>
      </w:r>
      <w:r>
        <w:rPr>
          <w:rFonts w:ascii="Arial" w:cs="Arial" w:eastAsia="Arial" w:hAnsi="Arial"/>
          <w:sz w:val="18"/>
          <w:szCs w:val="18"/>
          <w:color w:val="auto"/>
        </w:rPr>
        <w:t>: On December 16, 2021, Holley acquired Brothers Mail Order Industries, Inc., doing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Brothers Trucks, a distributor of classic and custom vehicle restoration parts serving the Chevrolet and GMC truck aftermarket. This acquisition increases Holley's offerings in truck and SUV appearance items.</w:t>
      </w:r>
    </w:p>
    <w:p>
      <w:pPr>
        <w:spacing w:after="0" w:line="155" w:lineRule="exact"/>
        <w:rPr>
          <w:rFonts w:ascii="Arial" w:cs="Arial" w:eastAsia="Arial" w:hAnsi="Arial"/>
          <w:sz w:val="18"/>
          <w:szCs w:val="18"/>
          <w:color w:val="auto"/>
        </w:rPr>
      </w:pPr>
    </w:p>
    <w:p>
      <w:pPr>
        <w:jc w:val="both"/>
        <w:ind w:left="780" w:hanging="327"/>
        <w:spacing w:after="0" w:line="253"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Baer, Inc.</w:t>
      </w:r>
      <w:r>
        <w:rPr>
          <w:rFonts w:ascii="Arial" w:cs="Arial" w:eastAsia="Arial" w:hAnsi="Arial"/>
          <w:sz w:val="18"/>
          <w:szCs w:val="18"/>
          <w:color w:val="auto"/>
        </w:rPr>
        <w:t>: On December 23, 2021, Holley acquired Baer, Inc., doing business as Baer Brakes, a developer and supplier of brakes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brake systems. This acquisition moves Holley closer to its goal of providing complete vehicle solutions by adding a new product category and brake system expertise.</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acquisitions have all been accounted for in accordance with FASB ASC Topic 805, Business Combinations, and the operations of the acquired entities are included in our historical results for the periods following the closing of the acquisition. See Note 1, “</w:t>
      </w:r>
      <w:r>
        <w:rPr>
          <w:rFonts w:ascii="Arial" w:cs="Arial" w:eastAsia="Arial" w:hAnsi="Arial"/>
          <w:sz w:val="18"/>
          <w:szCs w:val="18"/>
          <w:i w:val="1"/>
          <w:iCs w:val="1"/>
          <w:color w:val="auto"/>
        </w:rPr>
        <w:t>Description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Basis of Presentation, and Summary of Significant Accounting Policies,</w:t>
      </w:r>
      <w:r>
        <w:rPr>
          <w:rFonts w:ascii="Arial" w:cs="Arial" w:eastAsia="Arial" w:hAnsi="Arial"/>
          <w:sz w:val="18"/>
          <w:szCs w:val="18"/>
          <w:color w:val="auto"/>
        </w:rPr>
        <w:t>” and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to the Condensed Consolidated Financial Statements included elsewhere in this Quarterly Report on Form 10-Q for additional information related to the Company’s acquisitions and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COVID-19 has adversely impacted global supply chain and general economic conditions. The Company has continued to experience disruptions and higher costs in manufacturing, supply chain, logistical operations, and shortages of certain Company products in distribution channels. The full extent of COVID-19's effect on the Company's operational and financial performance in the future will depend on future developments, including but not limited to the duration, spread, intensity and phase of the pandemic in various countries; the emergence of COVID-19 variants and the utilization and effectiveness of treatments and vaccines against these variants; the further impact of COVID-19 on the global economy; and demand for the Company's products and services. Should the ongoing COVID-19 pandemic not improve, or worsen, or if the Company's attempt to mitigate its impact on its supply chain, operations and costs is not successful, the Company's business, results of operations, and financial condition may be adversely affected.</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business and results of operations, financial condition, and liquidity are impacted by broad economic conditions including inflation, labor shortages, and disruption of the supply chain, as well as by geopolitical events, specifically the conflict in Ukraine. The Company's operations have been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the Company has attempted to minimize potential adverse impacts on its business with cost savings initiatives, price increases to customers, and by increasing inventory levels of certain products and working closely with its suppliers and customers to minimize disruptions in delivering products to customers.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principal activity from which the Company generates its sales is the designing, marketing, manufacturing and distribution of performance after-market automotive parts for its end consumers. Sales are displayed net of rebates and sales returns allowances. Sales returns are recorded as a charge against gross sales in the period in which the related sales are recognized.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Selling, general, and administrative consist of payroll and related personnel expenses, IT and office services, office rent expense and professional services. In addition, self-insurance, advertising, research and development, pre-production and start-up costs are also included within selling, general, and administrative. The Company expects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Acquisition and restructuring costs consist of professional fees for legal, accounting, consulting, administrative, and other professional services directly attributable to potential acquisitions. In addition, operational restructuring costs are included within this classification.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Related party acquisition and management fee costs consist of fees paid to the Company’s private equity sponsor pursuant to a management services agreement for management services and consulting services directly attributable to potential acquisitions. Upon the Closing of the Business Combination, the management services agreement with our private equity sponsor was terminated.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LIBOR or the prime rate, plus the applicable margin rate. As of October 2, 2022, $650.9 million was outstanding under the Company's Credit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October 2, 2022 Compared With 13-Week Period Ended September 26, 2021</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table below presents Holley’s results of operations for the 13-week periods ended October 2, 2022 and September 26, 2021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color w:val="auto"/>
              </w:rPr>
              <w:t>For the thirteen weeks ended</w:t>
            </w:r>
          </w:p>
        </w:tc>
        <w:tc>
          <w:tcPr>
            <w:tcW w:w="1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w w:val="97"/>
              </w:rPr>
              <w:t>October 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9"/>
              </w:rPr>
              <w:t>September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5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26, 2021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7"/>
              </w:rPr>
              <w:t>Change ($)</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17"/>
                <w:szCs w:val="17"/>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154,775</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159,673</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(4,898)</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106,383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94,475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11,908</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12.6%</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65,198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(16,806)</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(25.8%)</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31,921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28,891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3,030</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(1,094)</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2,395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2"/>
        </w:trPr>
        <w:tc>
          <w:tcPr>
            <w:tcW w:w="5940" w:type="dxa"/>
            <w:vAlign w:val="bottom"/>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898</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244.0%</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23,250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(23,250)</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(47.2%)</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1,148</w:t>
            </w: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60.0%</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(30,171)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17,273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(47,444)</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(14,295)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(1,425)</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577</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30,234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(33,501)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63,735</w:t>
            </w:r>
          </w:p>
        </w:tc>
        <w:tc>
          <w:tcPr>
            <w:tcW w:w="13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nm</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1,956</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31,579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(30,200)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61,779</w:t>
            </w:r>
          </w:p>
        </w:tc>
        <w:tc>
          <w:tcPr>
            <w:tcW w:w="13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nm</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547</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82" w:lineRule="exact"/>
              <w:rPr>
                <w:sz w:val="20"/>
                <w:szCs w:val="20"/>
                <w:color w:val="auto"/>
              </w:rPr>
            </w:pPr>
            <w:r>
              <w:rPr>
                <w:rFonts w:ascii="Arial" w:cs="Arial" w:eastAsia="Arial" w:hAnsi="Arial"/>
                <w:sz w:val="18"/>
                <w:szCs w:val="18"/>
                <w:color w:val="auto"/>
              </w:rPr>
              <w:t>Total comprehensive income (loss)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32,095</w:t>
            </w:r>
          </w:p>
        </w:tc>
        <w:tc>
          <w:tcPr>
            <w:tcW w:w="14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(30,231)</w:t>
            </w: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62,326</w:t>
            </w:r>
          </w:p>
        </w:tc>
        <w:tc>
          <w:tcPr>
            <w:tcW w:w="13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nm</w:t>
            </w: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sales for the 13-week period ended October 2, 2022 decreased $4.9 million, or 3.1%, to $154.8 million, as compared to $159.7 million for the 13-week period ended September 26, 2021. Non-comparable sales associated with acquisitions contributed $ 7.7 million, or 4.8% of year-over-year growth. The remaining comparable sales decreased by $12.6 million, or 7.9%, compared to the prior year quarter, offsetting the impact from the acquisitions. The decline in comparable sales was primarily driven by supply chain constraints that prevented us from building and shipping to orders received from our customers. As a result, lower unit volume drove a decrease of approximately $24.0 million that was partially offset by improved price realization of approximately $11.4 million compared to the prior year period. Comparable year-over-year results by category include a decrease in electronic systems sales of $11.5 million (15.7% category decline), a decrease in exhaust system sales of $1.8 million (10.8% category decline), a decrease in mechanical systems sales of $1.0 million (2.8% category decline), and accessories sales growth of $1.8 million (8.6% category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Cost of goods sold for the 13-week period ended October 2, 2022 increased$11.9 million, or 12.6%, to $106.4 million, as compared to $94.5 million for the 13-week period ended September 26, 2021. The increase in cost of goods sold during the 13-week period ended October 2, 2022 in which net sales decreased reflects compression in gross profit margin primarily due to manufacturing inefficiencies driven by supply chain constraints, higher warranty costs, which increased $4.5 million compared to the prior year period, and inflationary pressures on certain other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Gross profit for the 13-week period ended October 2, 2022 decreased $16.8 million, or 25.8%, to $48.4 million, as compared to $65.2 million for the 13-week period ended September 26, 2021. Gross margin for the 13-week period ended October 2, 2022 of 31.3% decreased as compared to a gross margin of 40.8% for the 13-week period ended September 26, 2021. The decrease in gross profit and gross profit margin was driven primarily by inflationary factors, higher expenses associated with warranty costs, and a shift in the mix of products sold towards products with lower margins due in part to limitations caused by supply chain challenges. In general, gross margin and margins on individual products will remain under pressure due to various factors, including potential increases in manufacturing costs and the shift of the Company's sales mix towards products with lower gross margins. Gross margins could also be affected by the Company's ability to manage product quality and warranty costs effectively and to stimulate demand for certain of its products.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Selling, general and administrative costs for the 13-week period ended October 2, 2022 increased $3.0 million, or 10.5%, to $31.9 million, as compared to $28.9 million for the 13-week period ended September 26, 2021. When expressed as a percentage of sales, selling, general and administrative costs increased to 20.6% of sales for the 13-week period ended October 2, 2022, as compared to 18.1% of sales in 2021. The increase in selling, general and administrative costs was driven by a $2.6 million increase in outbound shipping and handling costs related to inflationary pressures from domestic shipping companies and an increase of $1.0 million attributable to recent acquisitions. Partially offsetting these increases was a decrease of $1.6 million in administrative and sales personnel costs, reflecting the Company's implementation of recent cost saving initiatives.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Research and development costs for the 13-week period ended October 2, 2022 decreased $1.1 million, or 15.3%, to $6.0 million, as compared to $7.1 million for the 13-week period ended September 26, 2021. The decrease in research and development costs was primarily due to headcount reductions, reflecting the Company's implementation of recent cost saving initiatives.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Amortization of intangible assets for the 13-week period ended October 2, 2022 was stable at $3.7 million as compared to $3.6 million for the 13-week period ended September 26, 2021. Additionally, an impairment charge of $2.4 million was recognized on certain indefinite-lived tradenames during the 13-week period ended October 2, 2022 (see Note 5,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recognition of impairment charges).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Acquisition and restructuring costs for the 13-week period ended October 2, 2022 increased $ 0.9 million to $1.3 million, as compared to $0.4 million for the 13-week period ended September 26, 2021. This increase primarily reflects restructuring activities associated with recent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the Business Combination, the management services agreement with our private equity sponsor was terminated.</w:t>
      </w:r>
    </w:p>
    <w:p>
      <w:pPr>
        <w:spacing w:after="0"/>
        <w:rPr>
          <w:sz w:val="20"/>
          <w:szCs w:val="20"/>
          <w:color w:val="auto"/>
        </w:rPr>
      </w:pPr>
      <w:r>
        <w:rPr>
          <w:rFonts w:ascii="Arial" w:cs="Arial" w:eastAsia="Arial" w:hAnsi="Arial"/>
          <w:sz w:val="18"/>
          <w:szCs w:val="18"/>
          <w:color w:val="auto"/>
        </w:rPr>
        <w:t>Related party acquisition and management fee costs for the 13-week period ended September 26, 2021 were $23.3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factors described above, operating income for the 13-week period ended October 2, 2022 increased $1.2 million, or 60.0%, to $3.1 million, as compared to $1.9 million for the 13-week period ended September 26,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13-week period ended October 2, 2022 we recognized a gain of $30.2 million from the change in fair value of the warrant liability as compared to a loss of $17.3 million for the 13-week period ended September 26, 2021. The warrant liability reflects the fair value of the warrants issued in connection with the Business Combination.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13-week period ended October 2, 2022 we recognized a gain of $7.4 million from the change in fair value of the earn-out liability as compared to a loss of $6.9 million for the 13-week period ended September 26, 2021. The earn-out liability reflects the fair value of the earn-out shares resulting from the Business Combination.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expense for the 13-week period ended October 2, 2022 increased $0.6 million, or 5.9%, to $10.4 million, as compared to $9.9 million for the 13-week period ended September 26, 2021, reflecting a higher level of debt and a higher effective interest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8"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As a result of factors described above, we recognized $ 30.2 million of income before income taxes for the 13-week period ended October 2, 2022, as compared to a pre-tax loss of $33.5 million for the 13-week period ended September 26,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Income tax benefit for the 13-week period ended October 2, 2022 was $1.4 million, as compared to an income tax benefit of $3.3 million for the 13-week period ended September 26, 2021. The difference between the effective tax rate for the 13-week period ended October 2, 2022 and the federal statutory rate in 2022 was primarily due to permanent differences resulting from the change in fair value of the warrant and earn-out liabilities</w:t>
      </w:r>
      <w:r>
        <w:rPr>
          <w:rFonts w:ascii="Arial" w:cs="Arial" w:eastAsia="Arial" w:hAnsi="Arial"/>
          <w:sz w:val="18"/>
          <w:szCs w:val="18"/>
          <w:b w:val="1"/>
          <w:bCs w:val="1"/>
          <w:color w:val="auto"/>
        </w:rPr>
        <w:t>.</w:t>
      </w:r>
      <w:r>
        <w:rPr>
          <w:rFonts w:ascii="Arial" w:cs="Arial" w:eastAsia="Arial" w:hAnsi="Arial"/>
          <w:sz w:val="18"/>
          <w:szCs w:val="18"/>
          <w:color w:val="auto"/>
        </w:rPr>
        <w:t xml:space="preserve"> The effective tax rate for the 13-week period ended September 26, 2021 was 9.9%. The difference between the effective tax rate and the federal statutory rate in 2021 was primarily due to permanent differences resulting from the change in fair value of the warrant and earn-out liabilities</w:t>
      </w:r>
      <w:r>
        <w:rPr>
          <w:rFonts w:ascii="Arial" w:cs="Arial" w:eastAsia="Arial" w:hAnsi="Arial"/>
          <w:sz w:val="18"/>
          <w:szCs w:val="18"/>
          <w:color w:val="CC0000"/>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Total Comprehensive Income (Loss)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factors described above, we recognized net income of $31.6 million for the 13-week period ended October 2, 2022, as compared to a net loss of $ 30.2 million for the 13-week period ended September 26, 2021. Additionally, we recognized total comprehensive income of $32.1 million for the 13-week period ended October 2, 2022, as compared to a comprehensive loss of $30.2 million for the 13-week period ended September 26, 2021. Comprehensive income (loss) includes the effect of foreign currency translation adjustments.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39-week period ended October 2, 2022 Compared With 39-week period ended September 26, 2021</w:t>
      </w:r>
    </w:p>
    <w:p>
      <w:pPr>
        <w:spacing w:after="0" w:line="153"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The table below presents Holley’s results of operations for the 39-week periods ended October 2, 2022 and September 26, 2021 (dollars in thousands):</w:t>
      </w:r>
    </w:p>
    <w:tbl>
      <w:tblPr>
        <w:tblLayout w:type="fixed"/>
        <w:tblInd w:w="0" w:type="dxa"/>
        <w:tblCellMar>
          <w:top w:w="0" w:type="dxa"/>
          <w:left w:w="0" w:type="dxa"/>
          <w:bottom w:w="0" w:type="dxa"/>
          <w:right w:w="0" w:type="dxa"/>
        </w:tblCellMar>
      </w:tblPr>
      <w:tr>
        <w:trPr>
          <w:trHeight w:val="205"/>
        </w:trPr>
        <w:tc>
          <w:tcPr>
            <w:tcW w:w="5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8"/>
          </w:tcPr>
          <w:p>
            <w:pPr>
              <w:jc w:val="right"/>
              <w:ind w:right="160"/>
              <w:spacing w:after="0" w:line="205" w:lineRule="exact"/>
              <w:rPr>
                <w:sz w:val="20"/>
                <w:szCs w:val="20"/>
                <w:color w:val="auto"/>
              </w:rPr>
            </w:pPr>
            <w:r>
              <w:rPr>
                <w:rFonts w:ascii="Arial" w:cs="Arial" w:eastAsia="Arial" w:hAnsi="Arial"/>
                <w:sz w:val="18"/>
                <w:szCs w:val="18"/>
                <w:color w:val="auto"/>
              </w:rPr>
              <w:t>For the thirty-nine weeks ended</w:t>
            </w:r>
          </w:p>
        </w:tc>
        <w:tc>
          <w:tcPr>
            <w:tcW w:w="1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w w:val="97"/>
              </w:rPr>
              <w:t>October 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9"/>
              </w:rPr>
              <w:t>September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5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26, 2021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17"/>
                <w:szCs w:val="17"/>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534,250</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513,046</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21,204</w:t>
            </w: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4.1%</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327,849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300,969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26,880</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206,401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212,077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(5,676)</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102,532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79,093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23,439</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29.6%</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2,229</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10,985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10,391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594</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2,395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21,877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(18,630)</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(85.2%)</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25,789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(25,789)</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591</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64,252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54,757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9,495</w:t>
            </w: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17.3%</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(51,112)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17,273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(68,385)</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(16,148)</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(1,425)</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31,096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(4,316)</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97,866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99,769</w:t>
            </w:r>
          </w:p>
        </w:tc>
        <w:tc>
          <w:tcPr>
            <w:tcW w:w="13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nm</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1,611</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22.2%</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89,000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(9,158)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98,158</w:t>
            </w:r>
          </w:p>
        </w:tc>
        <w:tc>
          <w:tcPr>
            <w:tcW w:w="13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nm</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1,270</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6"/>
        </w:trPr>
        <w:tc>
          <w:tcPr>
            <w:tcW w:w="5940" w:type="dxa"/>
            <w:vAlign w:val="bottom"/>
          </w:tcPr>
          <w:p>
            <w:pPr>
              <w:spacing w:after="0" w:line="182" w:lineRule="exact"/>
              <w:rPr>
                <w:sz w:val="20"/>
                <w:szCs w:val="20"/>
                <w:color w:val="auto"/>
              </w:rPr>
            </w:pPr>
            <w:r>
              <w:rPr>
                <w:rFonts w:ascii="Arial" w:cs="Arial" w:eastAsia="Arial" w:hAnsi="Arial"/>
                <w:sz w:val="18"/>
                <w:szCs w:val="18"/>
                <w:color w:val="auto"/>
              </w:rPr>
              <w:t>Total comprehensive income (loss)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90,258</w:t>
            </w:r>
          </w:p>
        </w:tc>
        <w:tc>
          <w:tcPr>
            <w:tcW w:w="120" w:type="dxa"/>
            <w:vAlign w:val="bottom"/>
          </w:tcPr>
          <w:p>
            <w:pPr>
              <w:spacing w:after="0"/>
              <w:rPr>
                <w:sz w:val="17"/>
                <w:szCs w:val="17"/>
                <w:color w:val="auto"/>
              </w:rPr>
            </w:pP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(9,170)</w:t>
            </w: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99,428</w:t>
            </w:r>
          </w:p>
        </w:tc>
        <w:tc>
          <w:tcPr>
            <w:tcW w:w="13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nm</w:t>
            </w: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Net sales for the 39-week period ended October 2, 2022 </w:t>
      </w:r>
      <w:r>
        <w:rPr>
          <w:rFonts w:ascii="Arial" w:cs="Arial" w:eastAsia="Arial" w:hAnsi="Arial"/>
          <w:sz w:val="18"/>
          <w:szCs w:val="18"/>
          <w:color w:val="333333"/>
        </w:rPr>
        <w:t>increased</w:t>
      </w:r>
      <w:r>
        <w:rPr>
          <w:rFonts w:ascii="Arial" w:cs="Arial" w:eastAsia="Arial" w:hAnsi="Arial"/>
          <w:sz w:val="18"/>
          <w:szCs w:val="18"/>
          <w:color w:val="auto"/>
        </w:rPr>
        <w:t xml:space="preserve"> $21.2 million, or 4.1%, to $534.3 million, as compared to $513.1 million for the 39-week period ended September 26, 2021. Non-comparable sales associated with acquisitions contributed $25.4 million, or 5.0% of total year-over-year growth. The remaining comparable sales for the year-to-date period decreased by $4.2 million, or 0.8%. The decline in comparable sales was primarily driven by supply chain constraints that prevented us from building and shipping to orders received from our customers. As a result, lower unit volume drive a decrease of approximately $47.1 million that was partially offset by improved price realization of approximately $ 42.9 million compared to the prior year period.Comparable year-over-year results by category include a decrease in electronic system sales of $13.2 million (5.7% category decline), a decrease in exhaust system sales of $7.8 million (12.9% category decline), accessories sales growth of $9.8 million (16.1% category growth), safety product sales growth of $3.7 million (7.6% category growth), and mechanical system sales growth of $3.3 million (3.0% category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Cost of goods sold for the 39-week period ended October 2, 2022 increased $26.9 million, or 8.9%, to $327.9 million, as compared to $301.0 million for the 39-week period ended September 26, 2021. The increase in cost of goods sold during the 39-week period ended October 2, 2022 reflects the increase in product sales during such period combined with compression in gross profit margin due to manufacturing inefficiencies driven by supply chain constraints, higher warranty costs, which increased $4.1 million compared to the prior year, and inflationary pressures on certain other costs.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Gross profit for the 39-week period ended October 2, 2022 </w:t>
      </w:r>
      <w:r>
        <w:rPr>
          <w:rFonts w:ascii="Arial" w:cs="Arial" w:eastAsia="Arial" w:hAnsi="Arial"/>
          <w:sz w:val="18"/>
          <w:szCs w:val="18"/>
          <w:color w:val="333333"/>
        </w:rPr>
        <w:t>decreased</w:t>
      </w:r>
      <w:r>
        <w:rPr>
          <w:rFonts w:ascii="Arial" w:cs="Arial" w:eastAsia="Arial" w:hAnsi="Arial"/>
          <w:sz w:val="18"/>
          <w:szCs w:val="18"/>
          <w:color w:val="auto"/>
        </w:rPr>
        <w:t xml:space="preserve"> $5.7 million, or 2.7%, to $ 206.4 million, as compared to $212.1 million for the 39-week period ended September 26, 2021. Gross margin for the 39-week period ended October 2, 2022 of 38.6% decreased from gross margin of 41.3% for the 39-week period ended September 26, 2021. The decrease in gross profit and gross profit margin was driven primarily by inflationary factors, higher expenses associated with warranty costs, and a shift in the mix of products sold towards products with lower margins due in part to limitations caused by supply chain challenges. In general, gross margin and margins on individual products will remain under pressure due to various factors, including potential increases in manufacturing costs and the shift of the Company's sales mix towards products with lower gross margins. Gross margins could also be affected by the Company's ability to manage product quality and warranty costs effectively and to stimulate demand for certain of its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Selling, general and administrative costs for the 39-week period ended October 2, 2022 </w:t>
      </w:r>
      <w:r>
        <w:rPr>
          <w:rFonts w:ascii="Arial" w:cs="Arial" w:eastAsia="Arial" w:hAnsi="Arial"/>
          <w:sz w:val="18"/>
          <w:szCs w:val="18"/>
          <w:color w:val="333333"/>
        </w:rPr>
        <w:t>increased</w:t>
      </w:r>
      <w:r>
        <w:rPr>
          <w:rFonts w:ascii="Arial" w:cs="Arial" w:eastAsia="Arial" w:hAnsi="Arial"/>
          <w:sz w:val="18"/>
          <w:szCs w:val="18"/>
          <w:color w:val="auto"/>
        </w:rPr>
        <w:t xml:space="preserve"> $23.4 million, or 29.6%, to $102.5 million, as compared to $79.1 million for the 39-week period ended September 26, 2021. When expressed as a percentage of sales, selling, general and administrative costs increased to 19.2% of sales for the 39-week period ended October 2, 2022, as compared to 15.4% of sales in 2021. Recent acquisitions accounted for $2.7 million of the increase in selling, general and administrative costs. The increase in costs was also driven by a $6.8 million increase in compensation expense related to equity awards, a $3.0 million increase in administrative and sales personnel costs, reflecting company growth and the additional requirements of becoming a public company, and a $5.0 million increase in outbound shipping and handling costs related to inflationary pressures from domestic shipping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Research and development costs for the 39-week period ended October 2, 2022 </w:t>
      </w:r>
      <w:r>
        <w:rPr>
          <w:rFonts w:ascii="Arial" w:cs="Arial" w:eastAsia="Arial" w:hAnsi="Arial"/>
          <w:sz w:val="18"/>
          <w:szCs w:val="18"/>
          <w:color w:val="333333"/>
        </w:rPr>
        <w:t>increased</w:t>
      </w:r>
      <w:r>
        <w:rPr>
          <w:rFonts w:ascii="Arial" w:cs="Arial" w:eastAsia="Arial" w:hAnsi="Arial"/>
          <w:sz w:val="18"/>
          <w:szCs w:val="18"/>
          <w:color w:val="auto"/>
        </w:rPr>
        <w:t xml:space="preserve"> $ 2.2 million, or 11.1%, to $22.4 million, as compared to $20.2 million for the 39-week period ended September 26, 2021. The increase in research and development costs were primarily due to headcount investments as we continue to pursue product innovation and new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Amortization of intangible assets for the 39-week period ended October 2, 2022 </w:t>
      </w:r>
      <w:r>
        <w:rPr>
          <w:rFonts w:ascii="Arial" w:cs="Arial" w:eastAsia="Arial" w:hAnsi="Arial"/>
          <w:sz w:val="18"/>
          <w:szCs w:val="18"/>
          <w:color w:val="333333"/>
        </w:rPr>
        <w:t>increased</w:t>
      </w:r>
      <w:r>
        <w:rPr>
          <w:rFonts w:ascii="Arial" w:cs="Arial" w:eastAsia="Arial" w:hAnsi="Arial"/>
          <w:sz w:val="18"/>
          <w:szCs w:val="18"/>
          <w:color w:val="auto"/>
        </w:rPr>
        <w:t xml:space="preserve"> $0.6 million, or 5.7%, to $11.0 million, as compared to $10.4 million for the 39-week period ended September 26, 2021 due to recent acquisitions. Additionally, an impairment charge of $2.4 million was recognized on certain indefinite-lived tradenames during the 39-week period ended October 2, 2022 (see Note 5, </w:t>
      </w: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in the Notes to the Condensed Consolidated Financial Statements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for additional information related to the Company's recognition of impairment charges).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Acquisition and restructuring costs for the 39-week period ended October 2, 2022 </w:t>
      </w:r>
      <w:r>
        <w:rPr>
          <w:rFonts w:ascii="Arial" w:cs="Arial" w:eastAsia="Arial" w:hAnsi="Arial"/>
          <w:sz w:val="18"/>
          <w:szCs w:val="18"/>
          <w:color w:val="333333"/>
        </w:rPr>
        <w:t>decreased</w:t>
      </w:r>
      <w:r>
        <w:rPr>
          <w:rFonts w:ascii="Arial" w:cs="Arial" w:eastAsia="Arial" w:hAnsi="Arial"/>
          <w:sz w:val="18"/>
          <w:szCs w:val="18"/>
          <w:color w:val="auto"/>
        </w:rPr>
        <w:t xml:space="preserve"> $18.6 million, or 85.2%, to $3.3 million, as compared to $21.9 million for the 39-week period ended September 26, 2021. The 39-week period ended September 26, 2021 included an adjustment of $17.2 million for contingent consideration payable for the acquisition of Simpson Performance Products ("Simpson").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the Business Combination, the management services agreement with our private equity sponsor was terminated.</w:t>
      </w:r>
    </w:p>
    <w:p>
      <w:pPr>
        <w:spacing w:after="0"/>
        <w:rPr>
          <w:sz w:val="20"/>
          <w:szCs w:val="20"/>
          <w:color w:val="auto"/>
        </w:rPr>
      </w:pPr>
      <w:r>
        <w:rPr>
          <w:rFonts w:ascii="Arial" w:cs="Arial" w:eastAsia="Arial" w:hAnsi="Arial"/>
          <w:sz w:val="18"/>
          <w:szCs w:val="18"/>
          <w:color w:val="auto"/>
        </w:rPr>
        <w:t>Related party acquisition and management fee costs for the 39-week period ended September 26, 2021 were $25.8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factors described above, operating income for the 39-week period ended October 2, 2022 increased $9.5 million, or 17.3%, to $64.3 million, as compared to $54.8 million for the 39-week period ended September 26,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39-week period ended October 2, 2022 we recognized a gain of $51.1 million from the change in fair value of the warrant liability as compared to a loss of $17.3 million for the 39-week period ended September 26, 2021. The warrant liability reflects the fair value of the warrants issued in connection with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39-week period ended October 2, 2022 we recognized a gain of $9.3 million from the change in fair value of the earn-out liability as compared to a loss of $6.9 million for the 39-week period ended September 26, 2021. The earn-out liability reflects the fair value of the earn-out shares resulting from the Business Combination. During the first quarter of 2022, the first tranche, representing half of the Earn-Out Shares, met the required market share price criteria and were issued. This issuance of the Company's common stock resulted in a reduction of the earn-out liability of $14.7 million, representing the fair value of the earn-out shares on the vesting date, which was reclassified from liabilities to equity. At October 2, 2022, there are 1,093,750 potential future Earn-Out Shares remaining.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Interest expense for the 39-week period ended October 2, 2022 decreased $4.3 million, or 13.9%, to $26.8 million, as compared to $ 31.1 million for the 39-week period ended September 26, 2021. The decrease was primarily due to a lower effective interest rate combined with the favorable impact of the $100 million paydown on our second lien note in July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 xml:space="preserve">As a result of factors described above, we recognized </w:t>
      </w:r>
      <w:r>
        <w:rPr>
          <w:rFonts w:ascii="Arial" w:cs="Arial" w:eastAsia="Arial" w:hAnsi="Arial"/>
          <w:sz w:val="18"/>
          <w:szCs w:val="18"/>
          <w:color w:val="333333"/>
        </w:rPr>
        <w:t>income before income taxes of</w:t>
      </w:r>
      <w:r>
        <w:rPr>
          <w:rFonts w:ascii="Arial" w:cs="Arial" w:eastAsia="Arial" w:hAnsi="Arial"/>
          <w:sz w:val="18"/>
          <w:szCs w:val="18"/>
          <w:color w:val="auto"/>
        </w:rPr>
        <w:t xml:space="preserve"> $97.9 million for the 39-week period ended October 2, 2022, as compared to a pre-tax loss of $1.9 million for the 39-week period ended September 26,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Income tax expense of $8.9 million for the 39-week period ended October 2, 2022 increased by $1.6 million as compared to $7.3 million for the 39-week period ended September 26, 2021. The effective tax rate for the 39-week period ended October 2, 2022 was 9.1%. The difference between the effective tax rate and the federal statutory rate in 2022 was primarily due to permanent differences resulting from the change in fair value of the warrant and earn-out liabilities</w:t>
      </w:r>
      <w:r>
        <w:rPr>
          <w:rFonts w:ascii="Arial" w:cs="Arial" w:eastAsia="Arial" w:hAnsi="Arial"/>
          <w:sz w:val="18"/>
          <w:szCs w:val="18"/>
          <w:b w:val="1"/>
          <w:bCs w:val="1"/>
          <w:color w:val="CC0000"/>
        </w:rPr>
        <w:t>.</w:t>
      </w:r>
      <w:r>
        <w:rPr>
          <w:rFonts w:ascii="Arial" w:cs="Arial" w:eastAsia="Arial" w:hAnsi="Arial"/>
          <w:sz w:val="18"/>
          <w:szCs w:val="18"/>
          <w:color w:val="auto"/>
        </w:rPr>
        <w:t xml:space="preserve"> The difference between the effective tax rate for the 39-week period ended September 26, 2021and the federal statutory rate in 2021 was due to the permanent difference resulting from the adjustment to the Simpson earn-out liability during the period and the change in fair value of the warrant and earn-out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Total Comprehensive Income (Loss)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factors described above, we recognize</w:t>
      </w:r>
      <w:r>
        <w:rPr>
          <w:rFonts w:ascii="Arial" w:cs="Arial" w:eastAsia="Arial" w:hAnsi="Arial"/>
          <w:sz w:val="18"/>
          <w:szCs w:val="18"/>
          <w:color w:val="333333"/>
        </w:rPr>
        <w:t>d net income o</w:t>
      </w:r>
      <w:r>
        <w:rPr>
          <w:rFonts w:ascii="Arial" w:cs="Arial" w:eastAsia="Arial" w:hAnsi="Arial"/>
          <w:sz w:val="18"/>
          <w:szCs w:val="18"/>
          <w:color w:val="auto"/>
        </w:rPr>
        <w:t xml:space="preserve">f $89.0 million for the 39-week period ended October 2, 2022, as compared to a net loss of $9.2 million for the 39-week period ended September 26, 2021. Additionally, we recognized </w:t>
      </w:r>
      <w:r>
        <w:rPr>
          <w:rFonts w:ascii="Arial" w:cs="Arial" w:eastAsia="Arial" w:hAnsi="Arial"/>
          <w:sz w:val="18"/>
          <w:szCs w:val="18"/>
          <w:color w:val="333333"/>
        </w:rPr>
        <w:t>total comprehensive</w:t>
      </w:r>
      <w:r>
        <w:rPr>
          <w:rFonts w:ascii="Arial" w:cs="Arial" w:eastAsia="Arial" w:hAnsi="Arial"/>
          <w:sz w:val="18"/>
          <w:szCs w:val="18"/>
          <w:color w:val="auto"/>
        </w:rPr>
        <w:t xml:space="preserve"> </w:t>
      </w:r>
      <w:r>
        <w:rPr>
          <w:rFonts w:ascii="Arial" w:cs="Arial" w:eastAsia="Arial" w:hAnsi="Arial"/>
          <w:sz w:val="18"/>
          <w:szCs w:val="18"/>
          <w:color w:val="333333"/>
        </w:rPr>
        <w:t>income o</w:t>
      </w:r>
      <w:r>
        <w:rPr>
          <w:rFonts w:ascii="Arial" w:cs="Arial" w:eastAsia="Arial" w:hAnsi="Arial"/>
          <w:sz w:val="18"/>
          <w:szCs w:val="18"/>
          <w:color w:val="000000"/>
        </w:rPr>
        <w:t>f $90.3 million for the 39-week period ended October 2, 2022, as compared to a comprehensive loss of $9.2 million for the 39-week</w:t>
      </w:r>
      <w:r>
        <w:rPr>
          <w:rFonts w:ascii="Arial" w:cs="Arial" w:eastAsia="Arial" w:hAnsi="Arial"/>
          <w:sz w:val="18"/>
          <w:szCs w:val="18"/>
          <w:color w:val="333333"/>
        </w:rPr>
        <w:t xml:space="preserve"> </w:t>
      </w:r>
      <w:r>
        <w:rPr>
          <w:rFonts w:ascii="Arial" w:cs="Arial" w:eastAsia="Arial" w:hAnsi="Arial"/>
          <w:sz w:val="18"/>
          <w:szCs w:val="18"/>
          <w:color w:val="000000"/>
        </w:rPr>
        <w:t>period ended September 26, 2021. Comprehensive income (loss) includes the effect of foreign currency translation adjustments.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Holley believes EBITDA and Adjusted EBITDA are useful to investors in evaluating the Company’s financial performance. In addition, Holley uses these measures internally to establish forecasts, budgets and operational goals to manage and monitor its business. Holley believes that these non-GAAP financial measures help to depict a more realistic representation of the performance of the underlying business, enabling the Company to evaluate and plan more effectively for the future. Holley believes that investors should have access to the same set of tools that its management uses in analyzing operating results.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Holley defines EBITDA as earnings before (a) depreciation, (b) amortization of intangible assets, (c) interest expense, and (d) income tax expense. Holley defines Adjusted EBITDA as EBITDA plus (i) acquisition and restructuring costs, which for the 39-week period ended September 26, 2021 includes a $17.2 million adjustment due to a change in the fair value of the Simpson acquisition contingent consideration payable, (ii) impairment of indefinite-lived intangible assets, (iii) changes in the fair value of the warrant liability, (iv) changes in the fair value of the earn-out liability, (v) loss on the early extinguishment of debt, (vi) compensation expense related to equity awards, (vii) related party acquisition and management fee costs, (viii) notable items that in 2022 consist primarily of non-cash adjustments related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2021 consist primarily of the amortization of the fair market value increase in inventory due to acquisitions, and (ix) other expenses, which includes losses from disposal of fixed assets and foreign currency transactions. We have included within the definition of Adjusted EBITDA impairment of indefinite-lived intangible assets, changes in the fair value of warrant liabilities, changes in the fair value of the earn-out liability, and losses from the early extinguishment of debt, as management believes such matters, when they occur, do not directly reflect the performance of the underlying business.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EBITDA and Adjusted EBITDA are not prepared in accordance with accounting principles generally accepted in the United States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table presents the reconciliation of net income (loss), the most directly comparable GAAP measure, to EBITDA and</w:t>
      </w:r>
    </w:p>
    <w:p>
      <w:pPr>
        <w:spacing w:after="0"/>
        <w:rPr>
          <w:sz w:val="20"/>
          <w:szCs w:val="20"/>
          <w:color w:val="auto"/>
        </w:rPr>
      </w:pPr>
      <w:r>
        <w:rPr>
          <w:rFonts w:ascii="Arial" w:cs="Arial" w:eastAsia="Arial" w:hAnsi="Arial"/>
          <w:sz w:val="18"/>
          <w:szCs w:val="18"/>
          <w:color w:val="auto"/>
        </w:rPr>
        <w:t>Adjusted EBITDA for the 13-week and 39-week periods ended October 2, 2022 and September 26, 2021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8"/>
                <w:szCs w:val="18"/>
                <w:color w:val="auto"/>
              </w:rPr>
              <w:t>For the thirty-nine weeks</w:t>
            </w:r>
          </w:p>
        </w:tc>
      </w:tr>
      <w:tr>
        <w:trPr>
          <w:trHeight w:val="203"/>
        </w:trPr>
        <w:tc>
          <w:tcPr>
            <w:tcW w:w="5980" w:type="dxa"/>
            <w:vAlign w:val="bottom"/>
          </w:tcPr>
          <w:p>
            <w:pPr>
              <w:spacing w:after="0"/>
              <w:rPr>
                <w:sz w:val="17"/>
                <w:szCs w:val="17"/>
                <w:color w:val="auto"/>
              </w:rPr>
            </w:pPr>
          </w:p>
        </w:tc>
        <w:tc>
          <w:tcPr>
            <w:tcW w:w="2720" w:type="dxa"/>
            <w:vAlign w:val="bottom"/>
            <w:gridSpan w:val="6"/>
          </w:tcPr>
          <w:p>
            <w:pPr>
              <w:jc w:val="right"/>
              <w:ind w:right="300"/>
              <w:spacing w:after="0" w:line="203" w:lineRule="exact"/>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7"/>
                <w:szCs w:val="17"/>
                <w:color w:val="auto"/>
              </w:rPr>
            </w:pPr>
          </w:p>
        </w:tc>
        <w:tc>
          <w:tcPr>
            <w:tcW w:w="2420" w:type="dxa"/>
            <w:vAlign w:val="bottom"/>
            <w:gridSpan w:val="5"/>
          </w:tcPr>
          <w:p>
            <w:pPr>
              <w:jc w:val="right"/>
              <w:ind w:right="1080"/>
              <w:spacing w:after="0" w:line="203" w:lineRule="exact"/>
              <w:rPr>
                <w:sz w:val="20"/>
                <w:szCs w:val="20"/>
                <w:color w:val="auto"/>
              </w:rPr>
            </w:pPr>
            <w:r>
              <w:rPr>
                <w:rFonts w:ascii="Arial" w:cs="Arial" w:eastAsia="Arial" w:hAnsi="Arial"/>
                <w:sz w:val="18"/>
                <w:szCs w:val="18"/>
                <w:color w:val="auto"/>
              </w:rPr>
              <w:t>ended</w:t>
            </w:r>
          </w:p>
        </w:tc>
      </w:tr>
      <w:tr>
        <w:trPr>
          <w:trHeight w:val="195"/>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5" w:lineRule="exact"/>
              <w:rPr>
                <w:sz w:val="20"/>
                <w:szCs w:val="20"/>
                <w:color w:val="auto"/>
              </w:rPr>
            </w:pPr>
            <w:r>
              <w:rPr>
                <w:rFonts w:ascii="Arial" w:cs="Arial" w:eastAsia="Arial" w:hAnsi="Arial"/>
                <w:sz w:val="18"/>
                <w:szCs w:val="18"/>
                <w:color w:val="auto"/>
                <w:w w:val="99"/>
              </w:rPr>
              <w:t>October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9"/>
              </w:rPr>
              <w:t>September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5" w:lineRule="exact"/>
              <w:rPr>
                <w:sz w:val="20"/>
                <w:szCs w:val="20"/>
                <w:color w:val="auto"/>
              </w:rPr>
            </w:pPr>
            <w:r>
              <w:rPr>
                <w:rFonts w:ascii="Arial" w:cs="Arial" w:eastAsia="Arial" w:hAnsi="Arial"/>
                <w:sz w:val="18"/>
                <w:szCs w:val="18"/>
                <w:color w:val="auto"/>
                <w:w w:val="99"/>
              </w:rPr>
              <w:t>October 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7"/>
              </w:rPr>
              <w:t>September</w:t>
            </w:r>
          </w:p>
        </w:tc>
        <w:tc>
          <w:tcPr>
            <w:tcW w:w="100" w:type="dxa"/>
            <w:vAlign w:val="bottom"/>
          </w:tcPr>
          <w:p>
            <w:pPr>
              <w:spacing w:after="0"/>
              <w:rPr>
                <w:sz w:val="16"/>
                <w:szCs w:val="16"/>
                <w:color w:val="auto"/>
              </w:rPr>
            </w:pPr>
          </w:p>
        </w:tc>
      </w:tr>
      <w:tr>
        <w:trPr>
          <w:trHeight w:val="203"/>
        </w:trPr>
        <w:tc>
          <w:tcPr>
            <w:tcW w:w="59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2022</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26, 2021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26, 2021</w:t>
            </w:r>
          </w:p>
        </w:tc>
        <w:tc>
          <w:tcPr>
            <w:tcW w:w="10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31,579</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(30,200)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89,000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(9,158)</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7,328</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3,662</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3,553</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10,985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10,391</w:t>
            </w: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10,428</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9,851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26,780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31,096</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12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(1,345)</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(3,301)</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8,866</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7,255</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47,161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(17,222)</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143,131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46,912</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Acquisition and restructuring costs</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1,266</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368</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3,247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21,877</w:t>
            </w: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7"/>
                <w:szCs w:val="17"/>
                <w:color w:val="auto"/>
              </w:rPr>
            </w:pPr>
          </w:p>
        </w:tc>
        <w:tc>
          <w:tcPr>
            <w:tcW w:w="12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(30,171)</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17,273</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(51,112)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17,273</w:t>
            </w: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(7,429)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6,866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(9,282)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6,866</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1,425</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1,425</w:t>
            </w: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Equity-based compensation expense</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2,486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9,518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2,748</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23,250</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25,789</w:t>
            </w: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Notable items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10,513</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89</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594</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16,355</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35,473</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99,588</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133,406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Holley’s primary cash needs are to support working capital, capital expenditures, acquisitions, and debt repayments. The Company has generally financed its historical needs with operating cash flows, capital contributions and borrowings under its credit facilities. These sources of liquidity may be impacted by various factors, including demand for Holley’s products, investments made in acquired businesses, plant and equipment and other capital expenditures, and expenditures on general infrastructure and information technology.</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October 2, 2022, the Company had cash of $16.6 million and availability of $123.8 million under its revolving credit facility. The Company has a senior secured revolving credit facility with $125 million in borrowing capacity. As of October 2, 2022, the Company had $1.2 million of letters of credit outstanding under the revolving credit facility.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Company is obligated under various operating leases for facilities, equipment and automobiles with estimated lease payments of approximately $2.2 million, including short term leases, due during the remainder of fiscal year 2022.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lease obligations.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$14 million to $15 million in fiscal year 2022.</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Condensed Consolidated Financial Statements included elsewhere in this Quarterly Report on Form 10-Q for further detail of our credit facility and the timing of principal maturities. As of October 2, 2022, based on the then current weighted average interest rate of 6.8%, expected interest payments associated with outstanding debt totaled approximately $11.3 million for the remainder of fiscal year 2022.</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our current operating performance, operating plan, cash position, and borrowings available under our revolving credit facility, will be sufficient to satisfy our liquidity needs and capital expenditure requirements for at least the next 12 months and thereafter for the foreseeable future.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39-week period ended October 2, 2022 Compared With 39-week period ended September 26, 2021</w:t>
      </w:r>
    </w:p>
    <w:p>
      <w:pPr>
        <w:spacing w:after="0" w:line="216"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For the thirty-nine weeks ended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Cash flows used in investing activities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right="3280"/>
        <w:spacing w:after="0" w:line="293" w:lineRule="auto"/>
        <w:rPr>
          <w:sz w:val="20"/>
          <w:szCs w:val="20"/>
          <w:color w:val="auto"/>
        </w:rPr>
      </w:pPr>
      <w:r>
        <w:rPr>
          <w:rFonts w:ascii="Arial" w:cs="Arial" w:eastAsia="Arial" w:hAnsi="Arial"/>
          <w:sz w:val="18"/>
          <w:szCs w:val="18"/>
          <w:color w:val="auto"/>
        </w:rPr>
        <w:t>Effect of foreign currency rate fluctuations on cash 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September 26,</w:t>
            </w:r>
          </w:p>
        </w:tc>
        <w:tc>
          <w:tcPr>
            <w:tcW w:w="60" w:type="dxa"/>
            <w:vAlign w:val="bottom"/>
          </w:tcPr>
          <w:p>
            <w:pPr>
              <w:spacing w:after="0"/>
              <w:rPr>
                <w:sz w:val="16"/>
                <w:szCs w:val="16"/>
                <w:color w:val="auto"/>
              </w:rPr>
            </w:pPr>
          </w:p>
        </w:tc>
      </w:tr>
      <w:tr>
        <w:trPr>
          <w:trHeight w:val="203"/>
        </w:trPr>
        <w:tc>
          <w:tcPr>
            <w:tcW w:w="1680" w:type="dxa"/>
            <w:vAlign w:val="bottom"/>
            <w:gridSpan w:val="3"/>
          </w:tcPr>
          <w:p>
            <w:pPr>
              <w:jc w:val="right"/>
              <w:ind w:right="300"/>
              <w:spacing w:after="0" w:line="203" w:lineRule="exact"/>
              <w:rPr>
                <w:sz w:val="20"/>
                <w:szCs w:val="20"/>
                <w:color w:val="auto"/>
              </w:rPr>
            </w:pPr>
            <w:r>
              <w:rPr>
                <w:rFonts w:ascii="Arial" w:cs="Arial" w:eastAsia="Arial" w:hAnsi="Arial"/>
                <w:sz w:val="18"/>
                <w:szCs w:val="18"/>
                <w:color w:val="auto"/>
              </w:rPr>
              <w:t>October 2, 2022</w:t>
            </w:r>
          </w:p>
        </w:tc>
        <w:tc>
          <w:tcPr>
            <w:tcW w:w="120" w:type="dxa"/>
            <w:vAlign w:val="bottom"/>
          </w:tcPr>
          <w:p>
            <w:pPr>
              <w:spacing w:after="0"/>
              <w:rPr>
                <w:sz w:val="17"/>
                <w:szCs w:val="17"/>
                <w:color w:val="auto"/>
              </w:rPr>
            </w:pPr>
          </w:p>
        </w:tc>
        <w:tc>
          <w:tcPr>
            <w:tcW w:w="134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60" w:type="dxa"/>
            <w:vAlign w:val="bottom"/>
          </w:tcPr>
          <w:p>
            <w:pPr>
              <w:spacing w:after="0"/>
              <w:rPr>
                <w:sz w:val="17"/>
                <w:szCs w:val="17"/>
                <w:color w:val="auto"/>
              </w:rPr>
            </w:pPr>
          </w:p>
        </w:tc>
      </w:tr>
      <w:tr>
        <w:trPr>
          <w:trHeight w:val="195"/>
        </w:trPr>
        <w:tc>
          <w:tcPr>
            <w:tcW w:w="48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12,164</w:t>
            </w: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24,917</w:t>
            </w:r>
          </w:p>
        </w:tc>
        <w:tc>
          <w:tcPr>
            <w:tcW w:w="60" w:type="dxa"/>
            <w:vAlign w:val="bottom"/>
          </w:tcPr>
          <w:p>
            <w:pPr>
              <w:spacing w:after="0"/>
              <w:rPr>
                <w:sz w:val="16"/>
                <w:szCs w:val="16"/>
                <w:color w:val="auto"/>
              </w:rPr>
            </w:pPr>
          </w:p>
        </w:tc>
      </w:tr>
      <w:tr>
        <w:trPr>
          <w:trHeight w:val="203"/>
        </w:trPr>
        <w:tc>
          <w:tcPr>
            <w:tcW w:w="4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(25,349)</w:t>
            </w:r>
          </w:p>
        </w:tc>
        <w:tc>
          <w:tcPr>
            <w:tcW w:w="12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(71,931)</w:t>
            </w:r>
          </w:p>
        </w:tc>
      </w:tr>
      <w:tr>
        <w:trPr>
          <w:trHeight w:val="203"/>
        </w:trPr>
        <w:tc>
          <w:tcPr>
            <w:tcW w:w="4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(5,457)</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29,267</w:t>
            </w:r>
          </w:p>
        </w:tc>
      </w:tr>
      <w:tr>
        <w:trPr>
          <w:trHeight w:val="203"/>
        </w:trPr>
        <w:tc>
          <w:tcPr>
            <w:tcW w:w="480" w:type="dxa"/>
            <w:vAlign w:val="bottom"/>
          </w:tcPr>
          <w:p>
            <w:pPr>
              <w:spacing w:after="0"/>
              <w:rPr>
                <w:sz w:val="17"/>
                <w:szCs w:val="17"/>
                <w:color w:val="auto"/>
              </w:rPr>
            </w:pPr>
          </w:p>
        </w:tc>
        <w:tc>
          <w:tcPr>
            <w:tcW w:w="12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(1,077)</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196"/>
        </w:trPr>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(19,719)</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(17,747)</w:t>
            </w:r>
          </w:p>
        </w:tc>
        <w:tc>
          <w:tcPr>
            <w:tcW w:w="60" w:type="dxa"/>
            <w:vAlign w:val="bottom"/>
          </w:tcPr>
          <w:p>
            <w:pPr>
              <w:spacing w:after="0"/>
              <w:rPr>
                <w:sz w:val="17"/>
                <w:szCs w:val="17"/>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jc w:val="both"/>
        <w:spacing w:after="0" w:line="241"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39-week period ended October 2, 2022 was $12.2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$24.9 million for the 39-week period ended September 26, 2021. Significant components of the year-over-year change in cash provided by operating activities included negative fluctuations from inventories and accounts payable of $15.7 million and $11.7 million, respectively. Offsetting these decreases were increases in cash provided by accrued liabilities and prepaids and other current assets of $8.0 million and $4.5 million, respectively. The changes in inventory and accounts payable reflect the fluctuations in sales during 2022 while accounts payable is also impacted by the timing of payments.</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39-week period ended October 2, 2022 was $ 25.4 million, which included $11.3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relating to capital expenditures and $14.1 million relating to acquisitions. During the 39-week period ended September 26, 2021, cash used in investing activities was $71.9 million which included $61.8 million relating to acquisitions and $10.2 million due to capital expenditures.</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for the 39-week period ended October 2, 2022 was $5.5 million,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net principal payments on long-term debt. Cash provided by financing activities for the 39-week period ended September 26, 2021 was $29.3 million, which included $132.3 million in cash received due to the recapitalization and $103.0 million in principal payments on long-term debt.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2021, as filed with the SEC on March 15, 2022.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elsewhere in this Quarterly Report on Form 10-Q.</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The Company generally does not hedge its interest rate exposure. The Company had $653.6 million of debt outstanding as of October 2, 2022. A hypothetical 100 basis point increase or decrease in interest rates would result in an approximately $6.5 million change to Holley’s annual interest expense.</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October 2,</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majority the Company’s cash and cash equivalents consisted of cash balances in non-interest bearing checking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October 2, 2022, the Company is exposed to changes in foreign currency exchange rates. While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exposure to changes in foreign currency exchange rates has not had a material effect on the Company’s financial condition or results of operations, foreign currency fluctuations could have an adverse effect on business and results of operations in the future. Historically, Holley’s primary exposure has been related to transactions denominated in the Euros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effective as of October 2, 2022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currently not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2021, as filed with the SEC on March 15, 2022.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have been no material changes in the Company's risk factors from those disclosed in Part I, Item 1A of the Company's Annual Report on Form 10-K for the year ended December 31, 2021, as filed with the SEC on March 15,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Arial" w:cs="Arial" w:eastAsia="Arial" w:hAnsi="Arial"/>
                <w:sz w:val="18"/>
                <w:szCs w:val="18"/>
                <w:color w:val="0000EE"/>
                <w:w w:val="94"/>
              </w:rPr>
              <w:t>Table of Contents</w:t>
            </w:r>
          </w:p>
        </w:tc>
        <w:tc>
          <w:tcPr>
            <w:tcW w:w="3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3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6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13"/>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12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80" w:type="dxa"/>
            <w:vAlign w:val="bottom"/>
            <w:tcBorders>
              <w:top w:val="single" w:sz="8" w:color="auto"/>
              <w:bottom w:val="single" w:sz="8" w:color="0000EE"/>
            </w:tcBorders>
            <w:gridSpan w:val="9"/>
          </w:tcPr>
          <w:p>
            <w:pPr>
              <w:spacing w:after="0" w:line="169" w:lineRule="exact"/>
              <w:rPr>
                <w:rFonts w:ascii="Arial" w:cs="Arial" w:eastAsia="Arial" w:hAnsi="Arial"/>
                <w:sz w:val="18"/>
                <w:szCs w:val="18"/>
                <w:color w:val="0000EE"/>
                <w:w w:val="99"/>
              </w:rPr>
            </w:pPr>
            <w:hyperlink r:id="rId53">
              <w:r>
                <w:rPr>
                  <w:rFonts w:ascii="Arial" w:cs="Arial" w:eastAsia="Arial" w:hAnsi="Arial"/>
                  <w:sz w:val="18"/>
                  <w:szCs w:val="18"/>
                  <w:color w:val="0000EE"/>
                  <w:w w:val="99"/>
                </w:rPr>
                <w:t>Agreement and Plan of Merger, dated as of March 11, 2021, by and among Empower Ltd., Empower Merger Sub I Inc.,</w:t>
              </w:r>
            </w:hyperlink>
          </w:p>
        </w:tc>
        <w:tc>
          <w:tcPr>
            <w:tcW w:w="40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53">
              <w:r>
                <w:rPr>
                  <w:rFonts w:ascii="Arial" w:cs="Arial" w:eastAsia="Arial" w:hAnsi="Arial"/>
                  <w:sz w:val="18"/>
                  <w:szCs w:val="18"/>
                  <w:color w:val="0000EE"/>
                  <w:w w:val="99"/>
                </w:rPr>
                <w:t>Empower Merger Sub II LLC and Holley Intermediate Holdings, Inc. (incorporated by reference to Exhibit 2.1 to the</w:t>
              </w:r>
            </w:hyperlink>
          </w:p>
        </w:tc>
        <w:tc>
          <w:tcPr>
            <w:tcW w:w="7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13"/>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Company’s Current Report on Form 8-K, filed with the SEC on March 12,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13"/>
          </w:tcPr>
          <w:p>
            <w:pPr>
              <w:spacing w:after="0" w:line="182" w:lineRule="exact"/>
              <w:rPr>
                <w:rFonts w:ascii="Arial" w:cs="Arial" w:eastAsia="Arial" w:hAnsi="Arial"/>
                <w:sz w:val="18"/>
                <w:szCs w:val="18"/>
                <w:color w:val="0000EE"/>
              </w:rPr>
            </w:pPr>
            <w:hyperlink r:id="rId54">
              <w:r>
                <w:rPr>
                  <w:rFonts w:ascii="Arial" w:cs="Arial" w:eastAsia="Arial" w:hAnsi="Arial"/>
                  <w:sz w:val="18"/>
                  <w:szCs w:val="18"/>
                  <w:color w:val="0000EE"/>
                </w:rPr>
                <w:t>Certificate of Incorporation of the Company, dated July 16, 2021 (incorporated by reference to Exhibit 3.1 of the Company’s</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Current Report on Form 8-K, filed with the SEC on July 21, 2021).</w:t>
              </w:r>
            </w:hyperlink>
          </w:p>
        </w:tc>
        <w:tc>
          <w:tcPr>
            <w:tcW w:w="4540" w:type="dxa"/>
            <w:vAlign w:val="bottom"/>
            <w:tcBorders>
              <w:top w:val="single" w:sz="8" w:color="0000EE"/>
            </w:tcBorders>
            <w:gridSpan w:val="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3.2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55">
              <w:r>
                <w:rPr>
                  <w:rFonts w:ascii="Arial" w:cs="Arial" w:eastAsia="Arial" w:hAnsi="Arial"/>
                  <w:sz w:val="18"/>
                  <w:szCs w:val="18"/>
                  <w:color w:val="0000EE"/>
                  <w:w w:val="99"/>
                </w:rPr>
                <w:t>Bylaws of the Company, dated July 16, 2021 (incorporated by reference to Exhibit 3.2 of the Company’s Current Report on</w:t>
              </w:r>
            </w:hyperlink>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13"/>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Form 8-K, filed with the SEC on July 21,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16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Certification of Chief Executive Officer pursuant to Rules 13a-14(a) and 15d-14(a) of the Exchange Act</w:t>
            </w:r>
          </w:p>
        </w:tc>
        <w:tc>
          <w:tcPr>
            <w:tcW w:w="17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12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Rules 13a-14(a) and 15d-14(a) of the Exchange Act</w:t>
            </w:r>
          </w:p>
        </w:tc>
        <w:tc>
          <w:tcPr>
            <w:tcW w:w="17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13"/>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4800" w:type="dxa"/>
            <w:vAlign w:val="bottom"/>
            <w:tcBorders>
              <w:top w:val="single" w:sz="8" w:color="0000EE"/>
            </w:tcBorders>
            <w:gridSpan w:val="8"/>
          </w:tcPr>
          <w:p>
            <w:pPr>
              <w:spacing w:after="0"/>
              <w:rPr>
                <w:sz w:val="15"/>
                <w:szCs w:val="15"/>
                <w:color w:val="auto"/>
              </w:rPr>
            </w:pPr>
          </w:p>
        </w:tc>
        <w:tc>
          <w:tcPr>
            <w:tcW w:w="3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13"/>
          </w:tcPr>
          <w:p>
            <w:pPr>
              <w:spacing w:after="0" w:line="182" w:lineRule="exact"/>
              <w:rPr>
                <w:sz w:val="20"/>
                <w:szCs w:val="20"/>
                <w:color w:val="auto"/>
              </w:rPr>
            </w:pPr>
            <w:r>
              <w:rPr>
                <w:rFonts w:ascii="Arial" w:cs="Arial" w:eastAsia="Arial" w:hAnsi="Arial"/>
                <w:sz w:val="18"/>
                <w:szCs w:val="18"/>
                <w:color w:val="0000EE"/>
              </w:rPr>
              <w:t>Certification of Chief Financial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4740" w:type="dxa"/>
            <w:vAlign w:val="bottom"/>
            <w:tcBorders>
              <w:top w:val="single" w:sz="8" w:color="0000EE"/>
            </w:tcBorders>
            <w:gridSpan w:val="6"/>
          </w:tcPr>
          <w:p>
            <w:pPr>
              <w:spacing w:after="0"/>
              <w:rPr>
                <w:sz w:val="15"/>
                <w:szCs w:val="15"/>
                <w:color w:val="auto"/>
              </w:rPr>
            </w:pPr>
          </w:p>
        </w:tc>
        <w:tc>
          <w:tcPr>
            <w:tcW w:w="4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6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13"/>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109"/>
        </w:trPr>
        <w:tc>
          <w:tcPr>
            <w:tcW w:w="1360" w:type="dxa"/>
            <w:vAlign w:val="bottom"/>
            <w:gridSpan w:val="3"/>
            <w:vMerge w:val="continue"/>
          </w:tcPr>
          <w:p>
            <w:pPr>
              <w:spacing w:after="0"/>
              <w:rPr>
                <w:sz w:val="9"/>
                <w:szCs w:val="9"/>
                <w:color w:val="auto"/>
              </w:rPr>
            </w:pPr>
          </w:p>
        </w:tc>
        <w:tc>
          <w:tcPr>
            <w:tcW w:w="9880" w:type="dxa"/>
            <w:vAlign w:val="bottom"/>
            <w:gridSpan w:val="13"/>
            <w:vMerge w:val="restart"/>
          </w:tcPr>
          <w:p>
            <w:pPr>
              <w:spacing w:after="0" w:line="202" w:lineRule="exact"/>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8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2" w:lineRule="exact"/>
              <w:rPr>
                <w:sz w:val="20"/>
                <w:szCs w:val="20"/>
                <w:color w:val="auto"/>
              </w:rPr>
            </w:pPr>
            <w:r>
              <w:rPr>
                <w:rFonts w:ascii="Arial" w:cs="Arial" w:eastAsia="Arial" w:hAnsi="Arial"/>
                <w:sz w:val="18"/>
                <w:szCs w:val="18"/>
                <w:color w:val="auto"/>
              </w:rPr>
              <w:t>101.SCH</w:t>
            </w:r>
          </w:p>
        </w:tc>
        <w:tc>
          <w:tcPr>
            <w:tcW w:w="98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2" w:lineRule="exact"/>
              <w:rPr>
                <w:sz w:val="20"/>
                <w:szCs w:val="20"/>
                <w:color w:val="auto"/>
              </w:rPr>
            </w:pPr>
            <w:r>
              <w:rPr>
                <w:rFonts w:ascii="Arial" w:cs="Arial" w:eastAsia="Arial" w:hAnsi="Arial"/>
                <w:sz w:val="18"/>
                <w:szCs w:val="18"/>
                <w:color w:val="auto"/>
              </w:rPr>
              <w:t>101.CAL</w:t>
            </w:r>
          </w:p>
        </w:tc>
        <w:tc>
          <w:tcPr>
            <w:tcW w:w="98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2" w:lineRule="exact"/>
              <w:rPr>
                <w:sz w:val="20"/>
                <w:szCs w:val="20"/>
                <w:color w:val="auto"/>
              </w:rPr>
            </w:pPr>
            <w:r>
              <w:rPr>
                <w:rFonts w:ascii="Arial" w:cs="Arial" w:eastAsia="Arial" w:hAnsi="Arial"/>
                <w:sz w:val="18"/>
                <w:szCs w:val="18"/>
                <w:color w:val="auto"/>
              </w:rPr>
              <w:t>101.DEF</w:t>
            </w:r>
          </w:p>
        </w:tc>
        <w:tc>
          <w:tcPr>
            <w:tcW w:w="98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2" w:lineRule="exact"/>
              <w:rPr>
                <w:sz w:val="20"/>
                <w:szCs w:val="20"/>
                <w:color w:val="auto"/>
              </w:rPr>
            </w:pPr>
            <w:r>
              <w:rPr>
                <w:rFonts w:ascii="Arial" w:cs="Arial" w:eastAsia="Arial" w:hAnsi="Arial"/>
                <w:sz w:val="18"/>
                <w:szCs w:val="18"/>
                <w:color w:val="auto"/>
              </w:rPr>
              <w:t>101.LAB</w:t>
            </w:r>
          </w:p>
        </w:tc>
        <w:tc>
          <w:tcPr>
            <w:tcW w:w="98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2" w:lineRule="exact"/>
              <w:rPr>
                <w:sz w:val="20"/>
                <w:szCs w:val="20"/>
                <w:color w:val="auto"/>
              </w:rPr>
            </w:pPr>
            <w:r>
              <w:rPr>
                <w:rFonts w:ascii="Arial" w:cs="Arial" w:eastAsia="Arial" w:hAnsi="Arial"/>
                <w:sz w:val="18"/>
                <w:szCs w:val="18"/>
                <w:color w:val="auto"/>
              </w:rPr>
              <w:t>101.PRE</w:t>
            </w:r>
          </w:p>
        </w:tc>
        <w:tc>
          <w:tcPr>
            <w:tcW w:w="98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360" w:hanging="1352"/>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211"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Stephen Trussell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Stephen Trussell</w:t>
      </w:r>
    </w:p>
    <w:p>
      <w:pPr>
        <w:ind w:left="6760"/>
        <w:spacing w:after="0" w:line="234" w:lineRule="auto"/>
        <w:rPr>
          <w:sz w:val="20"/>
          <w:szCs w:val="20"/>
          <w:color w:val="auto"/>
        </w:rPr>
      </w:pPr>
      <w:r>
        <w:rPr>
          <w:rFonts w:ascii="Arial" w:cs="Arial" w:eastAsia="Arial" w:hAnsi="Arial"/>
          <w:sz w:val="18"/>
          <w:szCs w:val="18"/>
          <w:color w:val="auto"/>
        </w:rPr>
        <w:t>Interim Chief Financial Officer and V.P. of Finance</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(Duly Authorized Officer)</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November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5"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Tom Tomlinson, certify that:</w:t>
      </w:r>
    </w:p>
    <w:p>
      <w:pPr>
        <w:spacing w:after="0" w:line="198"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98" w:lineRule="exact"/>
        <w:rPr>
          <w:rFonts w:ascii="Arial" w:cs="Arial" w:eastAsia="Arial" w:hAnsi="Arial"/>
          <w:sz w:val="18"/>
          <w:szCs w:val="18"/>
          <w:color w:val="auto"/>
        </w:rPr>
      </w:pPr>
    </w:p>
    <w:p>
      <w:pPr>
        <w:jc w:val="both"/>
        <w:ind w:firstLine="8"/>
        <w:spacing w:after="0"/>
        <w:tabs>
          <w:tab w:leader="none" w:pos="2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firstLine="8"/>
        <w:spacing w:after="0" w:line="246" w:lineRule="auto"/>
        <w:tabs>
          <w:tab w:leader="none" w:pos="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firstLine="8"/>
        <w:spacing w:after="0"/>
        <w:tabs>
          <w:tab w:leader="none" w:pos="2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right="20" w:firstLine="8"/>
        <w:spacing w:after="0"/>
        <w:tabs>
          <w:tab w:leader="none" w:pos="2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firstLine="8"/>
        <w:spacing w:after="0"/>
        <w:tabs>
          <w:tab w:leader="none" w:pos="2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firstLine="8"/>
        <w:spacing w:after="0"/>
        <w:tabs>
          <w:tab w:leader="none" w:pos="2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jc w:val="both"/>
        <w:ind w:firstLine="8"/>
        <w:spacing w:after="0"/>
        <w:tabs>
          <w:tab w:leader="none" w:pos="2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sz w:val="20"/>
          <w:szCs w:val="20"/>
          <w:color w:val="auto"/>
        </w:rPr>
      </w:pPr>
    </w:p>
    <w:p>
      <w:pPr>
        <w:ind w:right="20" w:firstLine="8"/>
        <w:spacing w:after="0" w:line="246" w:lineRule="auto"/>
        <w:tabs>
          <w:tab w:leader="none" w:pos="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-1905</wp:posOffset>
            </wp:positionV>
            <wp:extent cx="30600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Tom Tomlinson</w:t>
      </w:r>
    </w:p>
    <w:p>
      <w:pPr>
        <w:ind w:left="6420"/>
        <w:spacing w:after="0"/>
        <w:rPr>
          <w:sz w:val="20"/>
          <w:szCs w:val="20"/>
          <w:color w:val="auto"/>
        </w:rPr>
      </w:pPr>
      <w:r>
        <w:rPr>
          <w:rFonts w:ascii="Arial" w:cs="Arial" w:eastAsia="Arial" w:hAnsi="Arial"/>
          <w:sz w:val="18"/>
          <w:szCs w:val="18"/>
          <w:color w:val="auto"/>
        </w:rPr>
        <w:t>Director and Chief Executive Officer</w:t>
      </w:r>
    </w:p>
    <w:p>
      <w:pPr>
        <w:spacing w:after="0" w:line="19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November 14, 2022</w:t>
      </w:r>
    </w:p>
    <w:p>
      <w:pPr>
        <w:sectPr>
          <w:pgSz w:w="11900" w:h="16838" w:orient="portrait"/>
          <w:cols w:equalWidth="0" w:num="1">
            <w:col w:w="11240"/>
          </w:cols>
          <w:pgMar w:left="320" w:top="14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Stephen Trussell, certify that:</w:t>
      </w:r>
    </w:p>
    <w:p>
      <w:pPr>
        <w:spacing w:after="0" w:line="198"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98" w:lineRule="exact"/>
        <w:rPr>
          <w:rFonts w:ascii="Arial" w:cs="Arial" w:eastAsia="Arial" w:hAnsi="Arial"/>
          <w:sz w:val="18"/>
          <w:szCs w:val="18"/>
          <w:color w:val="auto"/>
        </w:rPr>
      </w:pPr>
    </w:p>
    <w:p>
      <w:pPr>
        <w:jc w:val="both"/>
        <w:ind w:firstLine="8"/>
        <w:spacing w:after="0"/>
        <w:tabs>
          <w:tab w:leader="none" w:pos="2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firstLine="8"/>
        <w:spacing w:after="0" w:line="246" w:lineRule="auto"/>
        <w:tabs>
          <w:tab w:leader="none" w:pos="2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firstLine="8"/>
        <w:spacing w:after="0"/>
        <w:tabs>
          <w:tab w:leader="none" w:pos="2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right="20" w:firstLine="8"/>
        <w:spacing w:after="0"/>
        <w:tabs>
          <w:tab w:leader="none" w:pos="2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firstLine="8"/>
        <w:spacing w:after="0"/>
        <w:tabs>
          <w:tab w:leader="none" w:pos="2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firstLine="8"/>
        <w:spacing w:after="0"/>
        <w:tabs>
          <w:tab w:leader="none" w:pos="2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jc w:val="both"/>
        <w:ind w:firstLine="8"/>
        <w:spacing w:after="0"/>
        <w:tabs>
          <w:tab w:leader="none" w:pos="2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sz w:val="20"/>
          <w:szCs w:val="20"/>
          <w:color w:val="auto"/>
        </w:rPr>
      </w:pPr>
    </w:p>
    <w:p>
      <w:pPr>
        <w:ind w:right="20" w:firstLine="8"/>
        <w:spacing w:after="0" w:line="246"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Stephen Trussell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-1905</wp:posOffset>
            </wp:positionV>
            <wp:extent cx="32061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Stephen Trussell</w:t>
      </w:r>
    </w:p>
    <w:p>
      <w:pPr>
        <w:ind w:left="6200"/>
        <w:spacing w:after="0"/>
        <w:rPr>
          <w:sz w:val="20"/>
          <w:szCs w:val="20"/>
          <w:color w:val="auto"/>
        </w:rPr>
      </w:pPr>
      <w:r>
        <w:rPr>
          <w:rFonts w:ascii="Arial" w:cs="Arial" w:eastAsia="Arial" w:hAnsi="Arial"/>
          <w:sz w:val="18"/>
          <w:szCs w:val="18"/>
          <w:color w:val="auto"/>
        </w:rPr>
        <w:t>Interim Chief Financial Officer and V.P. of Finance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November 14, 2022</w:t>
      </w:r>
    </w:p>
    <w:p>
      <w:pPr>
        <w:sectPr>
          <w:pgSz w:w="11900" w:h="16838" w:orient="portrait"/>
          <w:cols w:equalWidth="0" w:num="1">
            <w:col w:w="11240"/>
          </w:cols>
          <w:pgMar w:left="320" w:top="14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on Form 10-Q of Holley Inc. (the "Company") for the quarter ended October 2, 2022, as filed with the Securities and Exchange Commission (the "Report"), Tom Tomlinson, Director and Chief Executive Officer of the Company, does hereby certify, pursuant to § 906 of the Sarbanes-Oxley Act of 2002 (18 U.S.C. § 1350), that to his knowledge:</w:t>
      </w:r>
    </w:p>
    <w:p>
      <w:pPr>
        <w:spacing w:after="0" w:line="189"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-1905</wp:posOffset>
            </wp:positionV>
            <wp:extent cx="3060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Tom Tomlinson</w:t>
      </w:r>
    </w:p>
    <w:p>
      <w:pPr>
        <w:ind w:left="6420"/>
        <w:spacing w:after="0"/>
        <w:rPr>
          <w:sz w:val="20"/>
          <w:szCs w:val="20"/>
          <w:color w:val="auto"/>
        </w:rPr>
      </w:pPr>
      <w:r>
        <w:rPr>
          <w:rFonts w:ascii="Arial" w:cs="Arial" w:eastAsia="Arial" w:hAnsi="Arial"/>
          <w:sz w:val="18"/>
          <w:szCs w:val="18"/>
          <w:color w:val="auto"/>
        </w:rPr>
        <w:t>Director and Chief Executive Officer</w:t>
      </w:r>
    </w:p>
    <w:p>
      <w:pPr>
        <w:spacing w:after="0" w:line="19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November 14,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4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on Form 10-Q of Holley Inc. (the "Company") for the quarter ended October 2, 2022, as filed with the Securities and Exchange Commission (the "Report"), Stephen Trussell, Chief Financial Officer and V.P. of Finance of the Company, does hereby certify, pursuant to § 906 of the Sarbanes-Oxley Act of 2002 (18 U.S.C. § 1350), that to his knowledge:</w:t>
      </w:r>
    </w:p>
    <w:p>
      <w:pPr>
        <w:spacing w:after="0" w:line="189"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Stephen Trussell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-1905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Stephen Trussell</w:t>
      </w:r>
    </w:p>
    <w:p>
      <w:pPr>
        <w:ind w:left="6200"/>
        <w:spacing w:after="0"/>
        <w:rPr>
          <w:sz w:val="20"/>
          <w:szCs w:val="20"/>
          <w:color w:val="auto"/>
        </w:rPr>
      </w:pPr>
      <w:r>
        <w:rPr>
          <w:rFonts w:ascii="Arial" w:cs="Arial" w:eastAsia="Arial" w:hAnsi="Arial"/>
          <w:sz w:val="18"/>
          <w:szCs w:val="18"/>
          <w:color w:val="auto"/>
        </w:rPr>
        <w:t>Interim Chief Financial Officer and V.P. of Finance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November 14,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decimal"/>
      <w:start w:val="4"/>
    </w:lvl>
  </w:abstractNum>
  <w:abstractNum w:abstractNumId="8">
    <w:nsid w:val="721DA317"/>
    <w:multiLevelType w:val="hybridMultilevel"/>
    <w:lvl w:ilvl="0">
      <w:lvlJc w:val="left"/>
      <w:lvlText w:val="%1."/>
      <w:numFmt w:val="decimal"/>
      <w:start w:val="5"/>
    </w:lvl>
    <w:lvl w:ilvl="1">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6"/>
    </w:lvl>
  </w:abstractNum>
  <w:abstractNum w:abstractNumId="12">
    <w:nsid w:val="75A2A8D4"/>
    <w:multiLevelType w:val="hybridMultilevel"/>
    <w:lvl w:ilvl="0">
      <w:lvlJc w:val="left"/>
      <w:lvlText w:val="%1."/>
      <w:numFmt w:val="decimal"/>
      <w:start w:val="7"/>
    </w:lvl>
  </w:abstractNum>
  <w:abstractNum w:abstractNumId="13">
    <w:nsid w:val="8EDBDAB"/>
    <w:multiLevelType w:val="hybridMultilevel"/>
    <w:lvl w:ilvl="0">
      <w:lvlJc w:val="left"/>
      <w:lvlText w:val="%1."/>
      <w:numFmt w:val="decimal"/>
      <w:start w:val="8"/>
    </w:lvl>
  </w:abstractNum>
  <w:abstractNum w:abstractNumId="14">
    <w:nsid w:val="79838CB2"/>
    <w:multiLevelType w:val="hybridMultilevel"/>
    <w:lvl w:ilvl="0">
      <w:lvlJc w:val="left"/>
      <w:lvlText w:val="%1."/>
      <w:numFmt w:val="decimal"/>
      <w:start w:val="9"/>
    </w:lvl>
  </w:abstractNum>
  <w:abstractNum w:abstractNumId="15">
    <w:nsid w:val="4353D0CD"/>
    <w:multiLevelType w:val="hybridMultilevel"/>
    <w:lvl w:ilvl="0">
      <w:lvlJc w:val="left"/>
      <w:lvlText w:val="%1."/>
      <w:numFmt w:val="decimal"/>
      <w:start w:val="11"/>
    </w:lvl>
  </w:abstractNum>
  <w:abstractNum w:abstractNumId="16">
    <w:nsid w:val="B03E0C6"/>
    <w:multiLevelType w:val="hybridMultilevel"/>
    <w:lvl w:ilvl="0">
      <w:lvlJc w:val="left"/>
      <w:lvlText w:val="%1."/>
      <w:numFmt w:val="decimal"/>
      <w:start w:val="12"/>
    </w:lvl>
  </w:abstractNum>
  <w:abstractNum w:abstractNumId="17">
    <w:nsid w:val="189A769B"/>
    <w:multiLevelType w:val="hybridMultilevel"/>
    <w:lvl w:ilvl="0">
      <w:lvlJc w:val="left"/>
      <w:lvlText w:val="%1."/>
      <w:numFmt w:val="decimal"/>
      <w:start w:val="13"/>
    </w:lvl>
  </w:abstractNum>
  <w:abstractNum w:abstractNumId="18">
    <w:nsid w:val="54E49EB4"/>
    <w:multiLevelType w:val="hybridMultilevel"/>
    <w:lvl w:ilvl="0">
      <w:lvlJc w:val="left"/>
      <w:lvlText w:val="%1."/>
      <w:numFmt w:val="decimal"/>
      <w:start w:val="1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5"/>
    </w:lvl>
  </w:abstractNum>
  <w:abstractNum w:abstractNumId="21">
    <w:nsid w:val="836C40E"/>
    <w:multiLevelType w:val="hybridMultilevel"/>
    <w:lvl w:ilvl="0">
      <w:lvlJc w:val="left"/>
      <w:lvlText w:val="%1"/>
      <w:numFmt w:val="decimal"/>
      <w:start w:val="1"/>
    </w:lvl>
    <w:lvl w:ilvl="1">
      <w:lvlJc w:val="left"/>
      <w:lvlText w:val="(%2)"/>
      <w:numFmt w:val="decimal"/>
      <w:start w:val="1"/>
    </w:lvl>
  </w:abstractNum>
  <w:abstractNum w:abstractNumId="22">
    <w:nsid w:val="2901D82"/>
    <w:multiLevelType w:val="hybridMultilevel"/>
    <w:lvl w:ilvl="0">
      <w:lvlJc w:val="left"/>
      <w:lvlText w:val="%1."/>
      <w:numFmt w:val="decimal"/>
      <w:start w:val="16"/>
    </w:lvl>
    <w:lvl w:ilvl="1">
      <w:lvlJc w:val="left"/>
      <w:lvlText w:val="%2"/>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04"/>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3" Type="http://schemas.openxmlformats.org/officeDocument/2006/relationships/hyperlink" Target="http://www.sec.gov/Archives/edgar/data/1822928/000121390021015000/ea137482ex2_1empower.htm" TargetMode="External"/><Relationship Id="rId54" Type="http://schemas.openxmlformats.org/officeDocument/2006/relationships/hyperlink" Target="http://www.sec.gov/Archives/edgar/data/1822928/000119312521220722/d185405dex31.htm" TargetMode="External"/><Relationship Id="rId55" Type="http://schemas.openxmlformats.org/officeDocument/2006/relationships/hyperlink" Target="http://www.sec.gov/Archives/edgar/data/1822928/000119312521220722/d18540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2022-11-14T22:41:15Z</dcterms:created>
  <dcterms:modified xsi:type="dcterms:W3CDTF">2022-11-14T22:41:15Z</dcterms:modified>
</cp:coreProperties>
</file>