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3" w:lineRule="exact"/>
        <w:rPr>
          <w:sz w:val="24"/>
          <w:szCs w:val="24"/>
          <w:color w:val="auto"/>
        </w:rPr>
      </w:pPr>
    </w:p>
    <w:p>
      <w:pPr>
        <w:ind w:left="560" w:hanging="534"/>
        <w:spacing w:after="0"/>
        <w:tabs>
          <w:tab w:leader="none" w:pos="560" w:val="left"/>
        </w:tabs>
        <w:numPr>
          <w:ilvl w:val="0"/>
          <w:numId w:val="1"/>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29, 2025</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08" w:lineRule="exact"/>
        <w:rPr>
          <w:sz w:val="24"/>
          <w:szCs w:val="24"/>
          <w:color w:val="auto"/>
        </w:rPr>
      </w:pPr>
    </w:p>
    <w:p>
      <w:pPr>
        <w:ind w:left="560" w:hanging="534"/>
        <w:spacing w:after="0"/>
        <w:tabs>
          <w:tab w:leader="none" w:pos="560" w:val="left"/>
        </w:tabs>
        <w:numPr>
          <w:ilvl w:val="0"/>
          <w:numId w:val="2"/>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62" w:lineRule="exact"/>
        <w:rPr>
          <w:sz w:val="24"/>
          <w:szCs w:val="24"/>
          <w:color w:val="auto"/>
        </w:rPr>
      </w:pPr>
    </w:p>
    <w:p>
      <w:pPr>
        <w:ind w:left="3480"/>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001-39599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HOLLEY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59" w:lineRule="exact"/>
        <w:rPr>
          <w:sz w:val="24"/>
          <w:szCs w:val="24"/>
          <w:color w:val="auto"/>
        </w:rPr>
      </w:pPr>
    </w:p>
    <w:p>
      <w:pPr>
        <w:ind w:left="2460"/>
        <w:spacing w:after="0"/>
        <w:tabs>
          <w:tab w:leader="none" w:pos="79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87-1727560</w:t>
      </w:r>
    </w:p>
    <w:p>
      <w:pPr>
        <w:spacing w:after="0" w:line="55" w:lineRule="exact"/>
        <w:rPr>
          <w:sz w:val="24"/>
          <w:szCs w:val="24"/>
          <w:color w:val="auto"/>
        </w:rPr>
      </w:pPr>
    </w:p>
    <w:p>
      <w:pPr>
        <w:ind w:left="1040"/>
        <w:spacing w:after="0"/>
        <w:tabs>
          <w:tab w:leader="none" w:pos="7380" w:val="left"/>
        </w:tabs>
        <w:rPr>
          <w:sz w:val="20"/>
          <w:szCs w:val="20"/>
          <w:color w:val="auto"/>
        </w:rPr>
      </w:pPr>
      <w:r>
        <w:rPr>
          <w:rFonts w:ascii="Arial" w:cs="Arial" w:eastAsia="Arial" w:hAnsi="Arial"/>
          <w:sz w:val="13"/>
          <w:szCs w:val="13"/>
          <w:b w:val="1"/>
          <w:bCs w:val="1"/>
          <w:color w:val="auto"/>
        </w:rPr>
        <w:t>(State or other jurisdiction of incorporation or organization)</w:t>
      </w:r>
      <w:r>
        <w:rPr>
          <w:sz w:val="20"/>
          <w:szCs w:val="20"/>
          <w:color w:val="auto"/>
        </w:rPr>
        <w:tab/>
      </w:r>
      <w:r>
        <w:rPr>
          <w:rFonts w:ascii="Arial" w:cs="Arial" w:eastAsia="Arial" w:hAnsi="Arial"/>
          <w:sz w:val="12"/>
          <w:szCs w:val="12"/>
          <w:b w:val="1"/>
          <w:bCs w:val="1"/>
          <w:color w:val="auto"/>
        </w:rPr>
        <w:t>(I.R.S. Employer Identification No.)</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2445 Nashville Road, Suite B1, Bowling Green, KY 42101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(270) 782-2900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 N/A</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Trading</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25"/>
        </w:trPr>
        <w:tc>
          <w:tcPr>
            <w:tcW w:w="3760" w:type="dxa"/>
            <w:vAlign w:val="bottom"/>
            <w:gridSpan w:val="2"/>
          </w:tcPr>
          <w:p>
            <w:pPr>
              <w:jc w:val="center"/>
              <w:ind w:right="80"/>
              <w:spacing w:after="0"/>
              <w:rPr>
                <w:sz w:val="20"/>
                <w:szCs w:val="20"/>
                <w:color w:val="auto"/>
              </w:rPr>
            </w:pPr>
            <w:r>
              <w:rPr>
                <w:rFonts w:ascii="Arial" w:cs="Arial" w:eastAsia="Arial" w:hAnsi="Arial"/>
                <w:sz w:val="16"/>
                <w:szCs w:val="16"/>
                <w:color w:val="auto"/>
              </w:rPr>
              <w:t>Common Stock, par value $0.0001</w:t>
            </w: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HLLY</w:t>
            </w:r>
          </w:p>
        </w:tc>
        <w:tc>
          <w:tcPr>
            <w:tcW w:w="36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43"/>
        </w:trPr>
        <w:tc>
          <w:tcPr>
            <w:tcW w:w="3760" w:type="dxa"/>
            <w:vAlign w:val="bottom"/>
            <w:gridSpan w:val="2"/>
          </w:tcPr>
          <w:p>
            <w:pPr>
              <w:jc w:val="center"/>
              <w:ind w:right="80"/>
              <w:spacing w:after="0"/>
              <w:rPr>
                <w:sz w:val="20"/>
                <w:szCs w:val="20"/>
                <w:color w:val="auto"/>
              </w:rPr>
            </w:pPr>
            <w:r>
              <w:rPr>
                <w:rFonts w:ascii="Arial" w:cs="Arial" w:eastAsia="Arial" w:hAnsi="Arial"/>
                <w:sz w:val="16"/>
                <w:szCs w:val="16"/>
                <w:color w:val="auto"/>
              </w:rPr>
              <w:t>Warrants to purchase common stock</w:t>
            </w: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HLLY WS</w:t>
            </w:r>
          </w:p>
        </w:tc>
        <w:tc>
          <w:tcPr>
            <w:tcW w:w="36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0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4"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1" w:lineRule="exact"/>
        <w:rPr>
          <w:sz w:val="24"/>
          <w:szCs w:val="24"/>
          <w:color w:val="auto"/>
        </w:rPr>
      </w:pPr>
    </w:p>
    <w:tbl>
      <w:tblPr>
        <w:tblLayout w:type="fixed"/>
        <w:tblInd w:w="720" w:type="dxa"/>
        <w:tblCellMar>
          <w:top w:w="0" w:type="dxa"/>
          <w:left w:w="0" w:type="dxa"/>
          <w:bottom w:w="0" w:type="dxa"/>
          <w:right w:w="0" w:type="dxa"/>
        </w:tblCellMar>
      </w:tblPr>
      <w:tr>
        <w:trPr>
          <w:trHeight w:val="215"/>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ind w:left="23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40"/>
              <w:spacing w:after="0"/>
              <w:rPr>
                <w:sz w:val="20"/>
                <w:szCs w:val="20"/>
                <w:color w:val="auto"/>
              </w:rPr>
            </w:pPr>
            <w:r>
              <w:rPr>
                <w:rFonts w:ascii="Wingdings" w:cs="Wingdings" w:eastAsia="Wingdings" w:hAnsi="Wingdings"/>
                <w:sz w:val="16"/>
                <w:szCs w:val="16"/>
                <w:b w:val="1"/>
                <w:bCs w:val="1"/>
                <w:color w:val="auto"/>
                <w:w w:val="94"/>
              </w:rPr>
              <w:t>x</w:t>
            </w:r>
          </w:p>
        </w:tc>
      </w:tr>
      <w:tr>
        <w:trPr>
          <w:trHeight w:val="391"/>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27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40"/>
              <w:spacing w:after="0"/>
              <w:rPr>
                <w:sz w:val="20"/>
                <w:szCs w:val="20"/>
                <w:color w:val="auto"/>
              </w:rPr>
            </w:pPr>
            <w:r>
              <w:rPr>
                <w:rFonts w:ascii="Wingdings" w:cs="Wingdings" w:eastAsia="Wingdings" w:hAnsi="Wingdings"/>
                <w:sz w:val="16"/>
                <w:szCs w:val="16"/>
                <w:b w:val="1"/>
                <w:bCs w:val="1"/>
                <w:color w:val="auto"/>
                <w:w w:val="94"/>
              </w:rPr>
              <w:t>x</w:t>
            </w:r>
          </w:p>
        </w:tc>
      </w:tr>
      <w:tr>
        <w:trPr>
          <w:trHeight w:val="391"/>
        </w:trPr>
        <w:tc>
          <w:tcPr>
            <w:tcW w:w="1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360" w:type="dxa"/>
            <w:vAlign w:val="bottom"/>
          </w:tcPr>
          <w:p>
            <w:pPr>
              <w:ind w:left="23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4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90" w:lineRule="exact"/>
        <w:rPr>
          <w:sz w:val="24"/>
          <w:szCs w:val="24"/>
          <w:color w:val="auto"/>
        </w:rPr>
      </w:pPr>
    </w:p>
    <w:p>
      <w:pPr>
        <w:ind w:right="20"/>
        <w:spacing w:after="0" w:line="304"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x</w:t>
      </w:r>
    </w:p>
    <w:p>
      <w:pPr>
        <w:spacing w:after="0" w:line="235"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There were 120,499,661 shares of Common Stock, including 1,093,750 restricted earn-out shares, par value $0.0001 per share, issued and outstanding as of August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71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716"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0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98"/>
              </w:rPr>
              <w:t>TABLE OF CONTENTS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433"/>
        </w:trPr>
        <w:tc>
          <w:tcPr>
            <w:tcW w:w="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PART I – FINANCIAL INFORMATION</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3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9"/>
              </w:rPr>
              <w:t>Item 1. Financial Statements.</w:t>
            </w:r>
          </w:p>
        </w:tc>
        <w:tc>
          <w:tcPr>
            <w:tcW w:w="660" w:type="dxa"/>
            <w:vAlign w:val="bottom"/>
            <w:tcBorders>
              <w:top w:val="single" w:sz="8" w:color="0000FF"/>
            </w:tcBorders>
            <w:gridSpan w:val="3"/>
          </w:tcPr>
          <w:p>
            <w:pPr>
              <w:spacing w:after="0"/>
              <w:rPr>
                <w:sz w:val="21"/>
                <w:szCs w:val="21"/>
                <w:color w:val="auto"/>
              </w:rPr>
            </w:pPr>
          </w:p>
        </w:tc>
        <w:tc>
          <w:tcPr>
            <w:tcW w:w="6300" w:type="dxa"/>
            <w:vAlign w:val="bottom"/>
            <w:gridSpan w:val="5"/>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98"/>
        </w:trPr>
        <w:tc>
          <w:tcPr>
            <w:tcW w:w="20" w:type="dxa"/>
            <w:vAlign w:val="bottom"/>
          </w:tcPr>
          <w:p>
            <w:pPr>
              <w:spacing w:after="0"/>
              <w:rPr>
                <w:sz w:val="24"/>
                <w:szCs w:val="24"/>
                <w:color w:val="auto"/>
              </w:rPr>
            </w:pPr>
          </w:p>
        </w:tc>
        <w:tc>
          <w:tcPr>
            <w:tcW w:w="7740" w:type="dxa"/>
            <w:vAlign w:val="bottom"/>
            <w:gridSpan w:val="14"/>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FF"/>
              </w:rPr>
              <w:t>28</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740" w:type="dxa"/>
            <w:vAlign w:val="bottom"/>
            <w:gridSpan w:val="14"/>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FF"/>
              </w:rPr>
              <w:t>39</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gridSpan w:val="8"/>
          </w:tcPr>
          <w:p>
            <w:pPr>
              <w:spacing w:after="0"/>
              <w:rPr>
                <w:sz w:val="20"/>
                <w:szCs w:val="20"/>
                <w:color w:val="auto"/>
              </w:rPr>
            </w:pPr>
            <w:r>
              <w:rPr>
                <w:rFonts w:ascii="Arial" w:cs="Arial" w:eastAsia="Arial" w:hAnsi="Arial"/>
                <w:sz w:val="18"/>
                <w:szCs w:val="18"/>
                <w:color w:val="0000FF"/>
                <w:w w:val="96"/>
              </w:rPr>
              <w:t>Item 4. Controls and Procedures</w:t>
            </w:r>
          </w:p>
        </w:tc>
        <w:tc>
          <w:tcPr>
            <w:tcW w:w="2820" w:type="dxa"/>
            <w:vAlign w:val="bottom"/>
            <w:gridSpan w:val="4"/>
          </w:tcPr>
          <w:p>
            <w:pPr>
              <w:spacing w:after="0"/>
              <w:rPr>
                <w:sz w:val="24"/>
                <w:szCs w:val="24"/>
                <w:color w:val="auto"/>
              </w:rPr>
            </w:pPr>
          </w:p>
        </w:tc>
        <w:tc>
          <w:tcPr>
            <w:tcW w:w="3940" w:type="dxa"/>
            <w:vAlign w:val="bottom"/>
            <w:gridSpan w:val="3"/>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FF"/>
              </w:rPr>
              <w:t>40</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14"/>
        </w:trPr>
        <w:tc>
          <w:tcPr>
            <w:tcW w:w="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PART II – OTHER INFORMATION</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7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Item 1. Legal Proceedings.</w:t>
            </w:r>
          </w:p>
        </w:tc>
        <w:tc>
          <w:tcPr>
            <w:tcW w:w="6560" w:type="dxa"/>
            <w:vAlign w:val="bottom"/>
            <w:gridSpan w:val="6"/>
          </w:tcPr>
          <w:p>
            <w:pPr>
              <w:spacing w:after="0"/>
              <w:rPr>
                <w:sz w:val="21"/>
                <w:szCs w:val="21"/>
                <w:color w:val="auto"/>
              </w:rPr>
            </w:pPr>
          </w:p>
        </w:tc>
        <w:tc>
          <w:tcPr>
            <w:tcW w:w="1920" w:type="dxa"/>
            <w:vAlign w:val="bottom"/>
            <w:gridSpan w:val="4"/>
          </w:tcPr>
          <w:p>
            <w:pPr>
              <w:ind w:left="1540"/>
              <w:spacing w:after="0"/>
              <w:rPr>
                <w:sz w:val="20"/>
                <w:szCs w:val="20"/>
                <w:color w:val="auto"/>
              </w:rPr>
            </w:pPr>
            <w:r>
              <w:rPr>
                <w:rFonts w:ascii="Arial" w:cs="Arial" w:eastAsia="Arial" w:hAnsi="Arial"/>
                <w:sz w:val="18"/>
                <w:szCs w:val="18"/>
                <w:color w:val="0000FF"/>
              </w:rPr>
              <w:t>42</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780" w:type="dxa"/>
            <w:vAlign w:val="bottom"/>
            <w:gridSpan w:val="4"/>
          </w:tcPr>
          <w:p>
            <w:pPr>
              <w:spacing w:after="0"/>
              <w:rPr>
                <w:sz w:val="20"/>
                <w:szCs w:val="20"/>
                <w:color w:val="auto"/>
              </w:rPr>
            </w:pPr>
            <w:r>
              <w:rPr>
                <w:rFonts w:ascii="Arial" w:cs="Arial" w:eastAsia="Arial" w:hAnsi="Arial"/>
                <w:sz w:val="18"/>
                <w:szCs w:val="18"/>
                <w:color w:val="0000FF"/>
                <w:w w:val="99"/>
              </w:rPr>
              <w:t>Item 1A. Risk Factors.</w:t>
            </w:r>
          </w:p>
        </w:tc>
        <w:tc>
          <w:tcPr>
            <w:tcW w:w="360" w:type="dxa"/>
            <w:vAlign w:val="bottom"/>
            <w:gridSpan w:val="2"/>
          </w:tcPr>
          <w:p>
            <w:pPr>
              <w:spacing w:after="0"/>
              <w:rPr>
                <w:sz w:val="24"/>
                <w:szCs w:val="24"/>
                <w:color w:val="auto"/>
              </w:rPr>
            </w:pPr>
          </w:p>
        </w:tc>
        <w:tc>
          <w:tcPr>
            <w:tcW w:w="7160" w:type="dxa"/>
            <w:vAlign w:val="bottom"/>
            <w:gridSpan w:val="9"/>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FF"/>
              </w:rPr>
              <w:t>42</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9300" w:type="dxa"/>
            <w:vAlign w:val="bottom"/>
            <w:gridSpan w:val="15"/>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920" w:type="dxa"/>
            <w:vAlign w:val="bottom"/>
            <w:gridSpan w:val="4"/>
          </w:tcPr>
          <w:p>
            <w:pPr>
              <w:ind w:left="1540"/>
              <w:spacing w:after="0"/>
              <w:rPr>
                <w:sz w:val="20"/>
                <w:szCs w:val="20"/>
                <w:color w:val="auto"/>
              </w:rPr>
            </w:pPr>
            <w:r>
              <w:rPr>
                <w:rFonts w:ascii="Arial" w:cs="Arial" w:eastAsia="Arial" w:hAnsi="Arial"/>
                <w:sz w:val="18"/>
                <w:szCs w:val="18"/>
                <w:color w:val="0000FF"/>
              </w:rPr>
              <w:t>42</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3.</w:t>
            </w:r>
          </w:p>
        </w:tc>
        <w:tc>
          <w:tcPr>
            <w:tcW w:w="4920" w:type="dxa"/>
            <w:vAlign w:val="bottom"/>
            <w:gridSpan w:val="12"/>
          </w:tcPr>
          <w:p>
            <w:pPr>
              <w:ind w:left="20"/>
              <w:spacing w:after="0"/>
              <w:rPr>
                <w:sz w:val="20"/>
                <w:szCs w:val="20"/>
                <w:color w:val="auto"/>
              </w:rPr>
            </w:pPr>
            <w:r>
              <w:rPr>
                <w:rFonts w:ascii="Arial" w:cs="Arial" w:eastAsia="Arial" w:hAnsi="Arial"/>
                <w:sz w:val="18"/>
                <w:szCs w:val="18"/>
                <w:color w:val="0000FF"/>
              </w:rPr>
              <w:t>Defaults Upon Senior Securities.</w:t>
            </w:r>
          </w:p>
        </w:tc>
        <w:tc>
          <w:tcPr>
            <w:tcW w:w="380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FF"/>
              </w:rPr>
              <w:t>42</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4.</w:t>
            </w:r>
          </w:p>
        </w:tc>
        <w:tc>
          <w:tcPr>
            <w:tcW w:w="1960" w:type="dxa"/>
            <w:vAlign w:val="bottom"/>
            <w:gridSpan w:val="7"/>
          </w:tcPr>
          <w:p>
            <w:pPr>
              <w:ind w:left="20"/>
              <w:spacing w:after="0"/>
              <w:rPr>
                <w:sz w:val="20"/>
                <w:szCs w:val="20"/>
                <w:color w:val="auto"/>
              </w:rPr>
            </w:pPr>
            <w:r>
              <w:rPr>
                <w:rFonts w:ascii="Arial" w:cs="Arial" w:eastAsia="Arial" w:hAnsi="Arial"/>
                <w:sz w:val="18"/>
                <w:szCs w:val="18"/>
                <w:color w:val="0000FF"/>
                <w:w w:val="98"/>
              </w:rPr>
              <w:t>Mine Safety Disclosures</w:t>
            </w:r>
          </w:p>
        </w:tc>
        <w:tc>
          <w:tcPr>
            <w:tcW w:w="660" w:type="dxa"/>
            <w:vAlign w:val="bottom"/>
            <w:gridSpan w:val="3"/>
          </w:tcPr>
          <w:p>
            <w:pPr>
              <w:spacing w:after="0"/>
              <w:rPr>
                <w:sz w:val="24"/>
                <w:szCs w:val="24"/>
                <w:color w:val="auto"/>
              </w:rPr>
            </w:pPr>
          </w:p>
        </w:tc>
        <w:tc>
          <w:tcPr>
            <w:tcW w:w="6100" w:type="dxa"/>
            <w:vAlign w:val="bottom"/>
            <w:gridSpan w:val="4"/>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FF"/>
              </w:rPr>
              <w:t>42</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5.</w:t>
            </w:r>
          </w:p>
        </w:tc>
        <w:tc>
          <w:tcPr>
            <w:tcW w:w="1480" w:type="dxa"/>
            <w:vAlign w:val="bottom"/>
            <w:gridSpan w:val="4"/>
          </w:tcPr>
          <w:p>
            <w:pPr>
              <w:ind w:left="20"/>
              <w:spacing w:after="0"/>
              <w:rPr>
                <w:sz w:val="20"/>
                <w:szCs w:val="20"/>
                <w:color w:val="auto"/>
              </w:rPr>
            </w:pPr>
            <w:r>
              <w:rPr>
                <w:rFonts w:ascii="Arial" w:cs="Arial" w:eastAsia="Arial" w:hAnsi="Arial"/>
                <w:sz w:val="18"/>
                <w:szCs w:val="18"/>
                <w:color w:val="0000FF"/>
                <w:w w:val="99"/>
              </w:rPr>
              <w:t>Other Information.</w:t>
            </w:r>
          </w:p>
        </w:tc>
        <w:tc>
          <w:tcPr>
            <w:tcW w:w="480" w:type="dxa"/>
            <w:vAlign w:val="bottom"/>
            <w:gridSpan w:val="3"/>
          </w:tcPr>
          <w:p>
            <w:pPr>
              <w:spacing w:after="0"/>
              <w:rPr>
                <w:sz w:val="24"/>
                <w:szCs w:val="24"/>
                <w:color w:val="auto"/>
              </w:rPr>
            </w:pPr>
          </w:p>
        </w:tc>
        <w:tc>
          <w:tcPr>
            <w:tcW w:w="6760" w:type="dxa"/>
            <w:vAlign w:val="bottom"/>
            <w:gridSpan w:val="7"/>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FF"/>
              </w:rPr>
              <w:t>42</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Item 6.</w:t>
            </w:r>
          </w:p>
        </w:tc>
        <w:tc>
          <w:tcPr>
            <w:tcW w:w="1480" w:type="dxa"/>
            <w:vAlign w:val="bottom"/>
            <w:gridSpan w:val="4"/>
          </w:tcPr>
          <w:p>
            <w:pPr>
              <w:ind w:left="20"/>
              <w:spacing w:after="0"/>
              <w:rPr>
                <w:sz w:val="20"/>
                <w:szCs w:val="20"/>
                <w:color w:val="auto"/>
              </w:rPr>
            </w:pPr>
            <w:r>
              <w:rPr>
                <w:rFonts w:ascii="Arial" w:cs="Arial" w:eastAsia="Arial" w:hAnsi="Arial"/>
                <w:sz w:val="18"/>
                <w:szCs w:val="18"/>
                <w:color w:val="0000FF"/>
              </w:rPr>
              <w:t>Exhibits.</w:t>
            </w:r>
          </w:p>
        </w:tc>
        <w:tc>
          <w:tcPr>
            <w:tcW w:w="7240" w:type="dxa"/>
            <w:vAlign w:val="bottom"/>
            <w:gridSpan w:val="10"/>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FF"/>
              </w:rPr>
              <w:t>43</w:t>
            </w:r>
          </w:p>
        </w:tc>
      </w:tr>
      <w:tr>
        <w:trPr>
          <w:trHeight w:val="20"/>
        </w:trPr>
        <w:tc>
          <w:tcPr>
            <w:tcW w:w="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20" w:type="dxa"/>
            <w:vAlign w:val="bottom"/>
            <w:gridSpan w:val="1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0000FF"/>
              </w:rPr>
              <w:t>SIGNATURE</w:t>
            </w:r>
          </w:p>
        </w:tc>
        <w:tc>
          <w:tcPr>
            <w:tcW w:w="8020" w:type="dxa"/>
            <w:vAlign w:val="bottom"/>
            <w:gridSpan w:val="12"/>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gridSpan w:val="3"/>
          </w:tcPr>
          <w:p>
            <w:pPr>
              <w:spacing w:after="0"/>
              <w:rPr>
                <w:sz w:val="20"/>
                <w:szCs w:val="20"/>
                <w:color w:val="auto"/>
              </w:rPr>
            </w:pPr>
            <w:r>
              <w:rPr>
                <w:rFonts w:ascii="Arial" w:cs="Arial" w:eastAsia="Arial" w:hAnsi="Arial"/>
                <w:sz w:val="18"/>
                <w:szCs w:val="18"/>
                <w:color w:val="0000FF"/>
              </w:rPr>
              <w:t>44</w:t>
            </w:r>
          </w:p>
        </w:tc>
      </w:tr>
      <w:tr>
        <w:trPr>
          <w:trHeight w:val="740"/>
        </w:trPr>
        <w:tc>
          <w:tcPr>
            <w:tcW w:w="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700" w:type="dxa"/>
            <w:vAlign w:val="bottom"/>
            <w:gridSpan w:val="12"/>
          </w:tcPr>
          <w:p>
            <w:pPr>
              <w:jc w:val="right"/>
              <w:ind w:right="2080"/>
              <w:spacing w:after="0"/>
              <w:rPr>
                <w:sz w:val="20"/>
                <w:szCs w:val="20"/>
                <w:color w:val="auto"/>
              </w:rPr>
            </w:pPr>
            <w:r>
              <w:rPr>
                <w:rFonts w:ascii="Arial" w:cs="Arial" w:eastAsia="Arial" w:hAnsi="Arial"/>
                <w:sz w:val="18"/>
                <w:szCs w:val="18"/>
                <w:color w:val="auto"/>
              </w:rPr>
              <w:t>2</w:t>
            </w: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r>
      <w:tr>
        <w:trPr>
          <w:trHeight w:val="327"/>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spacing w:after="0" w:line="181"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its business strategy, including monetization of services provided and expansions in and into existing and new lines of business;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the impact of geopolitical events, including military conflicts (including the conflict in Ukraine, the conflict in the Middle East, the possible expansion of such conflicts and potential geopolitical consequences), tariffs, the interruption from catastrophic events and problems such as terrorism, and public health crises;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resellers;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impact of elevated interest rate levels, which cause the cost of capital to increase, as well as respond to inflationary pressures and tariffs;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and mitigate the impact of changing trade policies, including tariffs;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 whether through anticipated organic or external growth initiatives or through the implementation of cost savings initiatives;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increased constraints in consumer demand and/or shifts in the mix of products sold;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goodwill and other intangible asset impairment charges;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 the impact of any security breaches, cyber-attacks, or other cybersecurity threats or incidents, or the failure of any key information technology systems;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additional capital, including through the sale of equity or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operations on an economically viable basis;</w:t>
      </w:r>
    </w:p>
    <w:p>
      <w:pPr>
        <w:spacing w:after="0" w:line="225"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Holley’s New York Stock Exchange (“NYSE”) listing of its common stock (“Common Stock”) and warrants to purchase Common Stock ("Warrants");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comply with existing and/or future laws and regulations applicable to our business, including laws and regulations related to environmental health and safety or climate-related disclosures;</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impact of changes in U.S. tax laws and regulations, including the impact on deferred tax assets;</w:t>
      </w:r>
    </w:p>
    <w:p>
      <w:pPr>
        <w:spacing w:after="0" w:line="2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1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other risks and factors, listed under the caption “Risk Factors” included in our Annual Report on Form 10-K for the year ended December 31, 2024, as filed with the U.S. Securities and Exchange Commission (the "SEC") on March 14, 2025, and/or as disclosed in any subsequent filings with the SEC.</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are based on information available as of the date of this Quarterly Report on Form 10-Q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94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9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94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HOLLEY INC.</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jc w:val="center"/>
              <w:ind w:left="3210"/>
              <w:spacing w:after="0"/>
              <w:rPr>
                <w:sz w:val="20"/>
                <w:szCs w:val="20"/>
                <w:color w:val="auto"/>
              </w:rPr>
            </w:pPr>
            <w:r>
              <w:rPr>
                <w:rFonts w:ascii="Arial" w:cs="Arial" w:eastAsia="Arial" w:hAnsi="Arial"/>
                <w:sz w:val="18"/>
                <w:szCs w:val="18"/>
                <w:color w:val="auto"/>
              </w:rPr>
              <w:t>(in thousands, except share data)</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940" w:type="dxa"/>
            <w:vAlign w:val="bottom"/>
          </w:tcPr>
          <w:p>
            <w:pPr>
              <w:jc w:val="center"/>
              <w:ind w:left="321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As of</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9"/>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June 29, 2025</w:t>
            </w:r>
          </w:p>
        </w:tc>
        <w:tc>
          <w:tcPr>
            <w:tcW w:w="20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4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63,842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56,087</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less allowance for credit losses of $1,904 and $2,026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36,123</w:t>
            </w:r>
          </w:p>
        </w:tc>
        <w:tc>
          <w:tcPr>
            <w:tcW w:w="0" w:type="dxa"/>
            <w:vAlign w:val="bottom"/>
          </w:tcPr>
          <w:p>
            <w:pPr>
              <w:spacing w:after="0"/>
              <w:rPr>
                <w:sz w:val="1"/>
                <w:szCs w:val="1"/>
                <w:color w:val="auto"/>
              </w:rPr>
            </w:pPr>
          </w:p>
        </w:tc>
      </w:tr>
      <w:tr>
        <w:trPr>
          <w:trHeight w:val="247"/>
        </w:trPr>
        <w:tc>
          <w:tcPr>
            <w:tcW w:w="79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180,827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192,523</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12,614</w:t>
            </w:r>
          </w:p>
        </w:tc>
        <w:tc>
          <w:tcPr>
            <w:tcW w:w="0" w:type="dxa"/>
            <w:vAlign w:val="bottom"/>
          </w:tcPr>
          <w:p>
            <w:pPr>
              <w:spacing w:after="0"/>
              <w:rPr>
                <w:sz w:val="1"/>
                <w:szCs w:val="1"/>
                <w:color w:val="auto"/>
              </w:rPr>
            </w:pPr>
          </w:p>
        </w:tc>
      </w:tr>
      <w:tr>
        <w:trPr>
          <w:trHeight w:val="241"/>
        </w:trPr>
        <w:tc>
          <w:tcPr>
            <w:tcW w:w="794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303,213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297,347</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40,983</w:t>
            </w:r>
          </w:p>
        </w:tc>
        <w:tc>
          <w:tcPr>
            <w:tcW w:w="0" w:type="dxa"/>
            <w:vAlign w:val="bottom"/>
          </w:tcPr>
          <w:p>
            <w:pPr>
              <w:spacing w:after="0"/>
              <w:rPr>
                <w:sz w:val="1"/>
                <w:szCs w:val="1"/>
                <w:color w:val="auto"/>
              </w:rPr>
            </w:pPr>
          </w:p>
        </w:tc>
      </w:tr>
      <w:tr>
        <w:trPr>
          <w:trHeight w:val="247"/>
        </w:trPr>
        <w:tc>
          <w:tcPr>
            <w:tcW w:w="7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372,340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372,340</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386,676</w:t>
            </w:r>
          </w:p>
        </w:tc>
        <w:tc>
          <w:tcPr>
            <w:tcW w:w="0" w:type="dxa"/>
            <w:vAlign w:val="bottom"/>
          </w:tcPr>
          <w:p>
            <w:pPr>
              <w:spacing w:after="0"/>
              <w:rPr>
                <w:sz w:val="1"/>
                <w:szCs w:val="1"/>
                <w:color w:val="auto"/>
              </w:rPr>
            </w:pPr>
          </w:p>
        </w:tc>
      </w:tr>
      <w:tr>
        <w:trPr>
          <w:trHeight w:val="247"/>
        </w:trPr>
        <w:tc>
          <w:tcPr>
            <w:tcW w:w="79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34,421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35,974</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1,158,230</w:t>
            </w: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1,133,320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44,781</w:t>
            </w:r>
          </w:p>
        </w:tc>
        <w:tc>
          <w:tcPr>
            <w:tcW w:w="0" w:type="dxa"/>
            <w:vAlign w:val="bottom"/>
          </w:tcPr>
          <w:p>
            <w:pPr>
              <w:spacing w:after="0"/>
              <w:rPr>
                <w:sz w:val="1"/>
                <w:szCs w:val="1"/>
                <w:color w:val="auto"/>
              </w:rPr>
            </w:pPr>
          </w:p>
        </w:tc>
      </w:tr>
      <w:tr>
        <w:trPr>
          <w:trHeight w:val="247"/>
        </w:trPr>
        <w:tc>
          <w:tcPr>
            <w:tcW w:w="79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43,190</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40"/>
        </w:trPr>
        <w:tc>
          <w:tcPr>
            <w:tcW w:w="79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95,172</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545,385</w:t>
            </w:r>
          </w:p>
        </w:tc>
        <w:tc>
          <w:tcPr>
            <w:tcW w:w="0" w:type="dxa"/>
            <w:vAlign w:val="bottom"/>
          </w:tcPr>
          <w:p>
            <w:pPr>
              <w:spacing w:after="0"/>
              <w:rPr>
                <w:sz w:val="1"/>
                <w:szCs w:val="1"/>
                <w:color w:val="auto"/>
              </w:rPr>
            </w:pPr>
          </w:p>
        </w:tc>
      </w:tr>
      <w:tr>
        <w:trPr>
          <w:trHeight w:val="247"/>
        </w:trPr>
        <w:tc>
          <w:tcPr>
            <w:tcW w:w="794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47"/>
        </w:trPr>
        <w:tc>
          <w:tcPr>
            <w:tcW w:w="794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37,391</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32,259</w:t>
            </w:r>
          </w:p>
        </w:tc>
        <w:tc>
          <w:tcPr>
            <w:tcW w:w="0" w:type="dxa"/>
            <w:vAlign w:val="bottom"/>
          </w:tcPr>
          <w:p>
            <w:pPr>
              <w:spacing w:after="0"/>
              <w:rPr>
                <w:sz w:val="1"/>
                <w:szCs w:val="1"/>
                <w:color w:val="auto"/>
              </w:rPr>
            </w:pPr>
          </w:p>
        </w:tc>
      </w:tr>
      <w:tr>
        <w:trPr>
          <w:trHeight w:val="240"/>
        </w:trPr>
        <w:tc>
          <w:tcPr>
            <w:tcW w:w="79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720,391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712,168</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(Refer to Note 15 - 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9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5,000,000 shares authorized, none issued and outstanding 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June 29, 2025 and December 31, 2024</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Arial" w:cs="Arial" w:eastAsia="Arial" w:hAnsi="Arial"/>
                <w:sz w:val="18"/>
                <w:szCs w:val="18"/>
                <w:color w:val="auto"/>
              </w:rPr>
              <w:t>Common stock, $0.0001 par value, 550,000,000 shares authorized, 119,405,911 and 118,748,697</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40" w:type="dxa"/>
            <w:vAlign w:val="bottom"/>
          </w:tcPr>
          <w:p>
            <w:pPr>
              <w:ind w:left="180"/>
              <w:spacing w:after="0"/>
              <w:rPr>
                <w:sz w:val="20"/>
                <w:szCs w:val="20"/>
                <w:color w:val="auto"/>
              </w:rPr>
            </w:pPr>
            <w:r>
              <w:rPr>
                <w:rFonts w:ascii="Arial" w:cs="Arial" w:eastAsia="Arial" w:hAnsi="Arial"/>
                <w:sz w:val="18"/>
                <w:szCs w:val="18"/>
                <w:color w:val="auto"/>
              </w:rPr>
              <w:t>shares issued and outstanding on June 29, 2025 and December 31, 2024, respectively</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377,557</w:t>
            </w:r>
          </w:p>
        </w:tc>
        <w:tc>
          <w:tcPr>
            <w:tcW w:w="0" w:type="dxa"/>
            <w:vAlign w:val="bottom"/>
          </w:tcPr>
          <w:p>
            <w:pPr>
              <w:spacing w:after="0"/>
              <w:rPr>
                <w:sz w:val="1"/>
                <w:szCs w:val="1"/>
                <w:color w:val="auto"/>
              </w:rPr>
            </w:pPr>
          </w:p>
        </w:tc>
      </w:tr>
      <w:tr>
        <w:trPr>
          <w:trHeight w:val="247"/>
        </w:trPr>
        <w:tc>
          <w:tcPr>
            <w:tcW w:w="794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44,745</w:t>
            </w:r>
          </w:p>
        </w:tc>
        <w:tc>
          <w:tcPr>
            <w:tcW w:w="0" w:type="dxa"/>
            <w:vAlign w:val="bottom"/>
          </w:tcPr>
          <w:p>
            <w:pPr>
              <w:spacing w:after="0"/>
              <w:rPr>
                <w:sz w:val="1"/>
                <w:szCs w:val="1"/>
                <w:color w:val="auto"/>
              </w:rPr>
            </w:pPr>
          </w:p>
        </w:tc>
      </w:tr>
      <w:tr>
        <w:trPr>
          <w:trHeight w:val="240"/>
        </w:trPr>
        <w:tc>
          <w:tcPr>
            <w:tcW w:w="794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437,839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421,152</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1,158,230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1,133,320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4900" w:type="dxa"/>
            <w:vAlign w:val="bottom"/>
          </w:tcPr>
          <w:p>
            <w:pPr>
              <w:spacing w:after="0"/>
              <w:rPr>
                <w:sz w:val="20"/>
                <w:szCs w:val="20"/>
                <w:color w:val="auto"/>
              </w:rPr>
            </w:pPr>
          </w:p>
        </w:tc>
        <w:tc>
          <w:tcPr>
            <w:tcW w:w="2720" w:type="dxa"/>
            <w:vAlign w:val="bottom"/>
            <w:gridSpan w:val="6"/>
          </w:tcPr>
          <w:p>
            <w:pPr>
              <w:ind w:left="60"/>
              <w:spacing w:after="0"/>
              <w:rPr>
                <w:sz w:val="20"/>
                <w:szCs w:val="20"/>
                <w:color w:val="auto"/>
              </w:rPr>
            </w:pPr>
            <w:r>
              <w:rPr>
                <w:rFonts w:ascii="Arial" w:cs="Arial" w:eastAsia="Arial" w:hAnsi="Arial"/>
                <w:sz w:val="18"/>
                <w:szCs w:val="18"/>
                <w:color w:val="auto"/>
              </w:rPr>
              <w:t>For the thirteen weeks ended</w:t>
            </w:r>
          </w:p>
        </w:tc>
        <w:tc>
          <w:tcPr>
            <w:tcW w:w="2640" w:type="dxa"/>
            <w:vAlign w:val="bottom"/>
            <w:gridSpan w:val="5"/>
          </w:tcPr>
          <w:p>
            <w:pPr>
              <w:ind w:left="40"/>
              <w:spacing w:after="0"/>
              <w:rPr>
                <w:sz w:val="20"/>
                <w:szCs w:val="20"/>
                <w:color w:val="auto"/>
              </w:rPr>
            </w:pPr>
            <w:r>
              <w:rPr>
                <w:rFonts w:ascii="Arial" w:cs="Arial" w:eastAsia="Arial" w:hAnsi="Arial"/>
                <w:sz w:val="18"/>
                <w:szCs w:val="18"/>
                <w:color w:val="auto"/>
              </w:rPr>
              <w:t>For the twenty-six weeks ended</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9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June 29, 2025</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June 30, 2024</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June 29, 2025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June 30, 2024</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166,661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169,496</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328,132</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99,203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186,059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205,780</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69,558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70,293</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122,352</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34,570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69,653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67,566</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4,311</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3,435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Other operating expense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42,415</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86,789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84,266</w:t>
            </w:r>
          </w:p>
        </w:tc>
        <w:tc>
          <w:tcPr>
            <w:tcW w:w="0" w:type="dxa"/>
            <w:vAlign w:val="bottom"/>
          </w:tcPr>
          <w:p>
            <w:pPr>
              <w:spacing w:after="0"/>
              <w:rPr>
                <w:sz w:val="1"/>
                <w:szCs w:val="1"/>
                <w:color w:val="auto"/>
              </w:rPr>
            </w:pPr>
          </w:p>
        </w:tc>
      </w:tr>
      <w:tr>
        <w:trPr>
          <w:trHeight w:val="241"/>
        </w:trPr>
        <w:tc>
          <w:tcPr>
            <w:tcW w:w="49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27,514</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27,878</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46,857</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38,086</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13,178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29,082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24,182</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non-operating expense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8,718</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0" w:type="dxa"/>
            <w:vAlign w:val="bottom"/>
          </w:tcPr>
          <w:p>
            <w:pPr>
              <w:spacing w:after="0"/>
              <w:rPr>
                <w:sz w:val="1"/>
                <w:szCs w:val="1"/>
                <w:color w:val="auto"/>
              </w:rPr>
            </w:pPr>
          </w:p>
        </w:tc>
      </w:tr>
      <w:tr>
        <w:trPr>
          <w:trHeight w:val="240"/>
        </w:trPr>
        <w:tc>
          <w:tcPr>
            <w:tcW w:w="490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14,366</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19,160</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21,999</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56"/>
        </w:trPr>
        <w:tc>
          <w:tcPr>
            <w:tcW w:w="490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80" w:type="dxa"/>
            <w:vAlign w:val="bottom"/>
          </w:tcPr>
          <w:p>
            <w:pPr>
              <w:spacing w:after="0"/>
              <w:rPr>
                <w:sz w:val="22"/>
                <w:szCs w:val="22"/>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17,105</w:t>
            </w:r>
          </w:p>
        </w:tc>
        <w:tc>
          <w:tcPr>
            <w:tcW w:w="26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13,680</w:t>
            </w:r>
          </w:p>
        </w:tc>
        <w:tc>
          <w:tcPr>
            <w:tcW w:w="8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20,835</w:t>
            </w:r>
          </w:p>
        </w:tc>
        <w:tc>
          <w:tcPr>
            <w:tcW w:w="0" w:type="dxa"/>
            <w:vAlign w:val="bottom"/>
          </w:tcPr>
          <w:p>
            <w:pPr>
              <w:spacing w:after="0"/>
              <w:rPr>
                <w:sz w:val="1"/>
                <w:szCs w:val="1"/>
                <w:color w:val="auto"/>
              </w:rPr>
            </w:pPr>
          </w:p>
        </w:tc>
      </w:tr>
      <w:tr>
        <w:trPr>
          <w:trHeight w:val="278"/>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9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comprehensive income</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17,149</w:t>
            </w:r>
          </w:p>
        </w:tc>
        <w:tc>
          <w:tcPr>
            <w:tcW w:w="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14,634</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Common Share Data: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119,162,895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118,470,358</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119,005,954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118,171,093</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119,790,625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119,261,236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119,676,684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119,383,282</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Diluted net income per share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 (unaudited)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280" w:type="dxa"/>
            <w:vAlign w:val="bottom"/>
            <w:gridSpan w:val="5"/>
          </w:tcPr>
          <w:p>
            <w:pPr>
              <w:ind w:left="48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2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3"/>
                <w:szCs w:val="3"/>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7"/>
              </w:rPr>
              <w:t>Other</w:t>
            </w: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Paid-In</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Comprehensive</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Retained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Capital</w:t>
            </w:r>
          </w:p>
        </w:tc>
        <w:tc>
          <w:tcPr>
            <w:tcW w:w="14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Loss</w:t>
            </w: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117,707,280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373,869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441,151</w:t>
            </w:r>
          </w:p>
        </w:tc>
        <w:tc>
          <w:tcPr>
            <w:tcW w:w="0" w:type="dxa"/>
            <w:vAlign w:val="bottom"/>
          </w:tcPr>
          <w:p>
            <w:pPr>
              <w:spacing w:after="0"/>
              <w:rPr>
                <w:sz w:val="1"/>
                <w:szCs w:val="1"/>
                <w:color w:val="auto"/>
              </w:rPr>
            </w:pPr>
          </w:p>
        </w:tc>
      </w:tr>
      <w:tr>
        <w:trPr>
          <w:trHeight w:val="247"/>
        </w:trPr>
        <w:tc>
          <w:tcPr>
            <w:tcW w:w="4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7"/>
        </w:trPr>
        <w:tc>
          <w:tcPr>
            <w:tcW w:w="420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withholding related to vesting of restricted</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units</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7"/>
        </w:trPr>
        <w:tc>
          <w:tcPr>
            <w:tcW w:w="4200" w:type="dxa"/>
            <w:vAlign w:val="bottom"/>
          </w:tcPr>
          <w:p>
            <w:pPr>
              <w:ind w:left="160"/>
              <w:spacing w:after="0"/>
              <w:rPr>
                <w:sz w:val="20"/>
                <w:szCs w:val="20"/>
                <w:color w:val="auto"/>
              </w:rPr>
            </w:pPr>
            <w:r>
              <w:rPr>
                <w:rFonts w:ascii="Arial" w:cs="Arial" w:eastAsia="Arial" w:hAnsi="Arial"/>
                <w:sz w:val="18"/>
                <w:szCs w:val="18"/>
                <w:color w:val="auto"/>
              </w:rPr>
              <w:t>Issuance of shares for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604,061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118,311,341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374,089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444,915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vMerge w:val="continue"/>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17,105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17,105</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47"/>
        </w:trPr>
        <w:tc>
          <w:tcPr>
            <w:tcW w:w="42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 related to vesting of restricted stock</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7"/>
        </w:trPr>
        <w:tc>
          <w:tcPr>
            <w:tcW w:w="4200" w:type="dxa"/>
            <w:vAlign w:val="bottom"/>
          </w:tcPr>
          <w:p>
            <w:pPr>
              <w:ind w:left="20"/>
              <w:spacing w:after="0"/>
              <w:rPr>
                <w:sz w:val="20"/>
                <w:szCs w:val="20"/>
                <w:color w:val="auto"/>
              </w:rPr>
            </w:pPr>
            <w:r>
              <w:rPr>
                <w:rFonts w:ascii="Arial" w:cs="Arial" w:eastAsia="Arial" w:hAnsi="Arial"/>
                <w:sz w:val="18"/>
                <w:szCs w:val="18"/>
                <w:color w:val="auto"/>
              </w:rPr>
              <w:t>Issuance of shares for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372,131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118,683,472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375,194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463,169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118,748,697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377,557</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421,152</w:t>
            </w:r>
          </w:p>
        </w:tc>
        <w:tc>
          <w:tcPr>
            <w:tcW w:w="0" w:type="dxa"/>
            <w:vAlign w:val="bottom"/>
          </w:tcPr>
          <w:p>
            <w:pPr>
              <w:spacing w:after="0"/>
              <w:rPr>
                <w:sz w:val="1"/>
                <w:szCs w:val="1"/>
                <w:color w:val="auto"/>
              </w:rPr>
            </w:pPr>
          </w:p>
        </w:tc>
      </w:tr>
      <w:tr>
        <w:trPr>
          <w:trHeight w:val="247"/>
        </w:trPr>
        <w:tc>
          <w:tcPr>
            <w:tcW w:w="4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compensation</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47"/>
        </w:trPr>
        <w:tc>
          <w:tcPr>
            <w:tcW w:w="420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withholding related to vesting of restricted</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units</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47"/>
        </w:trPr>
        <w:tc>
          <w:tcPr>
            <w:tcW w:w="4200" w:type="dxa"/>
            <w:vAlign w:val="bottom"/>
          </w:tcPr>
          <w:p>
            <w:pPr>
              <w:ind w:left="160"/>
              <w:spacing w:after="0"/>
              <w:rPr>
                <w:sz w:val="20"/>
                <w:szCs w:val="20"/>
                <w:color w:val="auto"/>
              </w:rPr>
            </w:pPr>
            <w:r>
              <w:rPr>
                <w:rFonts w:ascii="Arial" w:cs="Arial" w:eastAsia="Arial" w:hAnsi="Arial"/>
                <w:sz w:val="18"/>
                <w:szCs w:val="18"/>
                <w:color w:val="auto"/>
              </w:rPr>
              <w:t>Issuance of shares for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333,960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30,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119,082,657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378,458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424,585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vMerge w:val="continue"/>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10,863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compensation</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47"/>
        </w:trPr>
        <w:tc>
          <w:tcPr>
            <w:tcW w:w="420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withholding related to vesting of restricted</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 units</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7"/>
        </w:trPr>
        <w:tc>
          <w:tcPr>
            <w:tcW w:w="4200" w:type="dxa"/>
            <w:vAlign w:val="bottom"/>
          </w:tcPr>
          <w:p>
            <w:pPr>
              <w:ind w:left="140"/>
              <w:spacing w:after="0"/>
              <w:rPr>
                <w:sz w:val="20"/>
                <w:szCs w:val="20"/>
                <w:color w:val="auto"/>
              </w:rPr>
            </w:pPr>
            <w:r>
              <w:rPr>
                <w:rFonts w:ascii="Arial" w:cs="Arial" w:eastAsia="Arial" w:hAnsi="Arial"/>
                <w:sz w:val="18"/>
                <w:szCs w:val="18"/>
                <w:color w:val="auto"/>
              </w:rPr>
              <w:t>Issuance of shares for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323,254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29,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119,405,911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379,610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437,839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color w:val="auto"/>
              </w:rPr>
              <w:t>For the twenty-six weeks ended</w:t>
            </w:r>
          </w:p>
        </w:tc>
      </w:tr>
      <w:tr>
        <w:trPr>
          <w:trHeight w:val="237"/>
        </w:trPr>
        <w:tc>
          <w:tcPr>
            <w:tcW w:w="7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color w:val="auto"/>
              </w:rPr>
              <w:t>June 29, 2025</w:t>
            </w:r>
          </w:p>
        </w:tc>
        <w:tc>
          <w:tcPr>
            <w:tcW w:w="220" w:type="dxa"/>
            <w:vAlign w:val="bottom"/>
          </w:tcPr>
          <w:p>
            <w:pPr>
              <w:spacing w:after="0"/>
              <w:rPr>
                <w:sz w:val="20"/>
                <w:szCs w:val="20"/>
                <w:color w:val="auto"/>
              </w:rPr>
            </w:pPr>
          </w:p>
        </w:tc>
        <w:tc>
          <w:tcPr>
            <w:tcW w:w="1420" w:type="dxa"/>
            <w:vAlign w:val="bottom"/>
          </w:tcPr>
          <w:p>
            <w:pPr>
              <w:jc w:val="right"/>
              <w:ind w:right="219"/>
              <w:spacing w:after="0"/>
              <w:rPr>
                <w:sz w:val="20"/>
                <w:szCs w:val="20"/>
                <w:color w:val="auto"/>
              </w:rPr>
            </w:pPr>
            <w:r>
              <w:rPr>
                <w:rFonts w:ascii="Arial" w:cs="Arial" w:eastAsia="Arial" w:hAnsi="Arial"/>
                <w:sz w:val="16"/>
                <w:szCs w:val="16"/>
                <w:color w:val="auto"/>
              </w:rPr>
              <w:t>June 30, 2024</w:t>
            </w:r>
          </w:p>
        </w:tc>
      </w:tr>
      <w:tr>
        <w:trPr>
          <w:trHeight w:val="229"/>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35"/>
        </w:trPr>
        <w:tc>
          <w:tcPr>
            <w:tcW w:w="7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13,680</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20,835</w:t>
            </w:r>
          </w:p>
        </w:tc>
      </w:tr>
      <w:tr>
        <w:trPr>
          <w:trHeight w:val="251"/>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Adjustments to reconcile net income to net cash from operating activities: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5"/>
        </w:trPr>
        <w:tc>
          <w:tcPr>
            <w:tcW w:w="788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5,133</w:t>
            </w:r>
          </w:p>
        </w:tc>
      </w:tr>
      <w:tr>
        <w:trPr>
          <w:trHeight w:val="251"/>
        </w:trPr>
        <w:tc>
          <w:tcPr>
            <w:tcW w:w="7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6,871</w:t>
            </w:r>
          </w:p>
        </w:tc>
      </w:tr>
      <w:tr>
        <w:trPr>
          <w:trHeight w:val="235"/>
        </w:trPr>
        <w:tc>
          <w:tcPr>
            <w:tcW w:w="7880" w:type="dxa"/>
            <w:vAlign w:val="bottom"/>
          </w:tcPr>
          <w:p>
            <w:pPr>
              <w:ind w:left="360"/>
              <w:spacing w:after="0"/>
              <w:rPr>
                <w:sz w:val="20"/>
                <w:szCs w:val="20"/>
                <w:color w:val="auto"/>
              </w:rPr>
            </w:pPr>
            <w:r>
              <w:rPr>
                <w:rFonts w:ascii="Arial" w:cs="Arial" w:eastAsia="Arial" w:hAnsi="Arial"/>
                <w:sz w:val="16"/>
                <w:szCs w:val="16"/>
                <w:color w:val="auto"/>
              </w:rPr>
              <w:t>Amortization of deferred loan costs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871</w:t>
            </w:r>
          </w:p>
        </w:tc>
      </w:tr>
      <w:tr>
        <w:trPr>
          <w:trHeight w:val="251"/>
        </w:trPr>
        <w:tc>
          <w:tcPr>
            <w:tcW w:w="7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right of use assets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w:t>
            </w:r>
          </w:p>
        </w:tc>
      </w:tr>
      <w:tr>
        <w:trPr>
          <w:trHeight w:val="235"/>
        </w:trPr>
        <w:tc>
          <w:tcPr>
            <w:tcW w:w="7880" w:type="dxa"/>
            <w:vAlign w:val="bottom"/>
          </w:tcPr>
          <w:p>
            <w:pPr>
              <w:ind w:left="360"/>
              <w:spacing w:after="0"/>
              <w:rPr>
                <w:sz w:val="20"/>
                <w:szCs w:val="20"/>
                <w:color w:val="auto"/>
              </w:rPr>
            </w:pPr>
            <w:r>
              <w:rPr>
                <w:rFonts w:ascii="Arial" w:cs="Arial" w:eastAsia="Arial" w:hAnsi="Arial"/>
                <w:sz w:val="16"/>
                <w:szCs w:val="16"/>
                <w:color w:val="auto"/>
              </w:rPr>
              <w:t>Fair value adjustments to warrant liability</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(6,529)</w:t>
            </w:r>
          </w:p>
        </w:tc>
      </w:tr>
      <w:tr>
        <w:trPr>
          <w:trHeight w:val="251"/>
        </w:trPr>
        <w:tc>
          <w:tcPr>
            <w:tcW w:w="7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Fair value adjustments to earn-out liability</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r>
      <w:tr>
        <w:trPr>
          <w:trHeight w:val="235"/>
        </w:trPr>
        <w:tc>
          <w:tcPr>
            <w:tcW w:w="7880" w:type="dxa"/>
            <w:vAlign w:val="bottom"/>
          </w:tcPr>
          <w:p>
            <w:pPr>
              <w:ind w:left="360"/>
              <w:spacing w:after="0"/>
              <w:rPr>
                <w:sz w:val="20"/>
                <w:szCs w:val="20"/>
                <w:color w:val="auto"/>
              </w:rPr>
            </w:pPr>
            <w:r>
              <w:rPr>
                <w:rFonts w:ascii="Arial" w:cs="Arial" w:eastAsia="Arial" w:hAnsi="Arial"/>
                <w:sz w:val="16"/>
                <w:szCs w:val="16"/>
                <w:color w:val="auto"/>
              </w:rPr>
              <w:t>Fair value adjustments to interest rate collar</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(2,355)</w:t>
            </w:r>
          </w:p>
        </w:tc>
      </w:tr>
      <w:tr>
        <w:trPr>
          <w:trHeight w:val="251"/>
        </w:trPr>
        <w:tc>
          <w:tcPr>
            <w:tcW w:w="7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compensation</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35"/>
        </w:trPr>
        <w:tc>
          <w:tcPr>
            <w:tcW w:w="7880" w:type="dxa"/>
            <w:vAlign w:val="bottom"/>
          </w:tcPr>
          <w:p>
            <w:pPr>
              <w:ind w:left="360"/>
              <w:spacing w:after="0"/>
              <w:rPr>
                <w:sz w:val="20"/>
                <w:szCs w:val="20"/>
                <w:color w:val="auto"/>
              </w:rPr>
            </w:pPr>
            <w:r>
              <w:rPr>
                <w:rFonts w:ascii="Arial" w:cs="Arial" w:eastAsia="Arial" w:hAnsi="Arial"/>
                <w:sz w:val="16"/>
                <w:szCs w:val="16"/>
                <w:color w:val="auto"/>
              </w:rPr>
              <w:t>Change in deferred taxes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(4,901)</w:t>
            </w:r>
          </w:p>
        </w:tc>
      </w:tr>
      <w:tr>
        <w:trPr>
          <w:trHeight w:val="251"/>
        </w:trPr>
        <w:tc>
          <w:tcPr>
            <w:tcW w:w="7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early extinguishment of long-term debt</w:t>
            </w: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35"/>
        </w:trPr>
        <w:tc>
          <w:tcPr>
            <w:tcW w:w="7880" w:type="dxa"/>
            <w:vAlign w:val="bottom"/>
          </w:tcPr>
          <w:p>
            <w:pPr>
              <w:ind w:left="360"/>
              <w:spacing w:after="0"/>
              <w:rPr>
                <w:sz w:val="20"/>
                <w:szCs w:val="20"/>
                <w:color w:val="auto"/>
              </w:rPr>
            </w:pPr>
            <w:r>
              <w:rPr>
                <w:rFonts w:ascii="Arial" w:cs="Arial" w:eastAsia="Arial" w:hAnsi="Arial"/>
                <w:sz w:val="16"/>
                <w:szCs w:val="16"/>
                <w:color w:val="auto"/>
              </w:rPr>
              <w:t>Gain on disposal of property, plant and equipment</w:t>
            </w:r>
          </w:p>
        </w:tc>
        <w:tc>
          <w:tcPr>
            <w:tcW w:w="2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51"/>
        </w:trPr>
        <w:tc>
          <w:tcPr>
            <w:tcW w:w="7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inventory reserves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11,694</w:t>
            </w:r>
          </w:p>
        </w:tc>
      </w:tr>
      <w:tr>
        <w:trPr>
          <w:trHeight w:val="235"/>
        </w:trPr>
        <w:tc>
          <w:tcPr>
            <w:tcW w:w="7880" w:type="dxa"/>
            <w:vAlign w:val="bottom"/>
          </w:tcPr>
          <w:p>
            <w:pPr>
              <w:ind w:left="360"/>
              <w:spacing w:after="0"/>
              <w:rPr>
                <w:sz w:val="20"/>
                <w:szCs w:val="20"/>
                <w:color w:val="auto"/>
              </w:rPr>
            </w:pPr>
            <w:r>
              <w:rPr>
                <w:rFonts w:ascii="Arial" w:cs="Arial" w:eastAsia="Arial" w:hAnsi="Arial"/>
                <w:sz w:val="16"/>
                <w:szCs w:val="16"/>
                <w:color w:val="auto"/>
              </w:rPr>
              <w:t>Provision for credit losses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51"/>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5"/>
        </w:trPr>
        <w:tc>
          <w:tcPr>
            <w:tcW w:w="788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(14,865)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(8,114)</w:t>
            </w:r>
          </w:p>
        </w:tc>
      </w:tr>
      <w:tr>
        <w:trPr>
          <w:trHeight w:val="251"/>
        </w:trPr>
        <w:tc>
          <w:tcPr>
            <w:tcW w:w="78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6,814</w:t>
            </w:r>
          </w:p>
        </w:tc>
      </w:tr>
      <w:tr>
        <w:trPr>
          <w:trHeight w:val="235"/>
        </w:trPr>
        <w:tc>
          <w:tcPr>
            <w:tcW w:w="7880" w:type="dxa"/>
            <w:vAlign w:val="bottom"/>
          </w:tcPr>
          <w:p>
            <w:pPr>
              <w:ind w:left="680"/>
              <w:spacing w:after="0"/>
              <w:rPr>
                <w:sz w:val="20"/>
                <w:szCs w:val="20"/>
                <w:color w:val="auto"/>
              </w:rPr>
            </w:pPr>
            <w:r>
              <w:rPr>
                <w:rFonts w:ascii="Arial" w:cs="Arial" w:eastAsia="Arial" w:hAnsi="Arial"/>
                <w:sz w:val="16"/>
                <w:szCs w:val="16"/>
                <w:color w:val="auto"/>
              </w:rPr>
              <w:t>Prepaids and other current assets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4,044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51"/>
        </w:trPr>
        <w:tc>
          <w:tcPr>
            <w:tcW w:w="78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14,951</w:t>
            </w:r>
          </w:p>
        </w:tc>
      </w:tr>
      <w:tr>
        <w:trPr>
          <w:trHeight w:val="235"/>
        </w:trPr>
        <w:tc>
          <w:tcPr>
            <w:tcW w:w="7880" w:type="dxa"/>
            <w:vAlign w:val="bottom"/>
          </w:tcPr>
          <w:p>
            <w:pPr>
              <w:ind w:left="68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44"/>
        </w:trPr>
        <w:tc>
          <w:tcPr>
            <w:tcW w:w="78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and other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(3,744)</w:t>
            </w:r>
          </w:p>
        </w:tc>
      </w:tr>
      <w:tr>
        <w:trPr>
          <w:trHeight w:val="235"/>
        </w:trPr>
        <w:tc>
          <w:tcPr>
            <w:tcW w:w="78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32,637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44,521</w:t>
            </w:r>
          </w:p>
        </w:tc>
      </w:tr>
      <w:tr>
        <w:trPr>
          <w:trHeight w:val="251"/>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5"/>
        </w:trPr>
        <w:tc>
          <w:tcPr>
            <w:tcW w:w="78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(2,645)</w:t>
            </w:r>
          </w:p>
        </w:tc>
      </w:tr>
      <w:tr>
        <w:trPr>
          <w:trHeight w:val="251"/>
        </w:trPr>
        <w:tc>
          <w:tcPr>
            <w:tcW w:w="7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license agreement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880" w:type="dxa"/>
            <w:vAlign w:val="bottom"/>
          </w:tcPr>
          <w:p>
            <w:pPr>
              <w:ind w:left="180"/>
              <w:spacing w:after="0"/>
              <w:rPr>
                <w:sz w:val="20"/>
                <w:szCs w:val="20"/>
                <w:color w:val="auto"/>
              </w:rPr>
            </w:pPr>
            <w:r>
              <w:rPr>
                <w:rFonts w:ascii="Arial" w:cs="Arial" w:eastAsia="Arial" w:hAnsi="Arial"/>
                <w:sz w:val="16"/>
                <w:szCs w:val="16"/>
                <w:color w:val="auto"/>
              </w:rPr>
              <w:t>Proceeds from the disposal of fixed assets</w:t>
            </w:r>
          </w:p>
        </w:tc>
        <w:tc>
          <w:tcPr>
            <w:tcW w:w="2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43"/>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(20,898)</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w:t>
            </w:r>
          </w:p>
        </w:tc>
      </w:tr>
      <w:tr>
        <w:trPr>
          <w:trHeight w:val="239"/>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7"/>
        </w:trPr>
        <w:tc>
          <w:tcPr>
            <w:tcW w:w="7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Principal payments on long-term debt</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(28,605)</w:t>
            </w:r>
          </w:p>
        </w:tc>
      </w:tr>
      <w:tr>
        <w:trPr>
          <w:trHeight w:val="237"/>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Payments from stock-based award activities</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w:t>
            </w:r>
          </w:p>
        </w:tc>
      </w:tr>
      <w:tr>
        <w:trPr>
          <w:trHeight w:val="237"/>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(4,458)</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(30,042)</w:t>
            </w:r>
          </w:p>
        </w:tc>
      </w:tr>
      <w:tr>
        <w:trPr>
          <w:trHeight w:val="23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currency rate fluctuations on cash</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43"/>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11,999</w:t>
            </w:r>
          </w:p>
        </w:tc>
      </w:tr>
      <w:tr>
        <w:trPr>
          <w:trHeight w:val="239"/>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56,087</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41,081</w:t>
            </w:r>
          </w:p>
        </w:tc>
      </w:tr>
      <w:tr>
        <w:trPr>
          <w:trHeight w:val="243"/>
        </w:trPr>
        <w:tc>
          <w:tcPr>
            <w:tcW w:w="788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63,842</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53,080</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5"/>
        </w:trPr>
        <w:tc>
          <w:tcPr>
            <w:tcW w:w="788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19,525</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26,582</w:t>
            </w:r>
          </w:p>
        </w:tc>
      </w:tr>
      <w:tr>
        <w:trPr>
          <w:trHeight w:val="251"/>
        </w:trPr>
        <w:tc>
          <w:tcPr>
            <w:tcW w:w="7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income taxes</w:t>
            </w: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6,361</w:t>
            </w:r>
          </w:p>
        </w:tc>
      </w:tr>
      <w:tr>
        <w:trPr>
          <w:trHeight w:val="239"/>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Supplemental non-cash investing activity:</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7"/>
        </w:trPr>
        <w:tc>
          <w:tcPr>
            <w:tcW w:w="7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and equipment additions included in 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28"/>
        </w:trPr>
        <w:tc>
          <w:tcPr>
            <w:tcW w:w="7880" w:type="dxa"/>
            <w:vAlign w:val="bottom"/>
          </w:tcPr>
          <w:p>
            <w:pPr>
              <w:ind w:left="360"/>
              <w:spacing w:after="0"/>
              <w:rPr>
                <w:sz w:val="20"/>
                <w:szCs w:val="20"/>
                <w:color w:val="auto"/>
              </w:rPr>
            </w:pPr>
            <w:r>
              <w:rPr>
                <w:rFonts w:ascii="Arial" w:cs="Arial" w:eastAsia="Arial" w:hAnsi="Arial"/>
                <w:sz w:val="16"/>
                <w:szCs w:val="16"/>
                <w:color w:val="auto"/>
              </w:rPr>
              <w:t>Purchase price of license agreement included in accrued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10,710</w:t>
            </w:r>
          </w:p>
        </w:tc>
        <w:tc>
          <w:tcPr>
            <w:tcW w:w="8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225"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spacing w:after="0" w:line="176"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designs, manufactures and distributes high-performance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spacing w:after="0" w:line="18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 Status</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25" w:lineRule="exact"/>
        <w:rPr>
          <w:rFonts w:ascii="Arial" w:cs="Arial" w:eastAsia="Arial" w:hAnsi="Arial"/>
          <w:sz w:val="18"/>
          <w:szCs w:val="18"/>
          <w:b w:val="1"/>
          <w:bCs w:val="1"/>
          <w:color w:val="auto"/>
        </w:rPr>
      </w:pPr>
    </w:p>
    <w:p>
      <w:pPr>
        <w:jc w:val="both"/>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The Company's business is impacted by various economic factors that affect both consumers and the automotive aftermarket industry, including but not limited to inflation, fuel costs, wage rates, trade restrictions, including tariffs, supply chain disruptions, hiring, and other economic conditions. The global and regional economic and political conditions, as well as changes in trade policies, may cause volatility in demand for the Company's products, materials and logistics, and transportation delays, and as a result may impact the pricing of the Company's products and product availability.</w:t>
      </w:r>
    </w:p>
    <w:p>
      <w:pPr>
        <w:spacing w:after="0" w:line="182"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2025, the U.S. introduced trade policy actions that have increased import tariffs across a wide range of countries at various rates, with certain exemptions, and these evolving tariff policies in the U.S., along with responsive measures enacted by other countries, have created additional uncertainty and complexity in the global trade environment. In response, the Company has implemented a range of initiatives to mitigate the impact of tariffs, including conducting harmonized tariff code audits to ensure accurate classification and compliance, diversifying supplier locations outside of China, reshoring products to North America, and exploring direct shipping from suppliers to international customers to reduce tariff exposure on goods entering the U.S. The Company continues to monitor international trade developments, including potential changes in tariff rates and the possibility of new exemptions or retaliatory actions, in order to analyze their impact on the business. The Company additionally continues to evaluate and implement additional strategies to further minimize the impact of tariffs on its operations. If current tariff levels are sustained or increased, there remains a risk that our profitability, cash flows, and financial estimates could be negatively affected.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Additionally, in response to inflationary impacts and supply chain disruptions, the Company has attempted to minimize potential adverse impacts on its business with cost savings initiatives, price increases to customers, and increased attention to maintaining appropriate inventory levels in the distribution channel. The Company's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2024, as filed with the SEC on March 14, 2025,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8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operates on a fiscal year that ends on December 31. The three- and six-month periods ended June 29, 2025 and June 30, 2024 each included 13 weeks and 26 weeks,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unaudited condensed consolidated financial statements include the accounts of the Company and its wholly owned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significant intercompany transactions and accounts have been eliminated in consolidation.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22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October 2023, the FASB issued ASU 2023-06, Disclosure Improvements: Codification Amendments in Response to SEC's Disclosure Update and Simplification Initiative. This ASU amends the disclosure or presentation requirements related to various subtopics in the FASB Accounting Standards Codification. The effective date for each amendment will be the date on which the SEC's removal of that related disclosure from Regulation S-X or Regulation S-K becomes effective, with early adoption prohibited. The Company will monitor the removal of various requirements from the current regulations in order to determine when to adopt the related amendments, but it does not anticipate that the adoption of the new guidance will have a material impact on the Company’s consolidated financial statements and related disclosures. The Company will continue to evaluate the impact of this guidance on its consolidated financial statements.</w:t>
      </w:r>
    </w:p>
    <w:p>
      <w:pPr>
        <w:spacing w:after="0" w:line="18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This ASU is effective for fiscal years beginning after December 15, 2024 and interim periods within fiscal years beginning after December 15, 2025, with early adoption permitted. While early adoption is permitted, the Company has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determined it will not early adopt the standard. The Company does not believe the adoption of the standard will have a material effect on the Company’s consolidated financial position or results of operations.</w:t>
      </w:r>
    </w:p>
    <w:p>
      <w:pPr>
        <w:spacing w:after="0" w:line="15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The objective of ASU 2024-03 is to improve disclosures about a public entity's expenses, primarily through additional disaggregation of income statement expenses. In January 2025, the FASB further clarified the effective date of ASU 2024-03 with the issuance of Accounting Standards Update 2025-01, Income Statement — Reporting Comprehensive Income — Expense Disaggregation Disclosures (Subtopic 220-40) (“ASU 2025-01”). ASU 2024-03 is effective for annual periods beginning after December 15, 2026, and interim periods within annual reporting periods beginning after December 15, 2027. Early adoption is permitted and may be applied either on a prospective or retrospective basis. The Company is currently evaluating the impact ASU 2024-03 will have on its financial statement disclosures.</w:t>
      </w:r>
    </w:p>
    <w:p>
      <w:pPr>
        <w:spacing w:after="0" w:line="18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As of</w:t>
            </w:r>
          </w:p>
        </w:tc>
        <w:tc>
          <w:tcPr>
            <w:tcW w:w="1380" w:type="dxa"/>
            <w:vAlign w:val="bottom"/>
          </w:tcPr>
          <w:p>
            <w:pPr>
              <w:spacing w:after="0"/>
              <w:rPr>
                <w:sz w:val="20"/>
                <w:szCs w:val="20"/>
                <w:color w:val="auto"/>
              </w:rPr>
            </w:pPr>
          </w:p>
        </w:tc>
      </w:tr>
      <w:tr>
        <w:trPr>
          <w:trHeight w:val="23"/>
        </w:trPr>
        <w:tc>
          <w:tcPr>
            <w:tcW w:w="7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r>
      <w:tr>
        <w:trPr>
          <w:trHeight w:val="239"/>
        </w:trPr>
        <w:tc>
          <w:tcPr>
            <w:tcW w:w="7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20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2024</w:t>
            </w:r>
          </w:p>
        </w:tc>
      </w:tr>
      <w:tr>
        <w:trPr>
          <w:trHeight w:val="23"/>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58,858</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3,416</w:t>
            </w:r>
          </w:p>
        </w:tc>
      </w:tr>
      <w:tr>
        <w:trPr>
          <w:trHeight w:val="23"/>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126,323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130,249</w:t>
            </w:r>
          </w:p>
        </w:tc>
      </w:tr>
      <w:tr>
        <w:trPr>
          <w:trHeight w:val="240"/>
        </w:trPr>
        <w:tc>
          <w:tcPr>
            <w:tcW w:w="72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180,827</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192,523</w:t>
            </w:r>
          </w:p>
        </w:tc>
      </w:tr>
      <w:tr>
        <w:trPr>
          <w:trHeight w:val="23"/>
        </w:trPr>
        <w:tc>
          <w:tcPr>
            <w:tcW w:w="7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As of</w:t>
            </w: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20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12,874</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65,333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3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8,221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w:t>
            </w:r>
          </w:p>
        </w:tc>
        <w:tc>
          <w:tcPr>
            <w:tcW w:w="3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97,254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87,658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52,711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46,675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44,543</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40"/>
          </w:cols>
          <w:pgMar w:left="320" w:top="122" w:right="339" w:bottom="1440" w:gutter="0" w:footer="0" w:header="0"/>
        </w:sectPr>
      </w:pPr>
    </w:p>
    <w:p>
      <w:pPr>
        <w:spacing w:after="0" w:line="3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long-lived assets by geographic location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668020</wp:posOffset>
            </wp:positionV>
            <wp:extent cx="666940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940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669405"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9405" cy="197485"/>
                    </a:xfrm>
                    <a:prstGeom prst="rect">
                      <a:avLst/>
                    </a:prstGeom>
                    <a:noFill/>
                  </pic:spPr>
                </pic:pic>
              </a:graphicData>
            </a:graphic>
          </wp:anchor>
        </w:drawing>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property, plant and equipment, net</w:t>
      </w:r>
    </w:p>
    <w:p>
      <w:pPr>
        <w:spacing w:after="0" w:line="37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485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r>
      <w:tr>
        <w:trPr>
          <w:trHeight w:val="239"/>
        </w:trPr>
        <w:tc>
          <w:tcPr>
            <w:tcW w:w="18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8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2024</w:t>
            </w:r>
          </w:p>
        </w:tc>
      </w:tr>
      <w:tr>
        <w:trPr>
          <w:trHeight w:val="23"/>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1"/>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42,082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38,606</w:t>
            </w:r>
          </w:p>
        </w:tc>
      </w:tr>
      <w:tr>
        <w:trPr>
          <w:trHeight w:val="270"/>
        </w:trPr>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2,377</w:t>
            </w:r>
          </w:p>
        </w:tc>
      </w:tr>
      <w:tr>
        <w:trPr>
          <w:trHeight w:val="23"/>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1"/>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44,543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40,983</w:t>
            </w:r>
          </w:p>
        </w:tc>
      </w:tr>
      <w:tr>
        <w:trPr>
          <w:trHeight w:val="23"/>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98" w:lineRule="exact"/>
        <w:rPr>
          <w:sz w:val="20"/>
          <w:szCs w:val="20"/>
          <w:color w:val="auto"/>
        </w:rPr>
      </w:pPr>
    </w:p>
    <w:p>
      <w:pPr>
        <w:sectPr>
          <w:pgSz w:w="11900" w:h="16838" w:orient="portrait"/>
          <w:cols w:equalWidth="0" w:num="2">
            <w:col w:w="6880" w:space="720"/>
            <w:col w:w="3640"/>
          </w:cols>
          <w:pgMar w:left="320" w:top="122" w:right="339" w:bottom="1440" w:gutter="0" w:footer="0" w:header="0"/>
          <w:type w:val="continuous"/>
        </w:sectPr>
      </w:pPr>
    </w:p>
    <w:p>
      <w:pPr>
        <w:spacing w:after="0" w:line="25"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There were no changes to goodwill during the 26-week period ended June 29, 2025.</w:t>
      </w:r>
    </w:p>
    <w:p>
      <w:pPr>
        <w:spacing w:after="0" w:line="15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No goodwill impairment charges were incurred during the 13-week and 26-week periods ended June 29, 2025 and June 30, 2024, respectively. Potential changes in the Company's costs and operating structure, the implementation of synergies, and overall performance in the automotive aftermarket industry, could negatively impact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18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January 1, 2025, the Company, entered into an agreement with Cataclean Global Limited ("Cataclean") to purchase a perpetual exclusive license in North America for developing, manufacturing, marketing, distributing, using and selling existing Cataclean products as well as future product formulations in all sales channels in North America for a total purchase price of $23,800. The Cataclean perpetual license agreement of $23,800 is included in other intangible assets, net in the condensed consolidated balance sheets. As of June 29, 2025, the Company paid $13,090 and the remaining $10,710 is included in accrued liabilities in the condensed consolidated balance sheets.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86"/>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June 29, 2025</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rPr>
              <w:t>Gross Carrying</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Accumulated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9"/>
        </w:trPr>
        <w:tc>
          <w:tcPr>
            <w:tcW w:w="3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Amount</w:t>
            </w: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Amortization</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Net Carrying Value</w:t>
            </w:r>
          </w:p>
        </w:tc>
      </w:tr>
      <w:tr>
        <w:trPr>
          <w:trHeight w:val="23"/>
        </w:trPr>
        <w:tc>
          <w:tcPr>
            <w:tcW w:w="3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30"/>
        </w:trPr>
        <w:tc>
          <w:tcPr>
            <w:tcW w:w="34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269,168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(72,593)</w:t>
            </w: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196,575</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10,941</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43"/>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214,635</w:t>
            </w:r>
          </w:p>
        </w:tc>
        <w:tc>
          <w:tcPr>
            <w:tcW w:w="400" w:type="dxa"/>
            <w:vAlign w:val="bottom"/>
          </w:tcPr>
          <w:p>
            <w:pPr>
              <w:spacing w:after="0"/>
              <w:rPr>
                <w:sz w:val="21"/>
                <w:szCs w:val="21"/>
                <w:color w:val="auto"/>
              </w:rPr>
            </w:pPr>
          </w:p>
        </w:tc>
      </w:tr>
      <w:tr>
        <w:trPr>
          <w:trHeight w:val="270"/>
        </w:trPr>
        <w:tc>
          <w:tcPr>
            <w:tcW w:w="3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0"/>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165,278</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agreement</w:t>
            </w:r>
          </w:p>
        </w:tc>
        <w:tc>
          <w:tcPr>
            <w:tcW w:w="1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400" w:type="dxa"/>
            <w:vAlign w:val="bottom"/>
          </w:tcPr>
          <w:p>
            <w:pPr>
              <w:spacing w:after="0"/>
              <w:rPr>
                <w:sz w:val="23"/>
                <w:szCs w:val="23"/>
                <w:color w:val="auto"/>
              </w:rPr>
            </w:pPr>
          </w:p>
        </w:tc>
      </w:tr>
      <w:tr>
        <w:trPr>
          <w:trHeight w:val="240"/>
        </w:trPr>
        <w:tc>
          <w:tcPr>
            <w:tcW w:w="3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1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189,078</w:t>
            </w:r>
          </w:p>
        </w:tc>
        <w:tc>
          <w:tcPr>
            <w:tcW w:w="400" w:type="dxa"/>
            <w:vAlign w:val="bottom"/>
          </w:tcPr>
          <w:p>
            <w:pPr>
              <w:spacing w:after="0"/>
              <w:rPr>
                <w:sz w:val="20"/>
                <w:szCs w:val="20"/>
                <w:color w:val="auto"/>
              </w:rPr>
            </w:pPr>
          </w:p>
        </w:tc>
      </w:tr>
      <w:tr>
        <w:trPr>
          <w:trHeight w:val="918"/>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7"/>
        </w:trPr>
        <w:tc>
          <w:tcPr>
            <w:tcW w:w="3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9"/>
              </w:rPr>
              <w:t>December 31, 2024</w:t>
            </w: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
        </w:trPr>
        <w:tc>
          <w:tcPr>
            <w:tcW w:w="5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Gross Carrying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Accumulated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5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Amortization</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9"/>
              </w:rPr>
              <w:t>Net Carrying Value</w:t>
            </w:r>
          </w:p>
        </w:tc>
      </w:tr>
      <w:tr>
        <w:trPr>
          <w:trHeight w:val="23"/>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7"/>
        </w:trPr>
        <w:tc>
          <w:tcPr>
            <w:tcW w:w="56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269,950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(67,426)</w:t>
            </w: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202,524</w:t>
            </w:r>
          </w:p>
        </w:tc>
      </w:tr>
      <w:tr>
        <w:trPr>
          <w:trHeight w:val="23"/>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r>
      <w:tr>
        <w:trPr>
          <w:trHeight w:val="247"/>
        </w:trPr>
        <w:tc>
          <w:tcPr>
            <w:tcW w:w="564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11,411</w:t>
            </w:r>
          </w:p>
        </w:tc>
      </w:tr>
      <w:tr>
        <w:trPr>
          <w:trHeight w:val="23"/>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310,401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221,416</w:t>
            </w:r>
          </w:p>
        </w:tc>
      </w:tr>
      <w:tr>
        <w:trPr>
          <w:trHeight w:val="270"/>
        </w:trPr>
        <w:tc>
          <w:tcPr>
            <w:tcW w:w="5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7"/>
        </w:trPr>
        <w:tc>
          <w:tcPr>
            <w:tcW w:w="564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165,260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165,260</w:t>
            </w:r>
          </w:p>
        </w:tc>
      </w:tr>
    </w:tbl>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outlines the estimated amortization expense related to intangible assets held as of June 29, 2025:</w:t>
      </w:r>
    </w:p>
    <w:p>
      <w:pPr>
        <w:spacing w:after="0" w:line="271"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(excluding the twenty-six weeks ended June 29, 2025)</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r>
      <w:tr>
        <w:trPr>
          <w:trHeight w:val="247"/>
        </w:trPr>
        <w:tc>
          <w:tcPr>
            <w:tcW w:w="8920" w:type="dxa"/>
            <w:vAlign w:val="bottom"/>
          </w:tcPr>
          <w:p>
            <w:pPr>
              <w:ind w:left="20"/>
              <w:spacing w:after="0"/>
              <w:rPr>
                <w:sz w:val="20"/>
                <w:szCs w:val="20"/>
                <w:color w:val="auto"/>
              </w:rPr>
            </w:pPr>
            <w:r>
              <w:rPr>
                <w:rFonts w:ascii="Arial" w:cs="Arial" w:eastAsia="Arial" w:hAnsi="Arial"/>
                <w:sz w:val="18"/>
                <w:szCs w:val="18"/>
                <w:color w:val="auto"/>
              </w:rPr>
              <w:t>2026</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13,552</w:t>
            </w:r>
          </w:p>
        </w:tc>
      </w:tr>
      <w:tr>
        <w:trPr>
          <w:trHeight w:val="23"/>
        </w:trPr>
        <w:tc>
          <w:tcPr>
            <w:tcW w:w="8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13,546</w:t>
            </w:r>
          </w:p>
        </w:tc>
      </w:tr>
      <w:tr>
        <w:trPr>
          <w:trHeight w:val="247"/>
        </w:trPr>
        <w:tc>
          <w:tcPr>
            <w:tcW w:w="8920" w:type="dxa"/>
            <w:vAlign w:val="bottom"/>
          </w:tcPr>
          <w:p>
            <w:pPr>
              <w:ind w:left="20"/>
              <w:spacing w:after="0"/>
              <w:rPr>
                <w:sz w:val="20"/>
                <w:szCs w:val="20"/>
                <w:color w:val="auto"/>
              </w:rPr>
            </w:pPr>
            <w:r>
              <w:rPr>
                <w:rFonts w:ascii="Arial" w:cs="Arial" w:eastAsia="Arial" w:hAnsi="Arial"/>
                <w:sz w:val="18"/>
                <w:szCs w:val="18"/>
                <w:color w:val="auto"/>
              </w:rPr>
              <w:t>2028</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13,546</w:t>
            </w:r>
          </w:p>
        </w:tc>
      </w:tr>
      <w:tr>
        <w:trPr>
          <w:trHeight w:val="23"/>
        </w:trPr>
        <w:tc>
          <w:tcPr>
            <w:tcW w:w="8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13,546</w:t>
            </w:r>
          </w:p>
        </w:tc>
      </w:tr>
      <w:tr>
        <w:trPr>
          <w:trHeight w:val="247"/>
        </w:trPr>
        <w:tc>
          <w:tcPr>
            <w:tcW w:w="8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153,428</w:t>
            </w:r>
          </w:p>
        </w:tc>
      </w:tr>
      <w:tr>
        <w:trPr>
          <w:trHeight w:val="23"/>
        </w:trPr>
        <w:tc>
          <w:tcPr>
            <w:tcW w:w="8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214,635</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of the Company consisted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As of</w:t>
            </w: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8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freight</w:t>
            </w:r>
          </w:p>
        </w:tc>
        <w:tc>
          <w:tcPr>
            <w:tcW w:w="2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11,646</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returns and allowances</w:t>
            </w:r>
          </w:p>
        </w:tc>
        <w:tc>
          <w:tcPr>
            <w:tcW w:w="2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4,053</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Accrued warranties</w:t>
            </w:r>
          </w:p>
        </w:tc>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2,332</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Cataclean license accrual</w:t>
            </w:r>
          </w:p>
        </w:tc>
        <w:tc>
          <w:tcPr>
            <w:tcW w:w="2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5,905</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171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As of</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vMerge w:val="restart"/>
          </w:tcPr>
          <w:p>
            <w:pPr>
              <w:jc w:val="right"/>
              <w:ind w:right="1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4"/>
        </w:trPr>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20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lien term loan due November 17, 2028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557,648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560,933</w:t>
            </w:r>
          </w:p>
        </w:tc>
        <w:tc>
          <w:tcPr>
            <w:tcW w:w="0" w:type="dxa"/>
            <w:vAlign w:val="bottom"/>
          </w:tcPr>
          <w:p>
            <w:pPr>
              <w:spacing w:after="0"/>
              <w:rPr>
                <w:sz w:val="1"/>
                <w:szCs w:val="1"/>
                <w:color w:val="auto"/>
              </w:rPr>
            </w:pP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3"/>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550,150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552,586</w:t>
            </w:r>
          </w:p>
        </w:tc>
        <w:tc>
          <w:tcPr>
            <w:tcW w:w="0" w:type="dxa"/>
            <w:vAlign w:val="bottom"/>
          </w:tcPr>
          <w:p>
            <w:pPr>
              <w:spacing w:after="0"/>
              <w:rPr>
                <w:sz w:val="1"/>
                <w:szCs w:val="1"/>
                <w:color w:val="auto"/>
              </w:rPr>
            </w:pP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3"/>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2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543,271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545,385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("Wells Fargo")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 Proceeds from the credit facility were used to repay in full the Company’s obligations under its previously existing first lien and second lien notes and to pay $13,413 in deferred financing fees related to the refinancing.</w:t>
      </w:r>
    </w:p>
    <w:p>
      <w:pPr>
        <w:spacing w:after="0" w:line="18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$2,509 in outstanding letters of credit on June 29, 2025.</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2024, no excess cash flow payment is expected to be required in 2025. Any such payments offset future mandatory quarterly payments. The Credit Agreement permits voluntary prepayments at any time, in whole or in part.</w:t>
      </w:r>
    </w:p>
    <w:p>
      <w:pPr>
        <w:spacing w:after="0" w:line="18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June 29, 2025, amounts outstanding under the credit facility accrue interest at a rate equal to either the Secured Overnight Financing Rate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June 29, 2025, the weighted average interest rate on the Company's borrowings under the credit facility was 8.2%. As of June 29, 2025, the Company did not have any borrowings outstanding on its revolving credit facility.</w:t>
      </w:r>
    </w:p>
    <w:p>
      <w:pPr>
        <w:spacing w:after="0" w:line="182"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Company has entered into interest rate collars in the notional amounts of $500,000 and $400,000 to hedge the Company's exposure to fluctuations in interest rates on its variable-rate debt. Refer to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additional information.</w:t>
      </w:r>
    </w:p>
    <w:p>
      <w:pPr>
        <w:spacing w:after="0" w:line="153"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Obligations under the Credit Agreement are secured by substantially all of the Company’s assets, including a secured interest in the Company's headquarters, with a carrying value of $3,325. The Credit Agreement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includes representations and warranties and affirmative and negative covenants customary for financings of this type, including, but not limited to, limitations on restricted payments, additional borrowings, additional investments, and asset sales.</w:t>
      </w:r>
    </w:p>
    <w:p>
      <w:pPr>
        <w:spacing w:after="0" w:line="15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In February 2023, the Company entered into an amendment to the Credit Agreement which, among other things, increases the Total Leverage Ratio applicable under the Credit Agreement as of the quarter ending July 2, 2023 to initially 7.25:1.00, and provides for modified step-down levels for such covenant thereafter through the fiscal quarter ending June 30, 2024 (the “Covenant Relief Period”). As of June 30, 2024, the required Total Leverage Ratio was 5.00:1.00. As a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July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$2,106 of deferred financing fees related to these amendments. On June 29, 2025, the Company was in compliance with all financial covenants.</w:t>
      </w:r>
    </w:p>
    <w:p>
      <w:pPr>
        <w:spacing w:after="0" w:line="182" w:lineRule="exact"/>
        <w:rPr>
          <w:sz w:val="20"/>
          <w:szCs w:val="20"/>
          <w:color w:val="auto"/>
        </w:rPr>
      </w:pPr>
    </w:p>
    <w:p>
      <w:pPr>
        <w:jc w:val="both"/>
        <w:ind w:left="340" w:right="20"/>
        <w:spacing w:after="0" w:line="268"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71"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On December 4, 2024, the Company entered into an amendment to its Credit Agreement that extends the revolver maturity date to November 18, 2029, which date may occur earlier if the maturity date of the existing term loan is not extended, and reduces the revolving credit facility from $125,000 to $ 100,000. The amendment permits our total leverage ratio for the benefit of the revolving credit lenders to be tested only for fiscal quarters in which there are outstanding revolving credit loans on the last day of such fiscal quarter.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as of June 29, 2025 are as follows: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Debt Issuance</w:t>
            </w:r>
          </w:p>
        </w:tc>
      </w:tr>
      <w:tr>
        <w:trPr>
          <w:trHeight w:val="239"/>
        </w:trPr>
        <w:tc>
          <w:tcPr>
            <w:tcW w:w="7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Costs</w:t>
            </w:r>
          </w:p>
        </w:tc>
      </w:tr>
      <w:tr>
        <w:trPr>
          <w:trHeight w:val="23"/>
        </w:trPr>
        <w:tc>
          <w:tcPr>
            <w:tcW w:w="7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(excluding the twenty-six weeks ended June 29, 2025)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6,571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2,244</w:t>
            </w:r>
          </w:p>
        </w:tc>
      </w:tr>
      <w:tr>
        <w:trPr>
          <w:trHeight w:val="23"/>
        </w:trPr>
        <w:tc>
          <w:tcPr>
            <w:tcW w:w="7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2028</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541,219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2,245</w:t>
            </w:r>
          </w:p>
        </w:tc>
      </w:tr>
      <w:tr>
        <w:trPr>
          <w:trHeight w:val="23"/>
        </w:trPr>
        <w:tc>
          <w:tcPr>
            <w:tcW w:w="7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7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557,956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AND EARN-OUT LIABILITY</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Upon the Closing, there were 14,666,644 Warrants, consisting of 9,999,977 public warrants ("Public Warrants") and 4,666,667 private warrants ("Private Warrants" and together with the Public Warrants, the “Warrants”), outstanding to purchase shares of Common Stock that were issued by Empower prior to the Business Combination. Each Warrant entitles the registered holder to purchase one share of Common Stock at a price of $11.50 per share, subject to adjustments, provided that the Company has an effective registration statement under the Securities Act covering the shares of Common Stock issuable upon exercise of the Warrants and a current prospectus relating to them is available and such shares are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Empower Sponsor Holdings, LLC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82"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The Company may redeem the Public Warrants at a price of $0.01 per warrant upon 30 days' notice if the closing price of Common Stock equals or exceeds $ 18.00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69"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and the Company will use its commercially reasonable best efforts to register or qualify the shares under applicable blue-sky laws to the extent an exemption is not available.</w:t>
      </w:r>
    </w:p>
    <w:p>
      <w:pPr>
        <w:spacing w:after="0" w:line="17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Company’s Warrants are accounted for as a liability in accordance with ASC 815-40 and are presented as a warrant liability on the balance sheet. The warrant liability was measured at fair value at inception and on a recurring basis, with changes in fair value recognized as non-operating expense. As of June 29, 2025 and December 31, 2024, a warrant liability with a fair value of $733 and $813, respectively, was reflected as a long-term liability in the condensed consolidated balance sheet. A decrease of $7 and $3,402 in the fair value of the warrant liability was reflected as change in fair value of warrant liability in the condensed consolidated statements of comprehensive income for the 13-week periods ended June 29, 2025 and June 30, 2024, respectively. A decrease of $80 and $6,529 in the fair value of the warrant liability was reflected as change in fair value of warrant liability in the condensed consolidated statements of comprehensive income for the 26-week periods ended June 29, 2025 and June 30, 2024, respectively.</w:t>
      </w:r>
    </w:p>
    <w:p>
      <w:pPr>
        <w:spacing w:after="0" w:line="18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As of June 29, 2025 and December 31, 2024, an earn-out liability with a fair value of $744 and $1,148, respectively, was reflected as a long-term liability in the condensed consolidated balance sheet. A decrease of $219 and $1,058 in the fair value of the earn-out liability was reflected as change in fair value of earn-out liability in the condensed consolidated statements of comprehensive income for the 13-week periods ended June 29, 2025 and June 30, 2024, respectively. A decrease of $404 and $1,707 in the fair value of the earn-out liability was reflected as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change in fair value of earn-out liability in the condensed consolidated statements of comprehensive income for the 26-week periods ended June 29, 2025 and June 30, 2024, respectively.</w:t>
      </w:r>
    </w:p>
    <w:p>
      <w:pPr>
        <w:spacing w:after="0" w:line="15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with a notional amount of $500,000 that expires on February 18, 2026. The Collar has a floor of 2.811% and a cap of 5% (based on three-month SOFR). On January 30, 2025, the Company entered into another Collar with Wells Fargo with a notional amount of $400,000 that expires on November 18, 2028. The Collar has a floor of 3.35% and a cap of 4.99% (based on three-month SOFR). The structure of these Collars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spacing w:after="0" w:line="184"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June 29, 2025, the Company recognized a derivative liability of $5,303 for the Collar in other noncurrent assets on the condensed consolidated balance sheet. The Company recorded a net change in the fair value of the Collar as an increase to interest expense of $1,431 and $5,243 for the 13-week and 26-week periods ended June 29, 2025, respectively.</w:t>
      </w:r>
    </w:p>
    <w:p>
      <w:pPr>
        <w:spacing w:after="0" w:line="170"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rFonts w:ascii="Arial" w:cs="Arial" w:eastAsia="Arial" w:hAnsi="Arial"/>
          <w:sz w:val="18"/>
          <w:szCs w:val="18"/>
          <w:b w:val="1"/>
          <w:bCs w:val="1"/>
          <w:color w:val="auto"/>
        </w:rPr>
      </w:pPr>
    </w:p>
    <w:p>
      <w:pPr>
        <w:ind w:left="3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gridSpan w:val="7"/>
          </w:tcPr>
          <w:p>
            <w:pPr>
              <w:jc w:val="center"/>
              <w:spacing w:after="0"/>
              <w:rPr>
                <w:sz w:val="20"/>
                <w:szCs w:val="20"/>
                <w:color w:val="auto"/>
              </w:rPr>
            </w:pPr>
            <w:r>
              <w:rPr>
                <w:rFonts w:ascii="Arial" w:cs="Arial" w:eastAsia="Arial" w:hAnsi="Arial"/>
                <w:sz w:val="18"/>
                <w:szCs w:val="18"/>
                <w:color w:val="auto"/>
                <w:w w:val="99"/>
              </w:rPr>
              <w:t>Fair Value Measured on June 29, 2025</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40"/>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Level 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3"/>
        </w:trPr>
        <w:tc>
          <w:tcPr>
            <w:tcW w:w="3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30"/>
        </w:trPr>
        <w:tc>
          <w:tcPr>
            <w:tcW w:w="340" w:type="dxa"/>
            <w:vAlign w:val="bottom"/>
          </w:tcPr>
          <w:p>
            <w:pPr>
              <w:spacing w:after="0"/>
              <w:rPr>
                <w:sz w:val="20"/>
                <w:szCs w:val="20"/>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Warrant liability (Public)</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491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491</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 (Private)</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Earn-out liability</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744</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collar liability</w:t>
            </w: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400" w:type="dxa"/>
            <w:vAlign w:val="bottom"/>
          </w:tcPr>
          <w:p>
            <w:pPr>
              <w:spacing w:after="0"/>
              <w:rPr>
                <w:sz w:val="23"/>
                <w:szCs w:val="23"/>
                <w:color w:val="auto"/>
              </w:rPr>
            </w:pPr>
          </w:p>
        </w:tc>
      </w:tr>
      <w:tr>
        <w:trPr>
          <w:trHeight w:val="264"/>
        </w:trPr>
        <w:tc>
          <w:tcPr>
            <w:tcW w:w="34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 fair value liabilities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40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78"/>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40" w:type="dxa"/>
            <w:vAlign w:val="bottom"/>
            <w:gridSpan w:val="9"/>
          </w:tcPr>
          <w:p>
            <w:pPr>
              <w:jc w:val="center"/>
              <w:spacing w:after="0"/>
              <w:rPr>
                <w:sz w:val="20"/>
                <w:szCs w:val="20"/>
                <w:color w:val="auto"/>
              </w:rPr>
            </w:pPr>
            <w:r>
              <w:rPr>
                <w:rFonts w:ascii="Arial" w:cs="Arial" w:eastAsia="Arial" w:hAnsi="Arial"/>
                <w:sz w:val="18"/>
                <w:szCs w:val="18"/>
                <w:color w:val="auto"/>
                <w:w w:val="99"/>
              </w:rPr>
              <w:t>Fair Value Measured on December 31, 2024</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40"/>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Level 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3"/>
        </w:trPr>
        <w:tc>
          <w:tcPr>
            <w:tcW w:w="34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30"/>
        </w:trPr>
        <w:tc>
          <w:tcPr>
            <w:tcW w:w="340" w:type="dxa"/>
            <w:vAlign w:val="bottom"/>
          </w:tcPr>
          <w:p>
            <w:pPr>
              <w:spacing w:after="0"/>
              <w:rPr>
                <w:sz w:val="20"/>
                <w:szCs w:val="20"/>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Warrant liability (Public)</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548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548</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liability (Private)</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Earn-out liability</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1,148</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collar liability</w:t>
            </w: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3"/>
                <w:szCs w:val="23"/>
                <w:color w:val="auto"/>
              </w:rPr>
            </w:pPr>
          </w:p>
        </w:tc>
      </w:tr>
      <w:tr>
        <w:trPr>
          <w:trHeight w:val="263"/>
        </w:trPr>
        <w:tc>
          <w:tcPr>
            <w:tcW w:w="34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 fair value liabilities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548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2"/>
                <w:szCs w:val="22"/>
                <w:color w:val="auto"/>
              </w:rPr>
            </w:pPr>
          </w:p>
        </w:tc>
      </w:tr>
      <w:tr>
        <w:trPr>
          <w:trHeight w:val="21"/>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88"/>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7"/>
        </w:trPr>
        <w:tc>
          <w:tcPr>
            <w:tcW w:w="3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As of June 29, 2025, the Company's derivative liabilities for its Private and Public Warrants, earn-out liability, and derivative asset for its Collar are measured at fair value on a recurring basis (see Note 7, “</w:t>
      </w:r>
      <w:r>
        <w:rPr>
          <w:rFonts w:ascii="Arial" w:cs="Arial" w:eastAsia="Arial" w:hAnsi="Arial"/>
          <w:sz w:val="18"/>
          <w:szCs w:val="18"/>
          <w:i w:val="1"/>
          <w:iCs w:val="1"/>
          <w:color w:val="auto"/>
        </w:rPr>
        <w:t>Common Stock Warrants and Earn-Out Liability</w:t>
      </w:r>
      <w:r>
        <w:rPr>
          <w:rFonts w:ascii="Arial" w:cs="Arial" w:eastAsia="Arial" w:hAnsi="Arial"/>
          <w:sz w:val="18"/>
          <w:szCs w:val="18"/>
          <w:color w:val="auto"/>
        </w:rPr>
        <w:t>,” and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more details). The fair values of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assets on the condensed consolidated balance sheets,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Changes in the fair value of the Collar is recognized as an adjustment to interest expense in the condensed consolidated statements of comprehensive income. Changes in the fair value of the derivative liabilities related to Warrants and the earn-out liability and changes in the fair value of the Collar are recognized in net cash provided by operating activities on the condensed consolidated statements of cash flows.</w:t>
      </w:r>
    </w:p>
    <w:p>
      <w:pPr>
        <w:spacing w:after="0" w:line="18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fair value of Private Warrants was estimated as of the measurement date using the Monte Carlo simulation model with the following assumptions: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June 29, 2025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December 31, 2024</w:t>
            </w:r>
          </w:p>
        </w:tc>
      </w:tr>
      <w:tr>
        <w:trPr>
          <w:trHeight w:val="23"/>
        </w:trPr>
        <w:tc>
          <w:tcPr>
            <w:tcW w:w="7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3.02</w:t>
            </w: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Strike price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11.50</w:t>
            </w:r>
          </w:p>
        </w:tc>
      </w:tr>
      <w:tr>
        <w:trPr>
          <w:trHeight w:val="23"/>
        </w:trPr>
        <w:tc>
          <w:tcPr>
            <w:tcW w:w="7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life (in years)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Expected dividend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
        </w:trPr>
        <w:tc>
          <w:tcPr>
            <w:tcW w:w="7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Price threshold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18.00</w:t>
            </w:r>
          </w:p>
        </w:tc>
      </w:tr>
    </w:tbl>
    <w:p>
      <w:pPr>
        <w:spacing w:after="0" w:line="31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fair value of the earn-out liability was estimated as of the measurement date using the Monte Carlo simulation model with the following assumptions: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June 29, 2025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December 31, 2024</w:t>
            </w:r>
          </w:p>
        </w:tc>
      </w:tr>
      <w:tr>
        <w:trPr>
          <w:trHeight w:val="23"/>
        </w:trPr>
        <w:tc>
          <w:tcPr>
            <w:tcW w:w="7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date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3.02</w:t>
            </w: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
        </w:trPr>
        <w:tc>
          <w:tcPr>
            <w:tcW w:w="7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r>
      <w:tr>
        <w:trPr>
          <w:trHeight w:val="247"/>
        </w:trPr>
        <w:tc>
          <w:tcPr>
            <w:tcW w:w="7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
        </w:trPr>
        <w:tc>
          <w:tcPr>
            <w:tcW w:w="7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hurdle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15.00</w:t>
            </w:r>
          </w:p>
        </w:tc>
      </w:tr>
      <w:tr>
        <w:trPr>
          <w:trHeight w:val="23"/>
        </w:trPr>
        <w:tc>
          <w:tcPr>
            <w:tcW w:w="7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7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As of June 29, 2025 and December 31, 2024,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liabilities during the 26-week periods ended June 29, 2025 and June 30, 2024 is as follows: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640" w:type="dxa"/>
            <w:vAlign w:val="bottom"/>
          </w:tcPr>
          <w:p>
            <w:pPr>
              <w:spacing w:after="0"/>
              <w:rPr>
                <w:sz w:val="20"/>
                <w:szCs w:val="20"/>
                <w:color w:val="auto"/>
              </w:rPr>
            </w:pP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Private Warrants</w:t>
            </w:r>
          </w:p>
        </w:tc>
        <w:tc>
          <w:tcPr>
            <w:tcW w:w="1640" w:type="dxa"/>
            <w:vAlign w:val="bottom"/>
            <w:gridSpan w:val="3"/>
          </w:tcPr>
          <w:p>
            <w:pPr>
              <w:ind w:left="80"/>
              <w:spacing w:after="0"/>
              <w:rPr>
                <w:sz w:val="20"/>
                <w:szCs w:val="20"/>
                <w:color w:val="auto"/>
              </w:rPr>
            </w:pPr>
            <w:r>
              <w:rPr>
                <w:rFonts w:ascii="Arial" w:cs="Arial" w:eastAsia="Arial" w:hAnsi="Arial"/>
                <w:sz w:val="18"/>
                <w:szCs w:val="18"/>
                <w:color w:val="auto"/>
              </w:rPr>
              <w:t>Earn-Out Liability</w:t>
            </w: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3"/>
        </w:trPr>
        <w:tc>
          <w:tcPr>
            <w:tcW w:w="5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r>
      <w:tr>
        <w:trPr>
          <w:trHeight w:val="247"/>
        </w:trPr>
        <w:tc>
          <w:tcPr>
            <w:tcW w:w="5640" w:type="dxa"/>
            <w:vAlign w:val="bottom"/>
          </w:tcPr>
          <w:p>
            <w:pPr>
              <w:ind w:left="20"/>
              <w:spacing w:after="0"/>
              <w:rPr>
                <w:sz w:val="20"/>
                <w:szCs w:val="20"/>
                <w:color w:val="auto"/>
              </w:rPr>
            </w:pPr>
            <w:r>
              <w:rPr>
                <w:rFonts w:ascii="Arial" w:cs="Arial" w:eastAsia="Arial" w:hAnsi="Arial"/>
                <w:sz w:val="18"/>
                <w:szCs w:val="18"/>
                <w:color w:val="auto"/>
              </w:rPr>
              <w:t>Gains included in earnings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(4,001)</w:t>
            </w:r>
          </w:p>
        </w:tc>
      </w:tr>
      <w:tr>
        <w:trPr>
          <w:trHeight w:val="23"/>
        </w:trPr>
        <w:tc>
          <w:tcPr>
            <w:tcW w:w="5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47"/>
        </w:trPr>
        <w:tc>
          <w:tcPr>
            <w:tcW w:w="5640" w:type="dxa"/>
            <w:vAlign w:val="bottom"/>
          </w:tcPr>
          <w:p>
            <w:pPr>
              <w:ind w:left="20"/>
              <w:spacing w:after="0"/>
              <w:rPr>
                <w:sz w:val="20"/>
                <w:szCs w:val="20"/>
                <w:color w:val="auto"/>
              </w:rPr>
            </w:pPr>
            <w:r>
              <w:rPr>
                <w:rFonts w:ascii="Arial" w:cs="Arial" w:eastAsia="Arial" w:hAnsi="Arial"/>
                <w:sz w:val="18"/>
                <w:szCs w:val="18"/>
                <w:color w:val="auto"/>
              </w:rPr>
              <w:t>Gains included in earnings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3"/>
        </w:trPr>
        <w:tc>
          <w:tcPr>
            <w:tcW w:w="5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29, 2025</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79"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70"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7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more information.</w:t>
      </w:r>
    </w:p>
    <w:p>
      <w:pPr>
        <w:spacing w:after="0" w:line="180"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total revenue by division category during the 13-week and 26-week periods ended June 29, 2025 and June 30, 2024. The Company's category definitions were revised by management during the first quarter of 2025. The prior-year period has been revised to conform with the current presentation. There is no change to total sales.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300"/>
              <w:spacing w:after="0"/>
              <w:rPr>
                <w:sz w:val="20"/>
                <w:szCs w:val="20"/>
                <w:color w:val="auto"/>
              </w:rPr>
            </w:pPr>
            <w:r>
              <w:rPr>
                <w:rFonts w:ascii="Arial" w:cs="Arial" w:eastAsia="Arial" w:hAnsi="Arial"/>
                <w:sz w:val="18"/>
                <w:szCs w:val="18"/>
                <w:color w:val="auto"/>
              </w:rPr>
              <w:t>For the thirteen weeks ended</w:t>
            </w:r>
          </w:p>
        </w:tc>
        <w:tc>
          <w:tcPr>
            <w:tcW w:w="2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1"/>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June 30, 2024</w:t>
            </w:r>
          </w:p>
        </w:tc>
        <w:tc>
          <w:tcPr>
            <w:tcW w:w="20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June 29, 2025</w:t>
            </w: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June 30, 2024</w:t>
            </w:r>
          </w:p>
        </w:tc>
      </w:tr>
      <w:tr>
        <w:trPr>
          <w:trHeight w:val="23"/>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 Muscle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104,876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203,308</w:t>
            </w:r>
          </w:p>
        </w:tc>
      </w:tr>
      <w:tr>
        <w:trPr>
          <w:trHeight w:val="247"/>
        </w:trPr>
        <w:tc>
          <w:tcPr>
            <w:tcW w:w="3740" w:type="dxa"/>
            <w:vAlign w:val="bottom"/>
          </w:tcPr>
          <w:p>
            <w:pPr>
              <w:spacing w:after="0"/>
              <w:rPr>
                <w:sz w:val="20"/>
                <w:szCs w:val="20"/>
                <w:color w:val="auto"/>
              </w:rPr>
            </w:pPr>
            <w:r>
              <w:rPr>
                <w:rFonts w:ascii="Arial" w:cs="Arial" w:eastAsia="Arial" w:hAnsi="Arial"/>
                <w:sz w:val="18"/>
                <w:szCs w:val="18"/>
                <w:color w:val="auto"/>
              </w:rPr>
              <w:t>Euro &amp; Import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12,318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21,825</w:t>
            </w:r>
          </w:p>
        </w:tc>
      </w:tr>
      <w:tr>
        <w:trPr>
          <w:trHeight w:val="23"/>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Truck &amp; Off-Road</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31,809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63,499</w:t>
            </w:r>
          </w:p>
        </w:tc>
      </w:tr>
      <w:tr>
        <w:trPr>
          <w:trHeight w:val="247"/>
        </w:trPr>
        <w:tc>
          <w:tcPr>
            <w:tcW w:w="3740" w:type="dxa"/>
            <w:vAlign w:val="bottom"/>
          </w:tcPr>
          <w:p>
            <w:pPr>
              <w:spacing w:after="0"/>
              <w:rPr>
                <w:sz w:val="20"/>
                <w:szCs w:val="20"/>
                <w:color w:val="auto"/>
              </w:rPr>
            </w:pPr>
            <w:r>
              <w:rPr>
                <w:rFonts w:ascii="Arial" w:cs="Arial" w:eastAsia="Arial" w:hAnsi="Arial"/>
                <w:sz w:val="18"/>
                <w:szCs w:val="18"/>
                <w:color w:val="auto"/>
              </w:rPr>
              <w:t>Safety &amp; Racing</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20,493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39,500</w:t>
            </w:r>
          </w:p>
        </w:tc>
      </w:tr>
      <w:tr>
        <w:trPr>
          <w:trHeight w:val="23"/>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169,496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328,132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300"/>
              <w:spacing w:after="0"/>
              <w:rPr>
                <w:sz w:val="20"/>
                <w:szCs w:val="20"/>
                <w:color w:val="auto"/>
              </w:rPr>
            </w:pPr>
            <w:r>
              <w:rPr>
                <w:rFonts w:ascii="Arial" w:cs="Arial" w:eastAsia="Arial" w:hAnsi="Arial"/>
                <w:sz w:val="18"/>
                <w:szCs w:val="18"/>
                <w:color w:val="auto"/>
              </w:rPr>
              <w:t>For the thirteen weeks ended</w:t>
            </w:r>
          </w:p>
        </w:tc>
        <w:tc>
          <w:tcPr>
            <w:tcW w:w="200" w:type="dxa"/>
            <w:vAlign w:val="bottom"/>
          </w:tcPr>
          <w:p>
            <w:pPr>
              <w:spacing w:after="0"/>
              <w:rPr>
                <w:sz w:val="20"/>
                <w:szCs w:val="20"/>
                <w:color w:val="auto"/>
              </w:rPr>
            </w:pPr>
          </w:p>
        </w:tc>
        <w:tc>
          <w:tcPr>
            <w:tcW w:w="3320" w:type="dxa"/>
            <w:vAlign w:val="bottom"/>
            <w:gridSpan w:val="4"/>
          </w:tcPr>
          <w:p>
            <w:pPr>
              <w:jc w:val="right"/>
              <w:ind w:right="41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1"/>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8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June 30, 2024</w:t>
            </w: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June 29, 2025</w:t>
            </w: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June 30, 2024</w:t>
            </w:r>
          </w:p>
        </w:tc>
      </w:tr>
      <w:tr>
        <w:trPr>
          <w:trHeight w:val="23"/>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163,422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316,747</w:t>
            </w:r>
          </w:p>
        </w:tc>
      </w:tr>
      <w:tr>
        <w:trPr>
          <w:trHeight w:val="247"/>
        </w:trPr>
        <w:tc>
          <w:tcPr>
            <w:tcW w:w="3740" w:type="dxa"/>
            <w:vAlign w:val="bottom"/>
          </w:tcPr>
          <w:p>
            <w:pPr>
              <w:spacing w:after="0"/>
              <w:rPr>
                <w:sz w:val="20"/>
                <w:szCs w:val="20"/>
                <w:color w:val="auto"/>
              </w:rPr>
            </w:pPr>
            <w:r>
              <w:rPr>
                <w:rFonts w:ascii="Arial" w:cs="Arial" w:eastAsia="Arial" w:hAnsi="Arial"/>
                <w:sz w:val="18"/>
                <w:szCs w:val="18"/>
                <w:color w:val="auto"/>
              </w:rPr>
              <w:t>Italy</w:t>
            </w: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6,074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11,385</w:t>
            </w:r>
          </w:p>
        </w:tc>
      </w:tr>
      <w:tr>
        <w:trPr>
          <w:trHeight w:val="23"/>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166,661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328,132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less allowance was $50,894 and $36,123 as of March 30, 2025 and December 31, 2024, respectively.</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gridSpan w:val="4"/>
          </w:tcPr>
          <w:p>
            <w:pPr>
              <w:jc w:val="right"/>
              <w:ind w:right="530"/>
              <w:spacing w:after="0"/>
              <w:rPr>
                <w:sz w:val="20"/>
                <w:szCs w:val="20"/>
                <w:color w:val="auto"/>
              </w:rPr>
            </w:pPr>
            <w:r>
              <w:rPr>
                <w:rFonts w:ascii="Arial" w:cs="Arial" w:eastAsia="Arial" w:hAnsi="Arial"/>
                <w:sz w:val="18"/>
                <w:szCs w:val="18"/>
                <w:color w:val="auto"/>
              </w:rPr>
              <w:t>For the thirteen weeks ended</w:t>
            </w:r>
          </w:p>
        </w:tc>
        <w:tc>
          <w:tcPr>
            <w:tcW w:w="280" w:type="dxa"/>
            <w:vAlign w:val="bottom"/>
          </w:tcPr>
          <w:p>
            <w:pPr>
              <w:spacing w:after="0"/>
              <w:rPr>
                <w:sz w:val="20"/>
                <w:szCs w:val="20"/>
                <w:color w:val="auto"/>
              </w:rPr>
            </w:pPr>
          </w:p>
        </w:tc>
        <w:tc>
          <w:tcPr>
            <w:tcW w:w="3420" w:type="dxa"/>
            <w:vAlign w:val="bottom"/>
            <w:gridSpan w:val="3"/>
          </w:tcPr>
          <w:p>
            <w:pPr>
              <w:jc w:val="right"/>
              <w:ind w:right="450"/>
              <w:spacing w:after="0"/>
              <w:rPr>
                <w:sz w:val="20"/>
                <w:szCs w:val="20"/>
                <w:color w:val="auto"/>
              </w:rPr>
            </w:pPr>
            <w:r>
              <w:rPr>
                <w:rFonts w:ascii="Arial" w:cs="Arial" w:eastAsia="Arial" w:hAnsi="Arial"/>
                <w:sz w:val="18"/>
                <w:szCs w:val="18"/>
                <w:color w:val="auto"/>
              </w:rPr>
              <w:t>For the twenty-six weeks ended</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June 29, 2025</w:t>
            </w:r>
          </w:p>
        </w:tc>
        <w:tc>
          <w:tcPr>
            <w:tcW w:w="200" w:type="dxa"/>
            <w:vAlign w:val="bottom"/>
          </w:tcPr>
          <w:p>
            <w:pPr>
              <w:spacing w:after="0"/>
              <w:rPr>
                <w:sz w:val="20"/>
                <w:szCs w:val="20"/>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June 30, 2024</w:t>
            </w:r>
          </w:p>
        </w:tc>
        <w:tc>
          <w:tcPr>
            <w:tcW w:w="280" w:type="dxa"/>
            <w:vAlign w:val="bottom"/>
          </w:tcPr>
          <w:p>
            <w:pPr>
              <w:spacing w:after="0"/>
              <w:rPr>
                <w:sz w:val="20"/>
                <w:szCs w:val="20"/>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June 29, 2025</w:t>
            </w:r>
          </w:p>
        </w:tc>
        <w:tc>
          <w:tcPr>
            <w:tcW w:w="280" w:type="dxa"/>
            <w:vAlign w:val="bottom"/>
          </w:tcPr>
          <w:p>
            <w:pPr>
              <w:spacing w:after="0"/>
              <w:rPr>
                <w:sz w:val="20"/>
                <w:szCs w:val="20"/>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June 30, 2024</w:t>
            </w:r>
          </w:p>
        </w:tc>
        <w:tc>
          <w:tcPr>
            <w:tcW w:w="0" w:type="dxa"/>
            <w:vAlign w:val="bottom"/>
          </w:tcPr>
          <w:p>
            <w:pPr>
              <w:spacing w:after="0"/>
              <w:rPr>
                <w:sz w:val="1"/>
                <w:szCs w:val="1"/>
                <w:color w:val="auto"/>
              </w:rPr>
            </w:pPr>
          </w:p>
        </w:tc>
      </w:tr>
      <w:tr>
        <w:trPr>
          <w:trHeight w:val="23"/>
        </w:trPr>
        <w:tc>
          <w:tcPr>
            <w:tcW w:w="3480" w:type="dxa"/>
            <w:vAlign w:val="bottom"/>
            <w:vMerge w:val="restart"/>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80" w:type="dxa"/>
            <w:vAlign w:val="bottom"/>
            <w:vMerge w:val="continue"/>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2,055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4,579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47"/>
        </w:trPr>
        <w:tc>
          <w:tcPr>
            <w:tcW w:w="3480" w:type="dxa"/>
            <w:vAlign w:val="bottom"/>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For the 13-week period ended June 29, 2025, the Company's effective tax rate of 24.4% differed from the 21% federal statutory rate primarily due to federal research and development tax credits, state taxes, the impact of foreign taxes in higher tax rate jurisdictions, and excess tax deficiencies from share-based compensation recognized during the period. For the 13-week period ended June 30, 2024, the Company’s effective tax rate of 10.7% differed from the 21% federal statutory rate primarily due to permanent differences related to changes in fair value of the warrant and earn-out liabilities recognized during the period and the impact of foreign taxes in higher tax rate jurisdictions.</w:t>
      </w:r>
    </w:p>
    <w:p>
      <w:pPr>
        <w:spacing w:after="0" w:line="182"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For the 26-week period ended June 29, 2025, the Company's effective tax rate of 25.1% differed from the 21% federal statutory tax rate primarily due to federal research and development tax credits, state taxes, the impact of foreign taxes in higher tax rate jurisdictions, and excess tax deficiencies from share-based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compensation recognized during the period. For the 26-week period ended June 30, 2024, the Company’s effective tax rate of 5.3% differed from the 21% federal statutory rate primarily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were recorded during the quarter as a discrete adjustment.</w:t>
      </w:r>
    </w:p>
    <w:p>
      <w:pPr>
        <w:spacing w:after="0" w:line="179"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We are currently unable to estimate the financial impacts of OBBBA, which could be material to our consolidated financial statements.</w:t>
      </w:r>
    </w:p>
    <w:p>
      <w:pPr>
        <w:spacing w:after="0" w:line="17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For the thirteen weeks ended</w:t>
            </w:r>
          </w:p>
        </w:tc>
        <w:tc>
          <w:tcPr>
            <w:tcW w:w="180" w:type="dxa"/>
            <w:vAlign w:val="bottom"/>
          </w:tcPr>
          <w:p>
            <w:pPr>
              <w:spacing w:after="0"/>
              <w:rPr>
                <w:sz w:val="20"/>
                <w:szCs w:val="20"/>
                <w:color w:val="auto"/>
              </w:rPr>
            </w:pPr>
          </w:p>
        </w:tc>
        <w:tc>
          <w:tcPr>
            <w:tcW w:w="3080" w:type="dxa"/>
            <w:vAlign w:val="bottom"/>
            <w:gridSpan w:val="4"/>
          </w:tcPr>
          <w:p>
            <w:pPr>
              <w:jc w:val="right"/>
              <w:ind w:right="27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4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1"/>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June 30, 2024</w:t>
            </w:r>
          </w:p>
        </w:tc>
        <w:tc>
          <w:tcPr>
            <w:tcW w:w="18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June 30, 2024</w:t>
            </w:r>
          </w:p>
        </w:tc>
      </w:tr>
      <w:tr>
        <w:trPr>
          <w:trHeight w:val="23"/>
        </w:trPr>
        <w:tc>
          <w:tcPr>
            <w:tcW w:w="4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17,105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13,680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20,835</w:t>
            </w:r>
          </w:p>
        </w:tc>
      </w:tr>
      <w:tr>
        <w:trPr>
          <w:trHeight w:val="23"/>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119,162,895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118,470,358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119,005,954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118,171,093</w:t>
            </w:r>
          </w:p>
        </w:tc>
      </w:tr>
      <w:tr>
        <w:trPr>
          <w:trHeight w:val="23"/>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potential common shares from RSUs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1,110,038</w:t>
            </w: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Dilutive effect of potential common shares from PSUs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280,789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102,151</w:t>
            </w:r>
          </w:p>
        </w:tc>
      </w:tr>
      <w:tr>
        <w:trPr>
          <w:trHeight w:val="23"/>
        </w:trPr>
        <w:tc>
          <w:tcPr>
            <w:tcW w:w="4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119,790,625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119,261,236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119,676,684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119,383,282</w:t>
            </w:r>
          </w:p>
        </w:tc>
      </w:tr>
      <w:tr>
        <w:trPr>
          <w:trHeight w:val="26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932"/>
        </w:trPr>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7"/>
        </w:trPr>
        <w:tc>
          <w:tcPr>
            <w:tcW w:w="4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are excluded from the calculation of diluted earnings per share.</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3360" w:type="dxa"/>
            <w:vAlign w:val="bottom"/>
            <w:gridSpan w:val="4"/>
          </w:tcPr>
          <w:p>
            <w:pPr>
              <w:ind w:left="460"/>
              <w:spacing w:after="0"/>
              <w:rPr>
                <w:sz w:val="20"/>
                <w:szCs w:val="20"/>
                <w:color w:val="auto"/>
              </w:rPr>
            </w:pPr>
            <w:r>
              <w:rPr>
                <w:rFonts w:ascii="Arial" w:cs="Arial" w:eastAsia="Arial" w:hAnsi="Arial"/>
                <w:sz w:val="18"/>
                <w:szCs w:val="18"/>
                <w:color w:val="auto"/>
              </w:rPr>
              <w:t>For the thirteen weeks ended</w:t>
            </w:r>
          </w:p>
        </w:tc>
        <w:tc>
          <w:tcPr>
            <w:tcW w:w="3240" w:type="dxa"/>
            <w:vAlign w:val="bottom"/>
            <w:gridSpan w:val="3"/>
          </w:tcPr>
          <w:p>
            <w:pPr>
              <w:jc w:val="right"/>
              <w:ind w:right="27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39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1"/>
        </w:trPr>
        <w:tc>
          <w:tcPr>
            <w:tcW w:w="3920" w:type="dxa"/>
            <w:vAlign w:val="bottom"/>
          </w:tcPr>
          <w:p>
            <w:pPr>
              <w:spacing w:after="0"/>
              <w:rPr>
                <w:sz w:val="20"/>
                <w:szCs w:val="20"/>
                <w:color w:val="auto"/>
              </w:rPr>
            </w:pPr>
          </w:p>
        </w:tc>
        <w:tc>
          <w:tcPr>
            <w:tcW w:w="1680" w:type="dxa"/>
            <w:vAlign w:val="bottom"/>
            <w:gridSpan w:val="2"/>
          </w:tcPr>
          <w:p>
            <w:pPr>
              <w:ind w:left="220"/>
              <w:spacing w:after="0"/>
              <w:rPr>
                <w:sz w:val="20"/>
                <w:szCs w:val="20"/>
                <w:color w:val="auto"/>
              </w:rPr>
            </w:pPr>
            <w:r>
              <w:rPr>
                <w:rFonts w:ascii="Arial" w:cs="Arial" w:eastAsia="Arial" w:hAnsi="Arial"/>
                <w:sz w:val="18"/>
                <w:szCs w:val="18"/>
                <w:color w:val="auto"/>
              </w:rPr>
              <w:t>June 29, 2025</w:t>
            </w:r>
          </w:p>
        </w:tc>
        <w:tc>
          <w:tcPr>
            <w:tcW w:w="1680" w:type="dxa"/>
            <w:vAlign w:val="bottom"/>
            <w:gridSpan w:val="2"/>
          </w:tcPr>
          <w:p>
            <w:pPr>
              <w:ind w:left="220"/>
              <w:spacing w:after="0"/>
              <w:rPr>
                <w:sz w:val="20"/>
                <w:szCs w:val="20"/>
                <w:color w:val="auto"/>
              </w:rPr>
            </w:pPr>
            <w:r>
              <w:rPr>
                <w:rFonts w:ascii="Arial" w:cs="Arial" w:eastAsia="Arial" w:hAnsi="Arial"/>
                <w:sz w:val="18"/>
                <w:szCs w:val="18"/>
                <w:color w:val="auto"/>
              </w:rPr>
              <w:t>June 30, 2024</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June 29, 2025</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June 30, 2024</w:t>
            </w:r>
          </w:p>
        </w:tc>
      </w:tr>
      <w:tr>
        <w:trPr>
          <w:trHeight w:val="23"/>
        </w:trPr>
        <w:tc>
          <w:tcPr>
            <w:tcW w:w="39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4"/>
        </w:trPr>
        <w:tc>
          <w:tcPr>
            <w:tcW w:w="39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Anti-dilutive shares excluded from calculation of</w:t>
            </w: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4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7"/>
        </w:trPr>
        <w:tc>
          <w:tcPr>
            <w:tcW w:w="392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580" w:type="dxa"/>
            <w:vAlign w:val="bottom"/>
          </w:tcPr>
          <w:p>
            <w:pPr>
              <w:jc w:val="right"/>
              <w:spacing w:after="0"/>
              <w:rPr>
                <w:sz w:val="20"/>
                <w:szCs w:val="20"/>
                <w:color w:val="auto"/>
              </w:rPr>
            </w:pPr>
            <w:r>
              <w:rPr>
                <w:rFonts w:ascii="Arial" w:cs="Arial" w:eastAsia="Arial" w:hAnsi="Arial"/>
                <w:sz w:val="18"/>
                <w:szCs w:val="18"/>
                <w:color w:val="auto"/>
              </w:rPr>
              <w:t>14,633,311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14,633,311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14,633,311</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14,633,311</w:t>
            </w:r>
          </w:p>
        </w:tc>
      </w:tr>
      <w:tr>
        <w:trPr>
          <w:trHeight w:val="23"/>
        </w:trPr>
        <w:tc>
          <w:tcPr>
            <w:tcW w:w="3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437,268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454,064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437,268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454,064</w:t>
            </w:r>
          </w:p>
        </w:tc>
      </w:tr>
      <w:tr>
        <w:trPr>
          <w:trHeight w:val="247"/>
        </w:trPr>
        <w:tc>
          <w:tcPr>
            <w:tcW w:w="392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1580" w:type="dxa"/>
            <w:vAlign w:val="bottom"/>
          </w:tcPr>
          <w:p>
            <w:pPr>
              <w:jc w:val="right"/>
              <w:spacing w:after="0"/>
              <w:rPr>
                <w:sz w:val="20"/>
                <w:szCs w:val="20"/>
                <w:color w:val="auto"/>
              </w:rPr>
            </w:pPr>
            <w:r>
              <w:rPr>
                <w:rFonts w:ascii="Arial" w:cs="Arial" w:eastAsia="Arial" w:hAnsi="Arial"/>
                <w:sz w:val="18"/>
                <w:szCs w:val="18"/>
                <w:color w:val="auto"/>
              </w:rPr>
              <w:t>2,058,769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1,685,423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2,058,769</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1,685,423</w:t>
            </w:r>
          </w:p>
        </w:tc>
      </w:tr>
      <w:tr>
        <w:trPr>
          <w:trHeight w:val="23"/>
        </w:trPr>
        <w:tc>
          <w:tcPr>
            <w:tcW w:w="3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Performance stock units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2,264,503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2,264,503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2,133,100</w:t>
            </w:r>
          </w:p>
        </w:tc>
      </w:tr>
      <w:tr>
        <w:trPr>
          <w:trHeight w:val="247"/>
        </w:trPr>
        <w:tc>
          <w:tcPr>
            <w:tcW w:w="3920" w:type="dxa"/>
            <w:vAlign w:val="bottom"/>
          </w:tcPr>
          <w:p>
            <w:pPr>
              <w:ind w:left="180"/>
              <w:spacing w:after="0"/>
              <w:rPr>
                <w:sz w:val="20"/>
                <w:szCs w:val="20"/>
                <w:color w:val="auto"/>
              </w:rPr>
            </w:pPr>
            <w:r>
              <w:rPr>
                <w:rFonts w:ascii="Arial" w:cs="Arial" w:eastAsia="Arial" w:hAnsi="Arial"/>
                <w:sz w:val="18"/>
                <w:szCs w:val="18"/>
                <w:color w:val="auto"/>
              </w:rPr>
              <w:t>Unvested Earn-Out Shares</w:t>
            </w:r>
          </w:p>
        </w:tc>
        <w:tc>
          <w:tcPr>
            <w:tcW w:w="1580" w:type="dxa"/>
            <w:vAlign w:val="bottom"/>
          </w:tcPr>
          <w:p>
            <w:pPr>
              <w:jc w:val="right"/>
              <w:spacing w:after="0"/>
              <w:rPr>
                <w:sz w:val="20"/>
                <w:szCs w:val="20"/>
                <w:color w:val="auto"/>
              </w:rPr>
            </w:pPr>
            <w:r>
              <w:rPr>
                <w:rFonts w:ascii="Arial" w:cs="Arial" w:eastAsia="Arial" w:hAnsi="Arial"/>
                <w:sz w:val="18"/>
                <w:szCs w:val="18"/>
                <w:color w:val="auto"/>
              </w:rPr>
              <w:t>1,093,750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1,093,750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1,093,750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1,093,750</w:t>
            </w:r>
          </w:p>
        </w:tc>
      </w:tr>
      <w:tr>
        <w:trPr>
          <w:trHeight w:val="23"/>
        </w:trPr>
        <w:tc>
          <w:tcPr>
            <w:tcW w:w="39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shares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20,487,601</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19,999,648</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20,487,601</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19,999,648</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225" w:lineRule="exact"/>
        <w:rPr>
          <w:rFonts w:ascii="Arial" w:cs="Arial" w:eastAsia="Arial" w:hAnsi="Arial"/>
          <w:sz w:val="18"/>
          <w:szCs w:val="18"/>
          <w:b w:val="1"/>
          <w:bCs w:val="1"/>
          <w:color w:val="auto"/>
        </w:rPr>
      </w:pPr>
    </w:p>
    <w:p>
      <w:pPr>
        <w:jc w:val="both"/>
        <w:ind w:lef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under which awards, including stock options, restricted stock units ("RSUs") and performance stock units ("PSUs") may be granted to employees and non-employee directors. The 2021 Plan authorized 8,850,000 shares of Common Stock to be available for award grants. As of June 29, 2025, 3,281,662 shares of Common Stock remained available for future issuance under the 2021 Plan.</w:t>
      </w:r>
    </w:p>
    <w:p>
      <w:pPr>
        <w:spacing w:after="0" w:line="17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Equity-based compensation expense included the following components:</w:t>
      </w:r>
    </w:p>
    <w:p>
      <w:pPr>
        <w:spacing w:after="0" w:line="279"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280"/>
              <w:spacing w:after="0"/>
              <w:rPr>
                <w:sz w:val="20"/>
                <w:szCs w:val="20"/>
                <w:color w:val="auto"/>
              </w:rPr>
            </w:pPr>
            <w:r>
              <w:rPr>
                <w:rFonts w:ascii="Arial" w:cs="Arial" w:eastAsia="Arial" w:hAnsi="Arial"/>
                <w:sz w:val="18"/>
                <w:szCs w:val="18"/>
                <w:color w:val="auto"/>
              </w:rPr>
              <w:t>For the thirteen weeks ended</w:t>
            </w:r>
          </w:p>
        </w:tc>
        <w:tc>
          <w:tcPr>
            <w:tcW w:w="180" w:type="dxa"/>
            <w:vAlign w:val="bottom"/>
          </w:tcPr>
          <w:p>
            <w:pPr>
              <w:spacing w:after="0"/>
              <w:rPr>
                <w:sz w:val="20"/>
                <w:szCs w:val="20"/>
                <w:color w:val="auto"/>
              </w:rPr>
            </w:pPr>
          </w:p>
        </w:tc>
        <w:tc>
          <w:tcPr>
            <w:tcW w:w="3180" w:type="dxa"/>
            <w:vAlign w:val="bottom"/>
            <w:gridSpan w:val="4"/>
          </w:tcPr>
          <w:p>
            <w:pPr>
              <w:jc w:val="right"/>
              <w:ind w:right="31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3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0"/>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June 30, 2024</w:t>
            </w:r>
          </w:p>
        </w:tc>
        <w:tc>
          <w:tcPr>
            <w:tcW w:w="18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June 30, 2024</w:t>
            </w:r>
          </w:p>
        </w:tc>
      </w:tr>
      <w:tr>
        <w:trPr>
          <w:trHeight w:val="23"/>
        </w:trPr>
        <w:tc>
          <w:tcPr>
            <w:tcW w:w="3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r>
      <w:tr>
        <w:trPr>
          <w:trHeight w:val="247"/>
        </w:trPr>
        <w:tc>
          <w:tcPr>
            <w:tcW w:w="3760" w:type="dxa"/>
            <w:vAlign w:val="bottom"/>
          </w:tcPr>
          <w:p>
            <w:pPr>
              <w:ind w:left="20"/>
              <w:spacing w:after="0"/>
              <w:rPr>
                <w:sz w:val="20"/>
                <w:szCs w:val="20"/>
                <w:color w:val="auto"/>
              </w:rPr>
            </w:pPr>
            <w:r>
              <w:rPr>
                <w:rFonts w:ascii="Arial" w:cs="Arial" w:eastAsia="Arial" w:hAnsi="Arial"/>
                <w:sz w:val="18"/>
                <w:szCs w:val="18"/>
                <w:color w:val="auto"/>
              </w:rPr>
              <w:t>Performance stock units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3"/>
        </w:trPr>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7"/>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
        </w:trPr>
        <w:tc>
          <w:tcPr>
            <w:tcW w:w="3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78"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All equity-based compensation expenses are recorded in selling, general and administrative costs in the condensed consolidated statements of comprehensive income.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RSUs and PSUs are collectively referred to as "Restricted Stock Awards". The Compensation Committee has awarded RSUs to select employees and non-employee directors and has awarded PSUs to select employees. The RSUs vest ratably over one to four years of continued employment or board services, as applicable.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June 29, 2025, there was $7,264 of unrecognized compensation cost related to unvested Restricted Stock Awards that is expected to be recognized over a remaining weighted average period of 1.7 years.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weighted-average grant-date fair value of Restricted Stock Awards granted during the 13-week periods ended June 29, 2025 and June 30, 2024, was $2.48 and $4.12, respectively. The fair value of Restricted Stock Awards vested and converted to shares of Common Stock during the 26-week period ended June 29, 2025 and June 30, 2024, was $2,444 and $5,262,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Restricted Stock Award for the 26-week period ended June 29, 2025:</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300" w:type="dxa"/>
            <w:vAlign w:val="bottom"/>
          </w:tcPr>
          <w:p>
            <w:pPr>
              <w:spacing w:after="0"/>
              <w:rPr>
                <w:sz w:val="20"/>
                <w:szCs w:val="20"/>
                <w:color w:val="auto"/>
              </w:rPr>
            </w:pPr>
          </w:p>
        </w:tc>
        <w:tc>
          <w:tcPr>
            <w:tcW w:w="3200" w:type="dxa"/>
            <w:vAlign w:val="bottom"/>
            <w:gridSpan w:val="4"/>
          </w:tcPr>
          <w:p>
            <w:pPr>
              <w:jc w:val="right"/>
              <w:ind w:right="130"/>
              <w:spacing w:after="0"/>
              <w:rPr>
                <w:sz w:val="20"/>
                <w:szCs w:val="20"/>
                <w:color w:val="auto"/>
              </w:rPr>
            </w:pPr>
            <w:r>
              <w:rPr>
                <w:rFonts w:ascii="Arial" w:cs="Arial" w:eastAsia="Arial" w:hAnsi="Arial"/>
                <w:sz w:val="18"/>
                <w:szCs w:val="18"/>
                <w:color w:val="auto"/>
              </w:rPr>
              <w:t>Unvested Restricted Stock Awards</w:t>
            </w:r>
          </w:p>
        </w:tc>
      </w:tr>
      <w:tr>
        <w:trPr>
          <w:trHeight w:val="23"/>
        </w:trPr>
        <w:tc>
          <w:tcPr>
            <w:tcW w:w="7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18"/>
        </w:trPr>
        <w:tc>
          <w:tcPr>
            <w:tcW w:w="7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8"/>
              </w:rPr>
              <w:t>Weighted Average</w:t>
            </w:r>
          </w:p>
        </w:tc>
      </w:tr>
      <w:tr>
        <w:trPr>
          <w:trHeight w:val="216"/>
        </w:trPr>
        <w:tc>
          <w:tcPr>
            <w:tcW w:w="7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color w:val="auto"/>
                <w:w w:val="99"/>
              </w:rPr>
              <w:t>Grant Date Fair</w:t>
            </w:r>
          </w:p>
        </w:tc>
      </w:tr>
      <w:tr>
        <w:trPr>
          <w:trHeight w:val="239"/>
        </w:trPr>
        <w:tc>
          <w:tcPr>
            <w:tcW w:w="730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Number of RSAs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9"/>
              </w:rPr>
              <w:t>Value</w:t>
            </w:r>
          </w:p>
        </w:tc>
      </w:tr>
      <w:tr>
        <w:trPr>
          <w:trHeight w:val="23"/>
        </w:trPr>
        <w:tc>
          <w:tcPr>
            <w:tcW w:w="7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on December 31, 2024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4,195,161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7"/>
        </w:trPr>
        <w:tc>
          <w:tcPr>
            <w:tcW w:w="7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2,311,107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
        </w:trPr>
        <w:tc>
          <w:tcPr>
            <w:tcW w:w="7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(1,051,186)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47"/>
        </w:trPr>
        <w:tc>
          <w:tcPr>
            <w:tcW w:w="73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(418,252)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3"/>
        </w:trPr>
        <w:tc>
          <w:tcPr>
            <w:tcW w:w="7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8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on June 29,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5,036,830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3"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PSUs granted under the 2021 Plan represent shares of Common Stock that are potentially issuable in the future based on a combination of performance and service requirements. On March 21, 2025, the Company granted 812,256 PSUs under the 2021 Plan to key employees with a grant date fair value of $2.53. On March 31, 2025 the Company granted 10,943 PSUs with a grant date fair value of $2.57; and on April 21, 2025, the Company granted 27,134 PSUs with a grant date fair value of $1.98.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0% to 150% of the initial target awards.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June 29, 2025, all stock options vested and there was no additional compensation cost to recognize.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26-week period ended June 29, 2025:</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Weighted Average</w:t>
            </w:r>
          </w:p>
        </w:tc>
      </w:tr>
      <w:tr>
        <w:trPr>
          <w:trHeight w:val="216"/>
        </w:trPr>
        <w:tc>
          <w:tcPr>
            <w:tcW w:w="5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Weighted</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Remaining</w:t>
            </w:r>
          </w:p>
        </w:tc>
      </w:tr>
      <w:tr>
        <w:trPr>
          <w:trHeight w:val="216"/>
        </w:trPr>
        <w:tc>
          <w:tcPr>
            <w:tcW w:w="566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rPr>
              <w:t>Average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Contractual</w:t>
            </w:r>
          </w:p>
        </w:tc>
      </w:tr>
      <w:tr>
        <w:trPr>
          <w:trHeight w:val="239"/>
        </w:trPr>
        <w:tc>
          <w:tcPr>
            <w:tcW w:w="566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rPr>
              <w:t>Exercise Price</w:t>
            </w: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Term (years)</w:t>
            </w:r>
          </w:p>
        </w:tc>
      </w:tr>
      <w:tr>
        <w:trPr>
          <w:trHeight w:val="23"/>
        </w:trPr>
        <w:tc>
          <w:tcPr>
            <w:tcW w:w="56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on December 31, 2024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7"/>
        </w:trPr>
        <w:tc>
          <w:tcPr>
            <w:tcW w:w="5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
        </w:trPr>
        <w:tc>
          <w:tcPr>
            <w:tcW w:w="5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r>
      <w:tr>
        <w:trPr>
          <w:trHeight w:val="263"/>
        </w:trPr>
        <w:tc>
          <w:tcPr>
            <w:tcW w:w="5660" w:type="dxa"/>
            <w:vAlign w:val="bottom"/>
          </w:tcPr>
          <w:p>
            <w:pPr>
              <w:ind w:left="20"/>
              <w:spacing w:after="0"/>
              <w:rPr>
                <w:sz w:val="20"/>
                <w:szCs w:val="20"/>
                <w:color w:val="auto"/>
              </w:rPr>
            </w:pPr>
            <w:r>
              <w:rPr>
                <w:rFonts w:ascii="Arial" w:cs="Arial" w:eastAsia="Arial" w:hAnsi="Arial"/>
                <w:sz w:val="18"/>
                <w:szCs w:val="18"/>
                <w:color w:val="auto"/>
              </w:rPr>
              <w:t>Options outstanding on June 29, 2025</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437,268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4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on June 29, 2025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437,268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3"/>
        </w:trPr>
        <w:tc>
          <w:tcPr>
            <w:tcW w:w="56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225"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10 years, inclusive of renewal options that the Company is reasonably certain to exercise.</w:t>
      </w:r>
    </w:p>
    <w:p>
      <w:pPr>
        <w:spacing w:after="0" w:line="170" w:lineRule="exact"/>
        <w:rPr>
          <w:rFonts w:ascii="Arial" w:cs="Arial" w:eastAsia="Arial" w:hAnsi="Arial"/>
          <w:sz w:val="18"/>
          <w:szCs w:val="18"/>
          <w:b w:val="1"/>
          <w:bCs w:val="1"/>
          <w:color w:val="auto"/>
        </w:rPr>
      </w:pPr>
    </w:p>
    <w:p>
      <w:pPr>
        <w:ind w:left="3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operating lease assets and obligations, and provides information associated with the measurement of operating lease obligations.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3"/>
          </w:tcPr>
          <w:p>
            <w:pPr>
              <w:jc w:val="right"/>
              <w:ind w:right="290"/>
              <w:spacing w:after="0"/>
              <w:rPr>
                <w:sz w:val="20"/>
                <w:szCs w:val="20"/>
                <w:color w:val="auto"/>
              </w:rPr>
            </w:pPr>
            <w:r>
              <w:rPr>
                <w:rFonts w:ascii="Arial" w:cs="Arial" w:eastAsia="Arial" w:hAnsi="Arial"/>
                <w:sz w:val="18"/>
                <w:szCs w:val="18"/>
                <w:color w:val="auto"/>
              </w:rPr>
              <w:t>As of</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
        </w:trPr>
        <w:tc>
          <w:tcPr>
            <w:tcW w:w="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r>
      <w:tr>
        <w:trPr>
          <w:trHeight w:val="240"/>
        </w:trPr>
        <w:tc>
          <w:tcPr>
            <w:tcW w:w="34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June 29, 2025</w:t>
            </w:r>
          </w:p>
        </w:tc>
        <w:tc>
          <w:tcPr>
            <w:tcW w:w="2100" w:type="dxa"/>
            <w:vAlign w:val="bottom"/>
            <w:gridSpan w:val="3"/>
          </w:tcPr>
          <w:p>
            <w:pPr>
              <w:ind w:left="60"/>
              <w:spacing w:after="0"/>
              <w:rPr>
                <w:sz w:val="20"/>
                <w:szCs w:val="20"/>
                <w:color w:val="auto"/>
              </w:rPr>
            </w:pPr>
            <w:r>
              <w:rPr>
                <w:rFonts w:ascii="Arial" w:cs="Arial" w:eastAsia="Arial" w:hAnsi="Arial"/>
                <w:sz w:val="18"/>
                <w:szCs w:val="18"/>
                <w:color w:val="auto"/>
              </w:rPr>
              <w:t>December 31, 2024</w:t>
            </w:r>
          </w:p>
        </w:tc>
      </w:tr>
      <w:tr>
        <w:trPr>
          <w:trHeight w:val="23"/>
        </w:trPr>
        <w:tc>
          <w:tcPr>
            <w:tcW w:w="34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0" w:type="dxa"/>
            <w:vAlign w:val="bottom"/>
          </w:tcPr>
          <w:p>
            <w:pPr>
              <w:spacing w:after="0"/>
              <w:rPr>
                <w:sz w:val="21"/>
                <w:szCs w:val="21"/>
                <w:color w:val="auto"/>
              </w:rPr>
            </w:pPr>
          </w:p>
        </w:tc>
      </w:tr>
      <w:tr>
        <w:trPr>
          <w:trHeight w:val="247"/>
        </w:trPr>
        <w:tc>
          <w:tcPr>
            <w:tcW w:w="340" w:type="dxa"/>
            <w:vAlign w:val="bottom"/>
          </w:tcPr>
          <w:p>
            <w:pPr>
              <w:spacing w:after="0"/>
              <w:rPr>
                <w:sz w:val="21"/>
                <w:szCs w:val="21"/>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Operating right of use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34,421</w:t>
            </w:r>
          </w:p>
        </w:tc>
        <w:tc>
          <w:tcPr>
            <w:tcW w:w="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35,974</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0" w:type="dxa"/>
            <w:vAlign w:val="bottom"/>
          </w:tcPr>
          <w:p>
            <w:pPr>
              <w:spacing w:after="0"/>
              <w:rPr>
                <w:sz w:val="23"/>
                <w:szCs w:val="23"/>
                <w:color w:val="auto"/>
              </w:rPr>
            </w:pPr>
          </w:p>
        </w:tc>
      </w:tr>
      <w:tr>
        <w:trPr>
          <w:trHeight w:val="247"/>
        </w:trPr>
        <w:tc>
          <w:tcPr>
            <w:tcW w:w="340" w:type="dxa"/>
            <w:vAlign w:val="bottom"/>
          </w:tcPr>
          <w:p>
            <w:pPr>
              <w:spacing w:after="0"/>
              <w:rPr>
                <w:sz w:val="21"/>
                <w:szCs w:val="21"/>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Current operating lease liabilities - 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5,476</w:t>
            </w:r>
          </w:p>
        </w:tc>
        <w:tc>
          <w:tcPr>
            <w:tcW w:w="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5,324</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operating lease liabilities - 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30,089</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31,876</w:t>
            </w:r>
          </w:p>
        </w:tc>
        <w:tc>
          <w:tcPr>
            <w:tcW w:w="400" w:type="dxa"/>
            <w:vAlign w:val="bottom"/>
          </w:tcPr>
          <w:p>
            <w:pPr>
              <w:spacing w:after="0"/>
              <w:rPr>
                <w:sz w:val="23"/>
                <w:szCs w:val="23"/>
                <w:color w:val="auto"/>
              </w:rPr>
            </w:pPr>
          </w:p>
        </w:tc>
      </w:tr>
      <w:tr>
        <w:trPr>
          <w:trHeight w:val="264"/>
        </w:trPr>
        <w:tc>
          <w:tcPr>
            <w:tcW w:w="340" w:type="dxa"/>
            <w:vAlign w:val="bottom"/>
          </w:tcPr>
          <w:p>
            <w:pPr>
              <w:spacing w:after="0"/>
              <w:rPr>
                <w:sz w:val="22"/>
                <w:szCs w:val="22"/>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35,565</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37,200</w:t>
            </w:r>
          </w:p>
        </w:tc>
        <w:tc>
          <w:tcPr>
            <w:tcW w:w="40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7020" w:type="dxa"/>
            <w:vAlign w:val="bottom"/>
          </w:tcPr>
          <w:p>
            <w:pPr>
              <w:ind w:left="180"/>
              <w:spacing w:after="0"/>
              <w:rPr>
                <w:sz w:val="20"/>
                <w:szCs w:val="20"/>
                <w:color w:val="auto"/>
              </w:rPr>
            </w:pPr>
            <w:r>
              <w:rPr>
                <w:rFonts w:ascii="Arial" w:cs="Arial" w:eastAsia="Arial" w:hAnsi="Arial"/>
                <w:sz w:val="18"/>
                <w:szCs w:val="18"/>
                <w:color w:val="auto"/>
              </w:rPr>
              <w:t>Weighted average remaining lease term (in years)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21"/>
                <w:szCs w:val="21"/>
                <w:color w:val="auto"/>
              </w:rPr>
            </w:pPr>
          </w:p>
        </w:tc>
      </w:tr>
      <w:tr>
        <w:trPr>
          <w:trHeight w:val="23"/>
        </w:trPr>
        <w:tc>
          <w:tcPr>
            <w:tcW w:w="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400" w:type="dxa"/>
            <w:vAlign w:val="bottom"/>
          </w:tcPr>
          <w:p>
            <w:pPr>
              <w:spacing w:after="0"/>
              <w:rPr>
                <w:sz w:val="21"/>
                <w:szCs w:val="21"/>
                <w:color w:val="auto"/>
              </w:rPr>
            </w:pPr>
          </w:p>
        </w:tc>
      </w:tr>
      <w:tr>
        <w:trPr>
          <w:trHeight w:val="895"/>
        </w:trPr>
        <w:tc>
          <w:tcPr>
            <w:tcW w:w="7360" w:type="dxa"/>
            <w:vAlign w:val="bottom"/>
            <w:gridSpan w:val="2"/>
          </w:tcPr>
          <w:p>
            <w:pPr>
              <w:jc w:val="right"/>
              <w:ind w:right="155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27"/>
        </w:trPr>
        <w:tc>
          <w:tcPr>
            <w:tcW w:w="34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5"/>
          </w:tcPr>
          <w:p>
            <w:pPr>
              <w:ind w:left="280"/>
              <w:spacing w:after="0"/>
              <w:rPr>
                <w:sz w:val="20"/>
                <w:szCs w:val="20"/>
                <w:color w:val="auto"/>
              </w:rPr>
            </w:pPr>
            <w:r>
              <w:rPr>
                <w:rFonts w:ascii="Arial" w:cs="Arial" w:eastAsia="Arial" w:hAnsi="Arial"/>
                <w:sz w:val="18"/>
                <w:szCs w:val="18"/>
                <w:color w:val="auto"/>
              </w:rPr>
              <w:t>For the thirteen weeks ended</w:t>
            </w:r>
          </w:p>
        </w:tc>
        <w:tc>
          <w:tcPr>
            <w:tcW w:w="160" w:type="dxa"/>
            <w:vAlign w:val="bottom"/>
          </w:tcPr>
          <w:p>
            <w:pPr>
              <w:spacing w:after="0"/>
              <w:rPr>
                <w:sz w:val="20"/>
                <w:szCs w:val="20"/>
                <w:color w:val="auto"/>
              </w:rPr>
            </w:pPr>
          </w:p>
        </w:tc>
        <w:tc>
          <w:tcPr>
            <w:tcW w:w="3100" w:type="dxa"/>
            <w:vAlign w:val="bottom"/>
            <w:gridSpan w:val="6"/>
          </w:tcPr>
          <w:p>
            <w:pPr>
              <w:jc w:val="right"/>
              <w:ind w:right="380"/>
              <w:spacing w:after="0"/>
              <w:rPr>
                <w:sz w:val="20"/>
                <w:szCs w:val="20"/>
                <w:color w:val="auto"/>
              </w:rPr>
            </w:pPr>
            <w:r>
              <w:rPr>
                <w:rFonts w:ascii="Arial" w:cs="Arial" w:eastAsia="Arial" w:hAnsi="Arial"/>
                <w:sz w:val="18"/>
                <w:szCs w:val="18"/>
                <w:color w:val="auto"/>
              </w:rPr>
              <w:t>For the twenty-six weeks ended</w:t>
            </w: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June 30, 2024</w:t>
            </w:r>
          </w:p>
        </w:tc>
        <w:tc>
          <w:tcPr>
            <w:tcW w:w="160" w:type="dxa"/>
            <w:vAlign w:val="bottom"/>
          </w:tcPr>
          <w:p>
            <w:pPr>
              <w:spacing w:after="0"/>
              <w:rPr>
                <w:sz w:val="20"/>
                <w:szCs w:val="20"/>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June 30, 2024</w:t>
            </w: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lease expense:</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410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Expense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4100" w:type="dxa"/>
            <w:vAlign w:val="bottom"/>
          </w:tcPr>
          <w:p>
            <w:pPr>
              <w:ind w:left="40"/>
              <w:spacing w:after="0"/>
              <w:rPr>
                <w:sz w:val="20"/>
                <w:szCs w:val="20"/>
                <w:color w:val="auto"/>
              </w:rPr>
            </w:pPr>
            <w:r>
              <w:rPr>
                <w:rFonts w:ascii="Arial" w:cs="Arial" w:eastAsia="Arial" w:hAnsi="Arial"/>
                <w:sz w:val="18"/>
                <w:szCs w:val="18"/>
                <w:color w:val="auto"/>
              </w:rPr>
              <w:t>Short-term lease expense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 related to</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leases:</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measurement of</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24"/>
        </w:trPr>
        <w:tc>
          <w:tcPr>
            <w:tcW w:w="424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new</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Decapitalization of right-of-use assets upon lease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termination or modification</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530"/>
        </w:trPr>
        <w:tc>
          <w:tcPr>
            <w:tcW w:w="140" w:type="dxa"/>
            <w:vAlign w:val="bottom"/>
          </w:tcPr>
          <w:p>
            <w:pPr>
              <w:spacing w:after="0"/>
              <w:rPr>
                <w:sz w:val="24"/>
                <w:szCs w:val="24"/>
                <w:color w:val="auto"/>
              </w:rPr>
            </w:pPr>
          </w:p>
        </w:tc>
        <w:tc>
          <w:tcPr>
            <w:tcW w:w="9140" w:type="dxa"/>
            <w:vAlign w:val="bottom"/>
            <w:gridSpan w:val="11"/>
          </w:tcPr>
          <w:p>
            <w:pPr>
              <w:spacing w:after="0"/>
              <w:rPr>
                <w:sz w:val="20"/>
                <w:szCs w:val="20"/>
                <w:color w:val="auto"/>
              </w:rPr>
            </w:pPr>
            <w:r>
              <w:rPr>
                <w:rFonts w:ascii="Arial" w:cs="Arial" w:eastAsia="Arial" w:hAnsi="Arial"/>
                <w:sz w:val="18"/>
                <w:szCs w:val="18"/>
                <w:color w:val="auto"/>
              </w:rPr>
              <w:t>The following table summarizes the maturities of the Company's operating lease liabilities as of June 29, 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5780" w:type="dxa"/>
            <w:vAlign w:val="bottom"/>
            <w:gridSpan w:val="4"/>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5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2025 (excluding the twenty-six weeks ended June 29, 2025)</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240" w:type="dxa"/>
            <w:vAlign w:val="bottom"/>
            <w:gridSpan w:val="2"/>
          </w:tcPr>
          <w:p>
            <w:pPr>
              <w:ind w:left="16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240" w:type="dxa"/>
            <w:vAlign w:val="bottom"/>
            <w:gridSpan w:val="2"/>
          </w:tcPr>
          <w:p>
            <w:pPr>
              <w:ind w:left="160"/>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4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(7,618)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140" w:type="dxa"/>
            <w:vAlign w:val="bottom"/>
          </w:tcPr>
          <w:p>
            <w:pPr>
              <w:spacing w:after="0"/>
              <w:rPr>
                <w:sz w:val="24"/>
                <w:szCs w:val="24"/>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40" w:right="7540" w:hanging="332"/>
        <w:spacing w:after="0" w:line="500" w:lineRule="auto"/>
        <w:tabs>
          <w:tab w:leader="none" w:pos="35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 The Company has established loss provision for matters in which losses are probable and can be reasonably estimated. Although management will continue to reassess the estimated liability based on future developments, an objective assessment of such claims may not always be predictive of the outcome and actual results may vary from current estimates.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A putative securities class action was filed on November 6, 2023, 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No. 1:23-cv-148-S.</w:t>
      </w:r>
    </w:p>
    <w:p>
      <w:pPr>
        <w:spacing w:after="0" w:line="17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February 26, 2024, the court appointed City of Fort Lauderdale General Employees’ Retirement System to serve as lead plaintiff to prosecute claims on behalf of a proposed class of stockholders who purchased or otherwise acquired Holley securities between July 21, 2021, and February 6, 2023. On April 26, 2024, the lead plaintiff filed an amended Complaint, adding Vinod Nimmagadda (the Company’s Executive Vice President of Corporate Development and New Ventures) as a defendant. Lead plaintiff alleges that statements made regarding the Company’s business, operations, and prospects violated Sections 10(b), Section 20(a) and Rule 10b-5 of the Securities Exchange Act of 1934 and seeks class certification, damages, interest, attorneys’ fees, and other relief. The Company filed a motion to dismiss on June 28, 2024. On January 7, 2025, the lead plaintiff filed a motion for leave to file a supplemented amended Complaint, which the court granted on March 20, 2025. The Company filed a motion to dismiss the supplemented amended Complaint on April 3, 2025, and briefing on the motion to dismiss was completed on May 8, 2025.</w:t>
      </w:r>
    </w:p>
    <w:p>
      <w:pPr>
        <w:spacing w:after="0" w:line="18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Due to the early stage of this proceeding, we cannot reasonably estimate the potential range of loss, if any. The Company disputes the allegations and intends to vigorously defend against them.</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71"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condensed consolidated balance sheets.</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For the thirteen weeks ended</w:t>
            </w:r>
          </w:p>
        </w:tc>
        <w:tc>
          <w:tcPr>
            <w:tcW w:w="180" w:type="dxa"/>
            <w:vAlign w:val="bottom"/>
          </w:tcPr>
          <w:p>
            <w:pPr>
              <w:spacing w:after="0"/>
              <w:rPr>
                <w:sz w:val="20"/>
                <w:szCs w:val="20"/>
                <w:color w:val="auto"/>
              </w:rPr>
            </w:pPr>
          </w:p>
        </w:tc>
        <w:tc>
          <w:tcPr>
            <w:tcW w:w="3100" w:type="dxa"/>
            <w:vAlign w:val="bottom"/>
            <w:gridSpan w:val="4"/>
          </w:tcPr>
          <w:p>
            <w:pPr>
              <w:ind w:left="20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0"/>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June 29, 2025</w:t>
            </w:r>
          </w:p>
        </w:tc>
        <w:tc>
          <w:tcPr>
            <w:tcW w:w="18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June 30, 2024</w:t>
            </w:r>
          </w:p>
        </w:tc>
        <w:tc>
          <w:tcPr>
            <w:tcW w:w="18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420" w:type="dxa"/>
            <w:vAlign w:val="bottom"/>
          </w:tcPr>
          <w:p>
            <w:pPr>
              <w:ind w:left="60"/>
              <w:spacing w:after="0"/>
              <w:rPr>
                <w:sz w:val="20"/>
                <w:szCs w:val="20"/>
                <w:color w:val="auto"/>
              </w:rPr>
            </w:pPr>
            <w:r>
              <w:rPr>
                <w:rFonts w:ascii="Arial" w:cs="Arial" w:eastAsia="Arial" w:hAnsi="Arial"/>
                <w:sz w:val="18"/>
                <w:szCs w:val="18"/>
                <w:color w:val="auto"/>
              </w:rPr>
              <w:t>June 30, 2024</w:t>
            </w:r>
          </w:p>
        </w:tc>
      </w:tr>
      <w:tr>
        <w:trPr>
          <w:trHeight w:val="23"/>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rPr>
              <w:t>2,327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ind w:left="730"/>
              <w:spacing w:after="0"/>
              <w:rPr>
                <w:sz w:val="20"/>
                <w:szCs w:val="20"/>
                <w:color w:val="auto"/>
              </w:rPr>
            </w:pPr>
            <w:r>
              <w:rPr>
                <w:rFonts w:ascii="Arial" w:cs="Arial" w:eastAsia="Arial" w:hAnsi="Arial"/>
                <w:sz w:val="18"/>
                <w:szCs w:val="18"/>
                <w:color w:val="auto"/>
              </w:rPr>
              <w:t>4,771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center"/>
              <w:ind w:left="730"/>
              <w:spacing w:after="0"/>
              <w:rPr>
                <w:sz w:val="20"/>
                <w:szCs w:val="20"/>
                <w:color w:val="auto"/>
              </w:rPr>
            </w:pPr>
            <w:r>
              <w:rPr>
                <w:rFonts w:ascii="Arial" w:cs="Arial" w:eastAsia="Arial" w:hAnsi="Arial"/>
                <w:sz w:val="18"/>
                <w:szCs w:val="18"/>
                <w:color w:val="auto"/>
                <w:w w:val="97"/>
              </w:rPr>
              <w:t>3,325</w:t>
            </w:r>
          </w:p>
        </w:tc>
      </w:tr>
      <w:tr>
        <w:trPr>
          <w:trHeight w:val="247"/>
        </w:trPr>
        <w:tc>
          <w:tcPr>
            <w:tcW w:w="4180" w:type="dxa"/>
            <w:vAlign w:val="bottom"/>
          </w:tcPr>
          <w:p>
            <w:pPr>
              <w:ind w:left="20"/>
              <w:spacing w:after="0"/>
              <w:rPr>
                <w:sz w:val="20"/>
                <w:szCs w:val="20"/>
                <w:color w:val="auto"/>
              </w:rPr>
            </w:pPr>
            <w:r>
              <w:rPr>
                <w:rFonts w:ascii="Arial" w:cs="Arial" w:eastAsia="Arial" w:hAnsi="Arial"/>
                <w:sz w:val="18"/>
                <w:szCs w:val="18"/>
                <w:color w:val="auto"/>
              </w:rPr>
              <w:t>Accrued for current year warranty claims</w:t>
            </w:r>
          </w:p>
        </w:tc>
        <w:tc>
          <w:tcPr>
            <w:tcW w:w="160" w:type="dxa"/>
            <w:vAlign w:val="bottom"/>
          </w:tcPr>
          <w:p>
            <w:pPr>
              <w:spacing w:after="0"/>
              <w:rPr>
                <w:sz w:val="21"/>
                <w:szCs w:val="21"/>
                <w:color w:val="auto"/>
              </w:rPr>
            </w:pPr>
          </w:p>
        </w:tc>
        <w:tc>
          <w:tcPr>
            <w:tcW w:w="1420" w:type="dxa"/>
            <w:vAlign w:val="bottom"/>
          </w:tcPr>
          <w:p>
            <w:pPr>
              <w:jc w:val="center"/>
              <w:ind w:left="710"/>
              <w:spacing w:after="0"/>
              <w:rPr>
                <w:sz w:val="20"/>
                <w:szCs w:val="20"/>
                <w:color w:val="auto"/>
              </w:rPr>
            </w:pPr>
            <w:r>
              <w:rPr>
                <w:rFonts w:ascii="Arial" w:cs="Arial" w:eastAsia="Arial" w:hAnsi="Arial"/>
                <w:sz w:val="18"/>
                <w:szCs w:val="18"/>
                <w:color w:val="auto"/>
              </w:rPr>
              <w:t>2,451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center"/>
              <w:ind w:left="730"/>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center"/>
              <w:ind w:left="710"/>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center"/>
              <w:ind w:left="730"/>
              <w:spacing w:after="0"/>
              <w:rPr>
                <w:sz w:val="20"/>
                <w:szCs w:val="20"/>
                <w:color w:val="auto"/>
              </w:rPr>
            </w:pPr>
            <w:r>
              <w:rPr>
                <w:rFonts w:ascii="Arial" w:cs="Arial" w:eastAsia="Arial" w:hAnsi="Arial"/>
                <w:sz w:val="18"/>
                <w:szCs w:val="18"/>
                <w:color w:val="auto"/>
                <w:w w:val="97"/>
              </w:rPr>
              <w:t>6,747</w:t>
            </w:r>
          </w:p>
        </w:tc>
      </w:tr>
      <w:tr>
        <w:trPr>
          <w:trHeight w:val="23"/>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 of warranty claims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98"/>
              </w:rPr>
              <w:t>(2,244)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w w:val="98"/>
              </w:rPr>
              <w:t>(2,128)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98"/>
              </w:rPr>
              <w:t>(3,958)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rPr>
              <w:t>(4,026)</w:t>
            </w:r>
          </w:p>
        </w:tc>
      </w:tr>
      <w:tr>
        <w:trPr>
          <w:trHeight w:val="263"/>
        </w:trPr>
        <w:tc>
          <w:tcPr>
            <w:tcW w:w="41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center"/>
              <w:ind w:left="710"/>
              <w:spacing w:after="0"/>
              <w:rPr>
                <w:sz w:val="20"/>
                <w:szCs w:val="20"/>
                <w:color w:val="auto"/>
              </w:rPr>
            </w:pPr>
            <w:r>
              <w:rPr>
                <w:rFonts w:ascii="Arial" w:cs="Arial" w:eastAsia="Arial" w:hAnsi="Arial"/>
                <w:sz w:val="18"/>
                <w:szCs w:val="18"/>
                <w:color w:val="auto"/>
              </w:rPr>
              <w:t>2,534</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center"/>
              <w:ind w:left="730"/>
              <w:spacing w:after="0"/>
              <w:rPr>
                <w:sz w:val="20"/>
                <w:szCs w:val="20"/>
                <w:color w:val="auto"/>
              </w:rPr>
            </w:pPr>
            <w:r>
              <w:rPr>
                <w:rFonts w:ascii="Arial" w:cs="Arial" w:eastAsia="Arial" w:hAnsi="Arial"/>
                <w:sz w:val="18"/>
                <w:szCs w:val="18"/>
                <w:color w:val="auto"/>
              </w:rPr>
              <w:t>6,046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center"/>
              <w:ind w:left="710"/>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center"/>
              <w:ind w:left="730"/>
              <w:spacing w:after="0"/>
              <w:rPr>
                <w:sz w:val="20"/>
                <w:szCs w:val="20"/>
                <w:color w:val="auto"/>
              </w:rPr>
            </w:pPr>
            <w:r>
              <w:rPr>
                <w:rFonts w:ascii="Arial" w:cs="Arial" w:eastAsia="Arial" w:hAnsi="Arial"/>
                <w:sz w:val="18"/>
                <w:szCs w:val="18"/>
                <w:color w:val="auto"/>
                <w:w w:val="97"/>
              </w:rPr>
              <w:t>6,046</w:t>
            </w: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223"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Company has a defined-contribution savings plan under Section 401(k) of the Internal Revenue Code that covers United States-based employees. United States-based eligible employees may contribute up to the current statutory limits under the Internal Revenue Service regulations. Holley matches employee contributions to the 401(k) Plan up to 3.5% each pay period, and an additional discretionary match of up to 1.5% is made based on company performance targets. The Company also has a defined-contribution saving plan for Canada-based employees. Canada-based eligible employees may contribute up to the current statutory limits for a Registered Retirement Savings Plan. Holley matches employee contributions to the Group Savings Plan up to 3.0% each pay period, and an additional discretionary match of up to 1.5% is made based on company performance targets.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During the 13-week periods ended June 29, 2025 and June 30, 2024, the Company made matching contributions under the savings plans totaling $478 and $512, respectively. During the 26-week periods ended June 29, 2025 and June 30, 2024, the Company made matching contributions under the savings plan totaling $1,090 and $1,129, respectively.</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operates as one operating segment. The Company's chief operating decision maker ("CODM") is its Chief Executive Officer, who reviews financial information presented on a consolidated basis. The CODM uses consolidated gross margin and net income to assess financial performance and allocate resources. These financial metrics are used by the CODM to make key operating decisions, such as the determination of the rate at which the Company seeks to grow gross margin and the allocation of budget between cost of revenues, sales and marketing, research and development, and general and administrative expenses.</w:t>
      </w:r>
    </w:p>
    <w:p>
      <w:pPr>
        <w:spacing w:after="0" w:line="1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selected financial information with respect to the Company’s single operating segment for the 13-week and</w:t>
      </w:r>
    </w:p>
    <w:p>
      <w:pPr>
        <w:spacing w:after="0" w:line="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26-week periods ended June 29, 2025 and June 30,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5"/>
          </w:tcPr>
          <w:p>
            <w:pPr>
              <w:ind w:left="300"/>
              <w:spacing w:after="0"/>
              <w:rPr>
                <w:sz w:val="20"/>
                <w:szCs w:val="20"/>
                <w:color w:val="auto"/>
              </w:rPr>
            </w:pPr>
            <w:r>
              <w:rPr>
                <w:rFonts w:ascii="Arial" w:cs="Arial" w:eastAsia="Arial" w:hAnsi="Arial"/>
                <w:sz w:val="18"/>
                <w:szCs w:val="18"/>
                <w:color w:val="auto"/>
              </w:rPr>
              <w:t>For the thirteen weeks ended</w:t>
            </w:r>
          </w:p>
        </w:tc>
        <w:tc>
          <w:tcPr>
            <w:tcW w:w="180" w:type="dxa"/>
            <w:vAlign w:val="bottom"/>
          </w:tcPr>
          <w:p>
            <w:pPr>
              <w:spacing w:after="0"/>
              <w:rPr>
                <w:sz w:val="20"/>
                <w:szCs w:val="20"/>
                <w:color w:val="auto"/>
              </w:rPr>
            </w:pPr>
          </w:p>
        </w:tc>
        <w:tc>
          <w:tcPr>
            <w:tcW w:w="3100" w:type="dxa"/>
            <w:vAlign w:val="bottom"/>
            <w:gridSpan w:val="4"/>
          </w:tcPr>
          <w:p>
            <w:pPr>
              <w:jc w:val="right"/>
              <w:ind w:right="29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1"/>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June 30, 2024</w:t>
            </w:r>
          </w:p>
        </w:tc>
        <w:tc>
          <w:tcPr>
            <w:tcW w:w="18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June 30, 2024</w:t>
            </w:r>
          </w:p>
        </w:tc>
      </w:tr>
      <w:tr>
        <w:trPr>
          <w:trHeight w:val="23"/>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328,132</w:t>
            </w:r>
          </w:p>
        </w:tc>
      </w:tr>
      <w:tr>
        <w:trPr>
          <w:trHeight w:val="247"/>
        </w:trPr>
        <w:tc>
          <w:tcPr>
            <w:tcW w:w="45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186,059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205,780</w:t>
            </w:r>
          </w:p>
        </w:tc>
      </w:tr>
      <w:tr>
        <w:trPr>
          <w:trHeight w:val="23"/>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122,352</w:t>
            </w:r>
          </w:p>
        </w:tc>
      </w:tr>
      <w:tr>
        <w:trPr>
          <w:trHeight w:val="247"/>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34,570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69,653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67,566</w:t>
            </w:r>
          </w:p>
        </w:tc>
      </w:tr>
      <w:tr>
        <w:trPr>
          <w:trHeight w:val="23"/>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r>
      <w:tr>
        <w:trPr>
          <w:trHeight w:val="247"/>
        </w:trPr>
        <w:tc>
          <w:tcPr>
            <w:tcW w:w="45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6,871</w:t>
            </w:r>
          </w:p>
        </w:tc>
      </w:tr>
      <w:tr>
        <w:trPr>
          <w:trHeight w:val="23"/>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47"/>
        </w:trPr>
        <w:tc>
          <w:tcPr>
            <w:tcW w:w="4580" w:type="dxa"/>
            <w:vAlign w:val="bottom"/>
          </w:tcPr>
          <w:p>
            <w:pPr>
              <w:ind w:left="20"/>
              <w:spacing w:after="0"/>
              <w:rPr>
                <w:sz w:val="20"/>
                <w:szCs w:val="20"/>
                <w:color w:val="auto"/>
              </w:rPr>
            </w:pPr>
            <w:r>
              <w:rPr>
                <w:rFonts w:ascii="Arial" w:cs="Arial" w:eastAsia="Arial" w:hAnsi="Arial"/>
                <w:sz w:val="18"/>
                <w:szCs w:val="18"/>
                <w:color w:val="auto"/>
              </w:rPr>
              <w:t>Other operating income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86,789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84,266</w:t>
            </w:r>
          </w:p>
        </w:tc>
      </w:tr>
      <w:tr>
        <w:trPr>
          <w:trHeight w:val="240"/>
        </w:trPr>
        <w:tc>
          <w:tcPr>
            <w:tcW w:w="458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46,857</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38,086</w:t>
            </w:r>
          </w:p>
        </w:tc>
      </w:tr>
      <w:tr>
        <w:trPr>
          <w:trHeight w:val="23"/>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r>
      <w:tr>
        <w:trPr>
          <w:trHeight w:val="247"/>
        </w:trPr>
        <w:tc>
          <w:tcPr>
            <w:tcW w:w="4580" w:type="dxa"/>
            <w:vAlign w:val="bottom"/>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(1,707)</w:t>
            </w:r>
          </w:p>
        </w:tc>
      </w:tr>
      <w:tr>
        <w:trPr>
          <w:trHeight w:val="23"/>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7"/>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29,082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24,182</w:t>
            </w:r>
          </w:p>
        </w:tc>
      </w:tr>
      <w:tr>
        <w:trPr>
          <w:trHeight w:val="23"/>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non-operating expense</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16,087</w:t>
            </w:r>
          </w:p>
        </w:tc>
      </w:tr>
      <w:tr>
        <w:trPr>
          <w:trHeight w:val="240"/>
        </w:trPr>
        <w:tc>
          <w:tcPr>
            <w:tcW w:w="458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21,999</w:t>
            </w:r>
          </w:p>
        </w:tc>
      </w:tr>
      <w:tr>
        <w:trPr>
          <w:trHeight w:val="23"/>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r>
      <w:tr>
        <w:trPr>
          <w:trHeight w:val="263"/>
        </w:trPr>
        <w:tc>
          <w:tcPr>
            <w:tcW w:w="45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20,835</w:t>
            </w: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Unless the context requires otherwise, references to “Holley,” “we,” “us,” “our” and “the Company” in this section are to the business and operations of Holley Inc. and its subsidiaries unless the context otherwise indicates. The following discussion and analysis should be read in conjunction with Holley’s condensed consolidated financial statements and related notes thereto included in this Quarterly Report on Form 10-Q. In addition to historical information, this discussion contains forward-looking statements that involve risks, uncertainties, and assumptions that could cause Holley’s actual results to differ materially from management’s expectations. Factors that could cause such differences are discussed herein and under the caption, “Cautionary Note Regarding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designer, marketer, and manufacturer of high performance automotive aftermarket products serving car and truck enthusiasts, with sales, processing, and distribution facilities reaching most major markets in the United States, Canada, Europe, and China. We design, market, manufacture and distribute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Innovation is at the core of our business and growth strategy. We have a history of developing innovative products, including new products in existing product families, product line expansions, and accessories, as well as products that bring us into new categories. We have thoughtfully expanded our product portfolio over time to adapt to consumer needs.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have historically used strategic acquisitions to (i) expand our brand portfolio, (ii) enter new product categories and consumer segments, (iii) increase direct-to-consumer scale and connection, (iv) expand share in current product categories and (v) realize value-enhancing revenue and cost synergies. While we believe our business is positioned for continued organic growth, we intend to continue evaluating opportunities for strategic acquisitions that would complement our current business and expand our addressable target market.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above, under the caption, "Cautionary Note Regarding Forward-Looking Statements," in this Quarterly Report on Form 10-Q, under the caption, “Risk Factors,” in our Annual Report on Form 10-K for the year ended December 31, 2024, as filed with the SEC on March 14, 2025, and in our subsequent filings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and results of operations, financial condition, and liquidity are impacted by broad economic conditions, as well as by geopolitical events, including the conflict in Ukraine, the conflict in the Middle East, and the possible expansion of such conflicts and potential geopolitical consequences. Our business is impacted by various economic factors that affect both consumers and the automotive industry, including by not limited to inflation, fuel costs, wage rates, supply chain disruptions, hiring, and other economic conditions. In response to inflationary impacts and supply chain disruptions, we have attempted to minimize potential adverse impacts on our business with cost savings initiatives, price increases to customers, and increased attention to maintaining appropriate inventory levels in the distribution channel. Our profitability has been, and may continue to be, adversely affected by constrained consumer demand, a shift in sales to lower-margin products, and demands on our performance that increase our costs. Should the ongoing macroeconomic conditions not improve, or worsen, or if our attempt to mitigate the impact on our supply chain, operations and costs is not successful, our business, results of operations and financial condition may be adversely affected.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Tariffs and International Trade Policy on Our Operations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Since February 2025, the United States government has imposed new tariffs on imports from certain countries and regions, including China, Canada, Mexico and the European Union. In response, some foreign governments have implemented retaliatory measures. These developments have introduced new complexities to global supply chains; however, we believe Holley's business model and sourcing strategies have positioned us to manage these challenges effectively.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international exposure is currently primarily centered in China. Tariffs on Chinese imports have been a factor in our sourcing strategies for several years, and we have proactively developed and implemented plans to mitigate their impact. These initiatives include, but are not limited to, conducting a harmonized tariff code audit to ensure accurate classification and compliance, changing to supplier locations outside of China, reshoring products to North America and exploring direct shipping from suppliers to international customers to reduce tariff exposure on goods entering the United States. We continue to evaluate additional strategies to further minimize the impact of tariffs on our operations.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our production costs are primarily U.S.-based and we have a broad product portfolio with a strong concentration of manufacturing and sourcing in the United States, we believe our U.S. focus enables us to better manage and mitigate the impact of tariffs on pricing more effectively than competitors who are less diversified and more reliant on single-source imports from China. During the second quarter of 2025, we undertook the initiatives discussed above to mitigate the economic impact of tariffs on our product portfolio. We believe these initiatives combined with our pricing actions have allowed us to successfully manage the impact of the latest tariff decisions. However, if current tariff levels are sustained or increased, there is a risk that our profitability, cash flows and estimates inherent in our financial statements could be negatively affected.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monitor international trade developments closely, including potential changes in tariff rates and the possibility of new exemptions or retaliatory actions, in order to analyze their impact on our business and identify possible actions to minimize adverse effects. The extent and duration of these tariffs, as well as their broader impact on macroeconomic conditions and our business, remain uncertain and will depend on a variety of factors outside of our control. Nevertheless, we remain committed to optimizing our operations, managing costs and leveraging our diversified supply chain to minimize the impact of tariffs on our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principal activity from which we generate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general, and administrative costs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Restructuring costs include charges attributable to operational restructuring and integration activities, including professional and consulting services; termination related benefits; facilities relocation; and executive transition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expense consists of interest due on the indebtedness under our credit facilities. Interest is based on SOFR or the base rate, at the Company's election, plus the applicable margin rate. As of June 29, 2025, $557.6 million was outstanding under our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13-Week Period Ended June 29, 2025 Compared With 13-Week Period Ended June 30, 2024</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presents Holley’s results of operations for the 13-week periods ended June 29, 2025 and June 30, 2024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4"/>
          </w:tcPr>
          <w:p>
            <w:pPr>
              <w:jc w:val="right"/>
              <w:ind w:right="110"/>
              <w:spacing w:after="0"/>
              <w:rPr>
                <w:sz w:val="20"/>
                <w:szCs w:val="20"/>
                <w:color w:val="auto"/>
              </w:rPr>
            </w:pPr>
            <w:r>
              <w:rPr>
                <w:rFonts w:ascii="Arial" w:cs="Arial" w:eastAsia="Arial" w:hAnsi="Arial"/>
                <w:sz w:val="18"/>
                <w:szCs w:val="18"/>
                <w:color w:val="auto"/>
              </w:rPr>
              <w:t>For the thirteen weeks ended</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
        </w:trPr>
        <w:tc>
          <w:tcPr>
            <w:tcW w:w="4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1"/>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June 29, 2025</w:t>
            </w:r>
          </w:p>
        </w:tc>
        <w:tc>
          <w:tcPr>
            <w:tcW w:w="14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June 30, 2024</w:t>
            </w:r>
          </w:p>
        </w:tc>
        <w:tc>
          <w:tcPr>
            <w:tcW w:w="2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Change ($)</w:t>
            </w:r>
          </w:p>
        </w:tc>
        <w:tc>
          <w:tcPr>
            <w:tcW w:w="10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Change (%)</w:t>
            </w:r>
          </w:p>
        </w:tc>
      </w:tr>
      <w:tr>
        <w:trPr>
          <w:trHeight w:val="2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99,203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Other operating expense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193.1 %</w:t>
            </w:r>
          </w:p>
        </w:tc>
      </w:tr>
      <w:tr>
        <w:trPr>
          <w:trHeight w:val="2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70.5 %</w:t>
            </w:r>
          </w:p>
        </w:tc>
      </w:tr>
      <w:tr>
        <w:trPr>
          <w:trHeight w:val="2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 %</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2715.9%</w:t>
            </w:r>
          </w:p>
        </w:tc>
      </w:tr>
      <w:tr>
        <w:trPr>
          <w:trHeight w:val="2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8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sales for the 13-week period ended June 29, 2025 decreased $2.8 million, or 1.7%, to $166.7 million, as compared to $169.5 million for the 13-week period ended June 30, 2024. Lower sales volume resulted in a decrease of approximately $4.2 million, offset partially by improved price realization of approximately $1.4 million compared to the prior year period.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table below presents our net sales for the 13-week periods ended June 29, 2025 and June 30, 2024, as well as sales related to divestitures and sales part of our strategic product rationalization project. The divestitures sales relate to divested businesses prior to the divestiture date. The divestitures include Detroit Speed Engineering, Gear FX, and Proforged. The strategic product rationalization sales related to a 2024 initiative to discontinued stock keeping units ("SKUs").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4"/>
          </w:tcPr>
          <w:p>
            <w:pPr>
              <w:jc w:val="right"/>
              <w:ind w:right="390"/>
              <w:spacing w:after="0"/>
              <w:rPr>
                <w:sz w:val="20"/>
                <w:szCs w:val="20"/>
                <w:color w:val="auto"/>
              </w:rPr>
            </w:pPr>
            <w:r>
              <w:rPr>
                <w:rFonts w:ascii="Arial" w:cs="Arial" w:eastAsia="Arial" w:hAnsi="Arial"/>
                <w:sz w:val="18"/>
                <w:szCs w:val="18"/>
                <w:color w:val="auto"/>
              </w:rPr>
              <w:t>For the thirteen weeks ended</w:t>
            </w:r>
          </w:p>
        </w:tc>
      </w:tr>
      <w:tr>
        <w:trPr>
          <w:trHeight w:val="23"/>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June 30, 2024</w:t>
            </w:r>
          </w:p>
        </w:tc>
      </w:tr>
      <w:tr>
        <w:trPr>
          <w:trHeight w:val="23"/>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169,496</w:t>
            </w:r>
          </w:p>
        </w:tc>
      </w:tr>
      <w:tr>
        <w:trPr>
          <w:trHeight w:val="247"/>
        </w:trPr>
        <w:tc>
          <w:tcPr>
            <w:tcW w:w="794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16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3,397</w:t>
            </w:r>
          </w:p>
        </w:tc>
      </w:tr>
      <w:tr>
        <w:trPr>
          <w:trHeight w:val="23"/>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Strategic Product Rationalization</w:t>
            </w: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r>
      <w:tr>
        <w:trPr>
          <w:trHeight w:val="23"/>
        </w:trPr>
        <w:tc>
          <w:tcPr>
            <w:tcW w:w="7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of goods sold for the 13-week period ended June 29, 2025 decreased $2.1 million, or 2.1%, to $97.1 million, as compared to $99.2 million for the 13-week period ended June 30, 2024. The decrease in cost of goods sold in the second quarter of 2025, a period in which product sales decreased 1.7%, was due to lower inbound freight costs, which is one of the Company's cost saving initiatives.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13-week period ended June 29, 2025 decreased $0.7 million, or 1.0%, to $69.6 million, as compared to $70.3 million for the 13-week period ended June 30, 2024. Gross margin for the 13-week period ended June 29, 2025 was 41.7% as compared to a gross margin of 41.5% for the 13-week period ended June 30, 2024. Gross profit margin increased primarily due to significant clearance activity in prior year and not repeating in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costs for the 13-week period ended June 29, 2025 decreased $1.6 million, or 4.7%, to $33.0 million, as compared to $34.6 million for the 13-week period ended June 30, 2024. Selling, general and administrative costs expressed as a percentage of sales decreased to 19.8% for the 13-week period ended June 29, 2025 compared to 20.4% for the 13-week period ended June 30, 2024. The decrease in selling, general and administrative costs was due to the Company's realignment of employees' roles and responsibilities from selling, general and administrative to research and development. Overall, salaries increased for the Company in the second quarter of 2025, compared to the second quarter of 2024. The increase is due to the furlough that occurred during 2024. The increase was offset by a decrease in transformative consulting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costs for the 13-week period ended June 29, 2025 slightly increased to $5.1 million as compared to $4.3 million for the 13-week period ended June 30, 2024, primarily due to the Company's realignment of employees' roles and responsibilities from selling, general and administrative to research and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Amortization of intangible assets was $3.4 million for the 13-week period ended June 29, 2025 compared to $3.4 million for the 13-week period ended June 30,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for the 13-week period ended June 29, 2025 increased by $0.4 million to $0.4 million, as compared to less than $0.1 million for the 13-week period ended June 30, 2024, reflecting restructuring and integration activities associated with our implementation of resource allocation efforts in support of portfolio development optimization.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factors described above, operating income for the 13-week period ended June 29, 2025 decreased $0.4 million, or 1.3%, to $27.5 million, as compared to $27.9 million for the 13-week period ended June 30,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13-week periods ended June 29, 2025 and June 30, 2024, we recognized a gain of less than $0.1 million and $3.4 million, respectively. The warrant liability reflects the fair value of the Warrants issued in connection with the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13-week periods ended June 29, 2025 and June 30, 2024, we recognized a gain of $0.2 million and $1.1 million, respectively. The earn-out liability reflects the fair value of the unvested Earn-Out Shares resulting from the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expense for the 13-week period ended June 29, 2025 increased $0.2 million, or 1.5%, to $ 13.4 million, as compared to $13.2 million for the 13-week period ended June 30, 2024, reflecting the negative impact of the interest rate collar. The Company recognized interest expense of $1.4 million and interest income of $(0.1) million related to the interest rate collar for 13-week periods ended June 29, 2025 and June 30, 2024,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factors described above, we recognized $14.4 million and $19.2 million of income before income taxes for the 13-week periods ended June 29, 2025 and June 30, 2024,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for the 13-week period ended June 29, 2025 was $ 3.5 million, as compared to income tax expense of $2.1 million for the 13-week period ended June 30, 2024. Our effective tax rate for the 13-week period ended June 29, 2025 was 24.4%. The difference between the effective tax rate for the 13-week period ended June 29, 2025 and the federal statutory rate in 2025 was due to federal research and development tax credits, state taxes, the impact of foreign taxes in higher tax rate jurisdictions, and excess tax deficiencies from share-based compensation recognized during the period. The effective tax rate for the 13-week period ended June 30, 2024 was 10.7%. The difference between the effective tax rate for the 13-week period ended June 30, 2024 and the federal statutory rate in 2024 was due to permanent differences related to changes in fair value of the warrant and earn-out liabilities recognized during the period and the impact of foreign taxes in higher tax rate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factors described above, we recognized net income of $10.9 million and $17.1 million for the 13-week periods ended June 29, 2025 and June 30, 2024, respectively. Additionally, we recognized total comprehensive income of $12.1 million for the 13-week period ended June 29, 2025, as compared to total comprehensive income of $17.1 million for the 13-week period ended June 30, 2024. Comprehensive income includes the effect of foreign currency translation adjustments.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26-Week Period Ended June 29, 2025 Compared With 26-Week Period Ended June 30, 2024</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presents Holley’s results of operations for the 26-week periods ended June 29, 2025 and June 30, 2024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4"/>
          </w:tcPr>
          <w:p>
            <w:pPr>
              <w:jc w:val="right"/>
              <w:ind w:right="10"/>
              <w:spacing w:after="0"/>
              <w:rPr>
                <w:sz w:val="20"/>
                <w:szCs w:val="20"/>
                <w:color w:val="auto"/>
              </w:rPr>
            </w:pPr>
            <w:r>
              <w:rPr>
                <w:rFonts w:ascii="Arial" w:cs="Arial" w:eastAsia="Arial" w:hAnsi="Arial"/>
                <w:sz w:val="18"/>
                <w:szCs w:val="18"/>
                <w:color w:val="auto"/>
              </w:rPr>
              <w:t>For the twenty-six weeks ended</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
        </w:trPr>
        <w:tc>
          <w:tcPr>
            <w:tcW w:w="4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1"/>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June 29, 2025</w:t>
            </w:r>
          </w:p>
        </w:tc>
        <w:tc>
          <w:tcPr>
            <w:tcW w:w="14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June 30, 2024</w:t>
            </w:r>
          </w:p>
        </w:tc>
        <w:tc>
          <w:tcPr>
            <w:tcW w:w="2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Change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Change (%)</w:t>
            </w:r>
          </w:p>
        </w:tc>
        <w:tc>
          <w:tcPr>
            <w:tcW w:w="280" w:type="dxa"/>
            <w:vAlign w:val="bottom"/>
          </w:tcPr>
          <w:p>
            <w:pPr>
              <w:spacing w:after="0"/>
              <w:rPr>
                <w:sz w:val="20"/>
                <w:szCs w:val="20"/>
                <w:color w:val="auto"/>
              </w:rPr>
            </w:pPr>
          </w:p>
        </w:tc>
      </w:tr>
      <w:tr>
        <w:trPr>
          <w:trHeight w:val="2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186,059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205,780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(19,721)</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(9.6) %</w:t>
            </w:r>
          </w:p>
        </w:tc>
      </w:tr>
      <w:tr>
        <w:trPr>
          <w:trHeight w:val="2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11,294</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67,566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2,087</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6,871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0.2%</w:t>
            </w: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Other operating expense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n/a</w:t>
            </w: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n/a</w:t>
            </w: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n/a</w:t>
            </w: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0"/>
        </w:trPr>
        <w:tc>
          <w:tcPr>
            <w:tcW w:w="42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21,999</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(17.0%)</w:t>
            </w: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20,835</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(7,155)</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(34.3) %</w:t>
            </w: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(771.8%)</w:t>
            </w:r>
          </w:p>
        </w:tc>
      </w:tr>
      <w:tr>
        <w:trPr>
          <w:trHeight w:val="264"/>
        </w:trPr>
        <w:tc>
          <w:tcPr>
            <w:tcW w:w="42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20,693</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(6,059)</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(29.3) %</w:t>
            </w: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for the 26-week period ended June 29, 2025 decreased $8.4 million, or 2.6%, to $ 319.7 million, as compared to $328.1 million for the 26-week period ended June 30, 2024. Lower sales volume resulted in a decrease of approximately $12.2 million, offset partially by improved price realization of approximately $3.8 million compared to the prior year period.</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table below presents our net sales for the 26-week periods ended June 29, 2025 and June 30, 2024, as well as sales related to divestitures and sales part of our strategic product rationalization project. The divestitures sales relate to divested businesses prior to the divestiture date. The divestitures include Detroit Speed Engineering, Gear FX, and Proforged. The strategic product rationalization sales related to a 2024 initiative to discontinued stock keeping units ("SKUs").</w:t>
      </w:r>
    </w:p>
    <w:p>
      <w:pPr>
        <w:spacing w:after="0" w:line="230"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For the twenty-six weeks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23495</wp:posOffset>
            </wp:positionV>
            <wp:extent cx="1320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June 29,</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June 30,</w:t>
            </w:r>
          </w:p>
        </w:tc>
      </w:tr>
      <w:tr>
        <w:trPr>
          <w:trHeight w:val="239"/>
        </w:trPr>
        <w:tc>
          <w:tcPr>
            <w:tcW w:w="492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2024</w:t>
            </w:r>
          </w:p>
        </w:tc>
      </w:tr>
      <w:tr>
        <w:trPr>
          <w:trHeight w:val="23"/>
        </w:trPr>
        <w:tc>
          <w:tcPr>
            <w:tcW w:w="49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319,705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328,132</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7,182</w:t>
            </w:r>
          </w:p>
        </w:tc>
      </w:tr>
      <w:tr>
        <w:trPr>
          <w:trHeight w:val="23"/>
        </w:trPr>
        <w:tc>
          <w:tcPr>
            <w:tcW w:w="4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Strategic Product Rationalization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r>
      <w:tr>
        <w:trPr>
          <w:trHeight w:val="23"/>
        </w:trPr>
        <w:tc>
          <w:tcPr>
            <w:tcW w:w="49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goods sold for the 26-week period ended June 29, 2025 decreased $ 19.7 million, or 9.6%, to $186.1 million, as compared to $205.8 million for the 26-week period ended June 30, 2024. The decrease in cost of goods sold in 2025, a period in which product sales decreased 2.6%, was due to the $9.1 million of product rationalization initiative in 2024. The initiative focused on eliminating unprofitable or slow-moving SKUs. Lower freight costs also contributed to the decrease.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26-week period ended June 29, 2025 increased $11.3 million, or 9.2%, to $133.6 million, as compared to $122.4 million for the 26-week period ended June 30, 2024. Gross margin for the 26-week period ended June 29, 2025 was 41.8% as compared to a gross margin of 37.3% for the 26-week period ended June 30, 2024. Gross profit margin increased primarily due to inventory charges in 2024, driven by the product rationalization initiative. The increase was also due to improvements in freight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for the 26-week period ended June 29, 2025 increased $2.1 million, or 3.1%, to $69.7 million, as compared to $67.6 million for the 26-week period ended June 30, 2024. Selling, general and administrative costs expressed as a percentage of sales increased to 21.8% for the 26-week period ended June 29, 2025 compared to 20.6% for the 26-week period ended June 30, 2024. The increase in selling, general and administrative costs was driven by an increase in legal fees of $2.3 million, which included $1.3 million in legal settlement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and development costs for the 26-week period ended June 29, 2025 slightly increased to $9.2 million as compared to $9.1 million for the 26-week period ended June 30, 2024, primarily due to the Company's realignment of employees' roles and responsibilities from selling, general and administrative to research and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Amortization of intangible assets was $6.9 million for the 26-week period ended June 29, 2025 compared to $6.9 million for the 26-week period ended June 30,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for the 26-week period ended June 29, 2025 increased by $0.2 million to $0.8 million, as compared to $0.6 million for the 26-week period ended June 30, 2024, reflecting restructuring and integration activities associated with our implementation of resource allocation efforts in support of portfolio development optimization.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factors described above, operating income for the 26-week period ended June 29, 2025 increased $8.8 million, or 23.0%, to $46.9 million, as compared to $38.1 million for the 26-week period ended June 30,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26-week periods ended June 29, 2025 and June 30, 2024, we recognized a gain of $0.1 million and $6.5 million, respectively. The warrant liability reflects the fair value of the Warrants issued in connection with the Business Combination.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26-week periods ended June 29, 2025 and June 30, 2024, we recognized a gain of $0.4 million and $1.7 million, respectively. The earn-out liability reflects the fair value of the unvested Earn-Out Shares resulting from the Business Combination.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expense for the 26-week period ended June 29, 2025 increased $4.9 million, or 20.3%, to $29.1 million, as compared to $24.2 million for the 26-week period ended June 30, 2024, reflecting the negative impact of the interest rate collar. The Company recognized interest expense of $5.2 million and interest income of $2.4 million related to the interest rate collar for 26-week periods ended June 29, 2025 and June 30, 2024,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factors described above, we recognized $18.3 million and $22.0 million of income before income taxes for the 26-week periods ended June 29, 2025 and June 30, 2024,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expense for the 26-week period ended June 29, 2025 was $ 4.6 million, as compared to income tax expense of $1.2 million for the 26-week period ended June 30, 2024. Our effective tax rate for the 26-week period ended June 29, 2025 was 25.1%. The difference between the effective tax rate for the 26-week period ended June 29, 2025 and the federal statutory rate in 2025 was due to federal research and development tax credits, state taxes, the impact of foreign taxes in higher tax rate jurisdictions, and excess tax deficiencies from share-based compensation recognized during the period. The effective tax rate for the 26 week period ended June 30, 2024 was 5.3%. The difference between the effective tax rate and the federal statutory rate in 2024 was due to permanent differences related to changes in fair value of the warrant and earn-out liabilities recognized during the period, federal research and development tax credits, and the impact of foreign taxes in higher tax rate jurisdictions. In addition, the company incurred expenses related to product rationalization that were determined to be significant and infrequent in nature, therefore, the full tax benefit of these expenses was recorded during the year as a discrete adjustment.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factors described above, we recognized net income of $13.7 million and $20.8 million for the 26-week periods ended June 29, 2025 and June 30, 2024, respectively. Additionally, we recognized total comprehensive income of $14.6 million for the 26-week period ended June 29, 2025, as compared to total comprehensive income of $20.7 million for the 26-week period ended June 30, 2024. Comprehensive income includes the effect of foreign currency translation adjustments.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certain information with respect to EBITDA, Adjusted EBITDA, Adjusted EBITDA Margin, Adjusted Net Income, Adjusted Diluted EPS, and Free Cash Flow as supplemental measures of our operating performance and believe that such non-GAAP financial measures are useful to investors in evaluating our financial performance and in comparing our financial results between periods because they exclude the impact of certain items that we do not consider indicative of our ongoing operating performance. We believe that the presentation of these non-GAAP financial measures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EBITDA, Adjusted EBITDA, Adjusted EBITDA Margin, Adjusted Net Income, Adjusted Diluted EPS, and Free Cash Flow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understanding and assessing our financial performance. These metrics should not be considered as alternatives to net income, gross profit, net cash provided by operating activities, or any other performance measures, as applicable, derived in accordance with GAAP.</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EBITDA as earnings before depreciation, amortization of intangible assets, interest expense, and income tax expense. We define Adjusted EBITDA as EBITDA adjusted to exclude, to the extent applicable, acquisition and restructuring costs, which includes operational restructuring and integration activities, termination related benefits, facilities relocation, and executive transition costs; changes in the fair value of the warrant liability; changes in the fair value of the earn-out liability; equity-based compensation expense; loss on the early extinguishment of debt; notable items that we do not believe are reflective of our underlying operating performance, including litigation settlements, transformative consulting fees and certain costs incurred for advisory services related to identifying performance initiatives; and other expenses or gains, which includes gains or losses from disposal of fixed assets, franchise taxes, and gains or losses from foreign currency transactions. We define Adjusted EBITDA Margin as Adjusted EBITDA divided by net sales.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unaudited table presents the reconciliation of net income, the most directly comparable GAAP measure, to EBITDA, Adjusted EBITDA, and Adjusted EBITDA Margin for the 13-week and 26-week periods ended June 29, 2025 and June 30, 2024 (dollars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300"/>
              <w:spacing w:after="0"/>
              <w:rPr>
                <w:sz w:val="20"/>
                <w:szCs w:val="20"/>
                <w:color w:val="auto"/>
              </w:rPr>
            </w:pPr>
            <w:r>
              <w:rPr>
                <w:rFonts w:ascii="Arial" w:cs="Arial" w:eastAsia="Arial" w:hAnsi="Arial"/>
                <w:sz w:val="18"/>
                <w:szCs w:val="18"/>
                <w:color w:val="auto"/>
              </w:rPr>
              <w:t>For the thirteen weeks ended</w:t>
            </w:r>
          </w:p>
        </w:tc>
        <w:tc>
          <w:tcPr>
            <w:tcW w:w="180" w:type="dxa"/>
            <w:vAlign w:val="bottom"/>
          </w:tcPr>
          <w:p>
            <w:pPr>
              <w:spacing w:after="0"/>
              <w:rPr>
                <w:sz w:val="20"/>
                <w:szCs w:val="20"/>
                <w:color w:val="auto"/>
              </w:rPr>
            </w:pPr>
          </w:p>
        </w:tc>
        <w:tc>
          <w:tcPr>
            <w:tcW w:w="3080" w:type="dxa"/>
            <w:vAlign w:val="bottom"/>
            <w:gridSpan w:val="4"/>
          </w:tcPr>
          <w:p>
            <w:pPr>
              <w:jc w:val="right"/>
              <w:ind w:right="270"/>
              <w:spacing w:after="0"/>
              <w:rPr>
                <w:sz w:val="20"/>
                <w:szCs w:val="20"/>
                <w:color w:val="auto"/>
              </w:rPr>
            </w:pPr>
            <w:r>
              <w:rPr>
                <w:rFonts w:ascii="Arial" w:cs="Arial" w:eastAsia="Arial" w:hAnsi="Arial"/>
                <w:sz w:val="18"/>
                <w:szCs w:val="18"/>
                <w:color w:val="auto"/>
              </w:rPr>
              <w:t>For the twenty-six weeks ended</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June 30, 2024</w:t>
            </w:r>
          </w:p>
        </w:tc>
        <w:tc>
          <w:tcPr>
            <w:tcW w:w="18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June 30, 2024</w:t>
            </w:r>
          </w:p>
        </w:tc>
        <w:tc>
          <w:tcPr>
            <w:tcW w:w="0" w:type="dxa"/>
            <w:vAlign w:val="bottom"/>
          </w:tcPr>
          <w:p>
            <w:pPr>
              <w:spacing w:after="0"/>
              <w:rPr>
                <w:sz w:val="1"/>
                <w:szCs w:val="1"/>
                <w:color w:val="auto"/>
              </w:rPr>
            </w:pPr>
          </w:p>
        </w:tc>
      </w:tr>
      <w:tr>
        <w:trPr>
          <w:trHeight w:val="23"/>
        </w:trPr>
        <w:tc>
          <w:tcPr>
            <w:tcW w:w="4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17,105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20,835</w:t>
            </w:r>
          </w:p>
        </w:tc>
        <w:tc>
          <w:tcPr>
            <w:tcW w:w="0" w:type="dxa"/>
            <w:vAlign w:val="bottom"/>
          </w:tcPr>
          <w:p>
            <w:pPr>
              <w:spacing w:after="0"/>
              <w:rPr>
                <w:sz w:val="1"/>
                <w:szCs w:val="1"/>
                <w:color w:val="auto"/>
              </w:rPr>
            </w:pP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2,669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5,133</w:t>
            </w:r>
          </w:p>
        </w:tc>
        <w:tc>
          <w:tcPr>
            <w:tcW w:w="0" w:type="dxa"/>
            <w:vAlign w:val="bottom"/>
          </w:tcPr>
          <w:p>
            <w:pPr>
              <w:spacing w:after="0"/>
              <w:rPr>
                <w:sz w:val="1"/>
                <w:szCs w:val="1"/>
                <w:color w:val="auto"/>
              </w:rPr>
            </w:pPr>
          </w:p>
        </w:tc>
      </w:tr>
      <w:tr>
        <w:trPr>
          <w:trHeight w:val="247"/>
        </w:trPr>
        <w:tc>
          <w:tcPr>
            <w:tcW w:w="46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3,435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6,871</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13,178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24,182</w:t>
            </w:r>
          </w:p>
        </w:tc>
        <w:tc>
          <w:tcPr>
            <w:tcW w:w="0" w:type="dxa"/>
            <w:vAlign w:val="bottom"/>
          </w:tcPr>
          <w:p>
            <w:pPr>
              <w:spacing w:after="0"/>
              <w:rPr>
                <w:sz w:val="1"/>
                <w:szCs w:val="1"/>
                <w:color w:val="auto"/>
              </w:rPr>
            </w:pPr>
          </w:p>
        </w:tc>
      </w:tr>
      <w:tr>
        <w:trPr>
          <w:trHeight w:val="247"/>
        </w:trPr>
        <w:tc>
          <w:tcPr>
            <w:tcW w:w="464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2,055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3"/>
        </w:trPr>
        <w:tc>
          <w:tcPr>
            <w:tcW w:w="4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38,442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58,185</w:t>
            </w:r>
          </w:p>
        </w:tc>
        <w:tc>
          <w:tcPr>
            <w:tcW w:w="0" w:type="dxa"/>
            <w:vAlign w:val="bottom"/>
          </w:tcPr>
          <w:p>
            <w:pPr>
              <w:spacing w:after="0"/>
              <w:rPr>
                <w:sz w:val="1"/>
                <w:szCs w:val="1"/>
                <w:color w:val="auto"/>
              </w:rPr>
            </w:pPr>
          </w:p>
        </w:tc>
      </w:tr>
      <w:tr>
        <w:trPr>
          <w:trHeight w:val="247"/>
        </w:trPr>
        <w:tc>
          <w:tcPr>
            <w:tcW w:w="46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(3,402)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earn-out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47"/>
        </w:trPr>
        <w:tc>
          <w:tcPr>
            <w:tcW w:w="4640" w:type="dxa"/>
            <w:vAlign w:val="bottom"/>
          </w:tcPr>
          <w:p>
            <w:pPr>
              <w:ind w:left="180"/>
              <w:spacing w:after="0"/>
              <w:rPr>
                <w:sz w:val="20"/>
                <w:szCs w:val="20"/>
                <w:color w:val="auto"/>
              </w:rPr>
            </w:pPr>
            <w:r>
              <w:rPr>
                <w:rFonts w:ascii="Arial" w:cs="Arial" w:eastAsia="Arial" w:hAnsi="Arial"/>
                <w:sz w:val="18"/>
                <w:szCs w:val="18"/>
                <w:color w:val="auto"/>
              </w:rPr>
              <w:t>Equity-based compensation expense</w:t>
            </w: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7"/>
        </w:trPr>
        <w:tc>
          <w:tcPr>
            <w:tcW w:w="464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Notable items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47"/>
        </w:trPr>
        <w:tc>
          <w:tcPr>
            <w:tcW w:w="46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
        </w:trPr>
        <w:tc>
          <w:tcPr>
            <w:tcW w:w="4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36,428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38,296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63,715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59,252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166,661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169,496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319,705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328,132</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margin</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7"/>
        </w:trPr>
        <w:tc>
          <w:tcPr>
            <w:tcW w:w="464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for 2024 includes the impact of a $9.1 million, non-cash charge related to a previously announced strategic product rationalization. For 2024, Adjusted EBITDA includes $2.8 million benefit also related to the strategic product rationalization, netting to $6.3 million non-cash charge.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define Adjusted Net Income as earnings excluding the after-tax effect of changes in the fair value of the warrant liability, changes in the fair value of the earn-out liability, and gain or loss on the early extinguishment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unaudited tables present the reconciliation of net income and net income per diluted share, the most directly comparable GAAP measures, to Adjusted Net Income and Adjusted Diluted EPS for the 13-week and 26-week periods ended June 29, 2025 and June 30, 2024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8"/>
          </w:tcPr>
          <w:p>
            <w:pPr>
              <w:ind w:left="220"/>
              <w:spacing w:after="0"/>
              <w:rPr>
                <w:sz w:val="20"/>
                <w:szCs w:val="20"/>
                <w:color w:val="auto"/>
              </w:rPr>
            </w:pPr>
            <w:r>
              <w:rPr>
                <w:rFonts w:ascii="Arial" w:cs="Arial" w:eastAsia="Arial" w:hAnsi="Arial"/>
                <w:sz w:val="18"/>
                <w:szCs w:val="18"/>
                <w:color w:val="auto"/>
              </w:rPr>
              <w:t>For the thirteen weeks ended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jc w:val="right"/>
              <w:ind w:right="29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1"/>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June 29, 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color w:val="auto"/>
              </w:rPr>
              <w:t>June 30, 2024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ind w:left="40"/>
              <w:spacing w:after="0"/>
              <w:rPr>
                <w:sz w:val="20"/>
                <w:szCs w:val="20"/>
                <w:color w:val="auto"/>
              </w:rPr>
            </w:pPr>
            <w:r>
              <w:rPr>
                <w:rFonts w:ascii="Arial" w:cs="Arial" w:eastAsia="Arial" w:hAnsi="Arial"/>
                <w:sz w:val="18"/>
                <w:szCs w:val="18"/>
                <w:color w:val="auto"/>
              </w:rPr>
              <w:t>June 29, 2025</w:t>
            </w: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June 30, 2024</w:t>
            </w:r>
          </w:p>
        </w:tc>
      </w:tr>
      <w:tr>
        <w:trPr>
          <w:trHeight w:val="23"/>
        </w:trPr>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10,863</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20,835</w:t>
            </w: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Special items: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 for: Change in fair value of Warrant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r>
      <w:tr>
        <w:trPr>
          <w:trHeight w:val="247"/>
        </w:trPr>
        <w:tc>
          <w:tcPr>
            <w:tcW w:w="4600" w:type="dxa"/>
            <w:vAlign w:val="bottom"/>
          </w:tcPr>
          <w:p>
            <w:pPr>
              <w:ind w:left="180"/>
              <w:spacing w:after="0"/>
              <w:rPr>
                <w:sz w:val="20"/>
                <w:szCs w:val="20"/>
                <w:color w:val="auto"/>
              </w:rPr>
            </w:pPr>
            <w:r>
              <w:rPr>
                <w:rFonts w:ascii="Arial" w:cs="Arial" w:eastAsia="Arial" w:hAnsi="Arial"/>
                <w:sz w:val="18"/>
                <w:szCs w:val="18"/>
                <w:color w:val="auto"/>
              </w:rPr>
              <w:t>Adjust for: Change in fair value of earn-out liability</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(1,707)</w:t>
            </w:r>
          </w:p>
        </w:tc>
      </w:tr>
      <w:tr>
        <w:trPr>
          <w:trHeight w:val="2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 for: Loss on early extinguishment of debt</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63"/>
        </w:trPr>
        <w:tc>
          <w:tcPr>
            <w:tcW w:w="4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10,637</w:t>
            </w:r>
          </w:p>
        </w:tc>
        <w:tc>
          <w:tcPr>
            <w:tcW w:w="1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12,740</w:t>
            </w: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78"/>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8"/>
          </w:tcPr>
          <w:p>
            <w:pPr>
              <w:ind w:left="140"/>
              <w:spacing w:after="0"/>
              <w:rPr>
                <w:sz w:val="20"/>
                <w:szCs w:val="20"/>
                <w:color w:val="auto"/>
              </w:rPr>
            </w:pPr>
            <w:r>
              <w:rPr>
                <w:rFonts w:ascii="Arial" w:cs="Arial" w:eastAsia="Arial" w:hAnsi="Arial"/>
                <w:sz w:val="18"/>
                <w:szCs w:val="18"/>
                <w:color w:val="auto"/>
              </w:rPr>
              <w:t>For the thirteen weeks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5"/>
          </w:tcPr>
          <w:p>
            <w:pPr>
              <w:jc w:val="right"/>
              <w:ind w:right="29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4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0"/>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June 29, 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June 30, 2024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color w:val="auto"/>
              </w:rPr>
              <w:t>June 29, 2025</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June 30, 2024</w:t>
            </w:r>
          </w:p>
        </w:tc>
      </w:tr>
      <w:tr>
        <w:trPr>
          <w:trHeight w:val="23"/>
        </w:trPr>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diluted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47"/>
        </w:trPr>
        <w:tc>
          <w:tcPr>
            <w:tcW w:w="4600" w:type="dxa"/>
            <w:vAlign w:val="bottom"/>
          </w:tcPr>
          <w:p>
            <w:pPr>
              <w:ind w:left="20"/>
              <w:spacing w:after="0"/>
              <w:rPr>
                <w:sz w:val="20"/>
                <w:szCs w:val="20"/>
                <w:color w:val="auto"/>
              </w:rPr>
            </w:pPr>
            <w:r>
              <w:rPr>
                <w:rFonts w:ascii="Arial" w:cs="Arial" w:eastAsia="Arial" w:hAnsi="Arial"/>
                <w:sz w:val="18"/>
                <w:szCs w:val="18"/>
                <w:color w:val="auto"/>
              </w:rPr>
              <w:t>Special items: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 for: Change in fair value of Warrant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47"/>
        </w:trPr>
        <w:tc>
          <w:tcPr>
            <w:tcW w:w="4600" w:type="dxa"/>
            <w:vAlign w:val="bottom"/>
          </w:tcPr>
          <w:p>
            <w:pPr>
              <w:ind w:left="180"/>
              <w:spacing w:after="0"/>
              <w:rPr>
                <w:sz w:val="20"/>
                <w:szCs w:val="20"/>
                <w:color w:val="auto"/>
              </w:rPr>
            </w:pPr>
            <w:r>
              <w:rPr>
                <w:rFonts w:ascii="Arial" w:cs="Arial" w:eastAsia="Arial" w:hAnsi="Arial"/>
                <w:sz w:val="18"/>
                <w:szCs w:val="18"/>
                <w:color w:val="auto"/>
              </w:rPr>
              <w:t>Adjust for: Change in fair value of earn-out liability</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
        </w:trPr>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unaudited table presents the reconciliation of net cash provided by operating activities, the most directly comparable GAAP measure, to Free Cash Flow for the 13-week and 26-week periods ended June 29, 2025 and June 30, 2024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4"/>
          </w:tcPr>
          <w:p>
            <w:pPr>
              <w:jc w:val="right"/>
              <w:ind w:right="370"/>
              <w:spacing w:after="0"/>
              <w:rPr>
                <w:sz w:val="20"/>
                <w:szCs w:val="20"/>
                <w:color w:val="auto"/>
              </w:rPr>
            </w:pPr>
            <w:r>
              <w:rPr>
                <w:rFonts w:ascii="Arial" w:cs="Arial" w:eastAsia="Arial" w:hAnsi="Arial"/>
                <w:sz w:val="18"/>
                <w:szCs w:val="18"/>
                <w:color w:val="auto"/>
              </w:rPr>
              <w:t>For the thirteen weeks ended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4"/>
          </w:tcPr>
          <w:p>
            <w:pPr>
              <w:jc w:val="right"/>
              <w:ind w:right="29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0"/>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June 29, 2025</w:t>
            </w:r>
          </w:p>
        </w:tc>
        <w:tc>
          <w:tcPr>
            <w:tcW w:w="16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June 30, 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June 30, 2024</w:t>
            </w:r>
          </w:p>
        </w:tc>
      </w:tr>
      <w:tr>
        <w:trPr>
          <w:trHeight w:val="23"/>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25,678</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44,521</w:t>
            </w:r>
          </w:p>
        </w:tc>
      </w:tr>
      <w:tr>
        <w:trPr>
          <w:trHeight w:val="247"/>
        </w:trPr>
        <w:tc>
          <w:tcPr>
            <w:tcW w:w="45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(2,645)</w:t>
            </w:r>
          </w:p>
        </w:tc>
      </w:tr>
      <w:tr>
        <w:trPr>
          <w:trHeight w:val="23"/>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disposal of fixed assets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64"/>
        </w:trPr>
        <w:tc>
          <w:tcPr>
            <w:tcW w:w="45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42,105</w:t>
            </w: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902"/>
        </w:trPr>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7"/>
        </w:trPr>
        <w:tc>
          <w:tcPr>
            <w:tcW w:w="4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29, 2025, the Company had cash of $63.8 million and availability of $97.4 million under its revolving credit facility. The Company has a senior secured revolving credit facility with $100.0 million in borrowing capacity. As of June 29, 2025, the Company had $ 2.5 million in letters of credit outstanding under the revolving credit facility. In February 2023, the Company entered into an amendment to its Credit Agreement which, among other things, contains a minimum liquidity financial covenant of $45.0 million, which includes unrestricted cash and any available borrowing capacity under the revolving credit facility. The amendment also increased the Total Leverage Ratio applicable under the Credit Agreement as of the fiscal quarter ending April 2, 2023, to initially 7.25:1.00, and provides for modified step-down levels for such covenant thereafter through the fiscal quarter ending June 30, 2024. The Company successfully exited the Covenant Relief Period.</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obligated under various operating leases for facilities, equipment and automobiles with estimated lease payments of approximately $3.8 million, including short term leases, due during the remainder of fiscal year 2025. See Note 14, "</w:t>
      </w:r>
      <w:r>
        <w:rPr>
          <w:rFonts w:ascii="Arial" w:cs="Arial" w:eastAsia="Arial" w:hAnsi="Arial"/>
          <w:sz w:val="18"/>
          <w:szCs w:val="18"/>
          <w:i w:val="1"/>
          <w:iCs w:val="1"/>
          <w:color w:val="auto"/>
        </w:rPr>
        <w:t>Lease Commitments</w:t>
      </w:r>
      <w:r>
        <w:rPr>
          <w:rFonts w:ascii="Arial" w:cs="Arial" w:eastAsia="Arial" w:hAnsi="Arial"/>
          <w:sz w:val="18"/>
          <w:szCs w:val="18"/>
          <w:color w:val="auto"/>
        </w:rPr>
        <w:t>" in the Notes to the condensed consolidated financial statements included elsewhere in this Quarterly Report on Form 10-Q for additional information related to the Company’s lease obligations.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See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condensed consolidated financial statements included in this Quarterly Report on Form 10-Q for further detail of our credit facility and the timing of principal maturities. As of June 29, 2025, based on the then current weighted average interest rate of 8.2%, expected interest payments associated with outstanding debt totaled approximately $22.8 million for the remainder of fiscal year 2025.</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and inflationary pressures are highly uncertain, we believe that cash generated through our current operating performance, and our operating plans, cash position, and borrowings available under our revolving credit facility, will be sufficient to satisfy our liquidity needs and capital expenditure requirements for the next 12 months and thereafter for the foreseeable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26-week period ended June 29, 2025 Compared With 26-week period ended June 30, 2024</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4"/>
          </w:tcPr>
          <w:p>
            <w:pPr>
              <w:jc w:val="right"/>
              <w:ind w:right="270"/>
              <w:spacing w:after="0"/>
              <w:rPr>
                <w:sz w:val="20"/>
                <w:szCs w:val="20"/>
                <w:color w:val="auto"/>
              </w:rPr>
            </w:pPr>
            <w:r>
              <w:rPr>
                <w:rFonts w:ascii="Arial" w:cs="Arial" w:eastAsia="Arial" w:hAnsi="Arial"/>
                <w:sz w:val="18"/>
                <w:szCs w:val="18"/>
                <w:color w:val="auto"/>
              </w:rPr>
              <w:t>For the twenty-six weeks ended</w:t>
            </w:r>
          </w:p>
        </w:tc>
      </w:tr>
      <w:tr>
        <w:trPr>
          <w:trHeight w:val="23"/>
        </w:trPr>
        <w:tc>
          <w:tcPr>
            <w:tcW w:w="7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0"/>
        </w:trPr>
        <w:tc>
          <w:tcPr>
            <w:tcW w:w="7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June 29, 2025</w:t>
            </w:r>
          </w:p>
        </w:tc>
        <w:tc>
          <w:tcPr>
            <w:tcW w:w="18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June 30, 2024</w:t>
            </w:r>
          </w:p>
        </w:tc>
      </w:tr>
      <w:tr>
        <w:trPr>
          <w:trHeight w:val="23"/>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44,521</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(20,898)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3"/>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(30,042)</w:t>
            </w:r>
          </w:p>
        </w:tc>
      </w:tr>
      <w:tr>
        <w:trPr>
          <w:trHeight w:val="247"/>
        </w:trPr>
        <w:tc>
          <w:tcPr>
            <w:tcW w:w="7260" w:type="dxa"/>
            <w:vAlign w:val="bottom"/>
          </w:tcPr>
          <w:p>
            <w:pPr>
              <w:ind w:left="20"/>
              <w:spacing w:after="0"/>
              <w:rPr>
                <w:sz w:val="20"/>
                <w:szCs w:val="20"/>
                <w:color w:val="auto"/>
              </w:rPr>
            </w:pPr>
            <w:r>
              <w:rPr>
                <w:rFonts w:ascii="Arial" w:cs="Arial" w:eastAsia="Arial" w:hAnsi="Arial"/>
                <w:sz w:val="18"/>
                <w:szCs w:val="18"/>
                <w:color w:val="auto"/>
              </w:rPr>
              <w:t>Effect of foreign currency rate fluctuations on cash</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
        </w:trPr>
        <w:tc>
          <w:tcPr>
            <w:tcW w:w="7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11,999</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26-week period ended June 29, 2025 was $32.6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of $44.5 million for the 26-week period ended June 30, 2024. Significant changes in the year-over-year change in working capital activity included negative fluctuations in accounts receivable and accrued and other liabilities of $14.9 million and $2.9 million, respectively. Partially offsetting the decrease was a positive fluctuation from inventories of $9.2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for the 26-week periods ended June 29, 2025 and June 30, 2024 was $20.9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$2.4 million, respectively, due to the cash payments related to the acquisition of the perpetual license agreement with Cataclean in January 2025 and other capital expenditures.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for the 26-week periods ended June 29, 2025 was $ 4.5 million,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principal payments on long-term debt and deferred financing fees. Cash used in financing activities for the 26-week period ended June 30, 2024 was $30.0 million, which primarily reflects the repurchase of $28.6 million outstanding principal on the first lien term loan, principal payments on long-term debt.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judgements and assumptions that affect the reported amounts of assets, liabilities, sales, expenses and related disclosures. We evaluate our estimates, judgements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2024, as filed with the SEC on March 14, 2025. For further information see also Note 1, “</w:t>
      </w:r>
      <w:r>
        <w:rPr>
          <w:rFonts w:ascii="Arial" w:cs="Arial" w:eastAsia="Arial" w:hAnsi="Arial"/>
          <w:sz w:val="18"/>
          <w:szCs w:val="18"/>
          <w:i w:val="1"/>
          <w:iCs w:val="1"/>
          <w:color w:val="auto"/>
        </w:rPr>
        <w:t>Description of the Business, Basis of Presentation, and Summary of Significant Accounting Policies</w:t>
      </w:r>
      <w:r>
        <w:rPr>
          <w:rFonts w:ascii="Arial" w:cs="Arial" w:eastAsia="Arial" w:hAnsi="Arial"/>
          <w:sz w:val="18"/>
          <w:szCs w:val="18"/>
          <w:color w:val="auto"/>
        </w:rPr>
        <w:t>” in the Notes to the condensed consolidated financial statements included in this Quarterly Report on Form 10-Q. There have been no material changes to the Company’s critical accounting estimates included in our Annual Report on Form 10-K for the year ended December 31,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condensed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 is intended to mitigate some of the effects of increases in interest rates. As of June 29, 2025, a total of $557.6 million of term loan and revolver borrowings were subject to variable interest rates, with a weighted average borrowing rate of 8.2%. A hypothetical 100 basis point increase in interest rates would result in an approximately $0.6 million increase in annual interest expense, while a hypothetical 100 basis point decrease in interest rates would result in an approximately $5.6 million decrease to Holley’s annual interest expense.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Credit and other Risks</w:t>
      </w:r>
      <w:r>
        <w:rPr>
          <w:rFonts w:ascii="Arial" w:cs="Arial" w:eastAsia="Arial" w:hAnsi="Arial"/>
          <w:sz w:val="18"/>
          <w:szCs w:val="18"/>
          <w:color w:val="auto"/>
        </w:rPr>
        <w:t>. Holley is exposed to credit risk associated with cash and cash equivalents and trade receivables. As of June 29,</w:t>
      </w:r>
      <w:r>
        <w:rPr>
          <w:rFonts w:ascii="Arial" w:cs="Arial" w:eastAsia="Arial" w:hAnsi="Arial"/>
          <w:sz w:val="18"/>
          <w:szCs w:val="18"/>
          <w:i w:val="1"/>
          <w:iCs w:val="1"/>
          <w:color w:val="auto"/>
        </w:rPr>
        <w:t xml:space="preserve"> </w:t>
      </w:r>
      <w:r>
        <w:rPr>
          <w:rFonts w:ascii="Arial" w:cs="Arial" w:eastAsia="Arial" w:hAnsi="Arial"/>
          <w:sz w:val="18"/>
          <w:szCs w:val="18"/>
          <w:color w:val="auto"/>
        </w:rPr>
        <w:t>2025, the majority of the Company’s cash and cash equivalents consisted of cash balances in an overnight sweep account where funds are transferred to an interest-bearing deposit account that is insured by the Federal Deposit Insurance Corporation ("FDIC"). The FDIC insures financial institution deposits up to $250 thousand. Holley maintains deposits in certain accounts which exceed the insurance 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Exchange Rate Sensitivity</w:t>
      </w:r>
      <w:r>
        <w:rPr>
          <w:rFonts w:ascii="Arial" w:cs="Arial" w:eastAsia="Arial" w:hAnsi="Arial"/>
          <w:sz w:val="18"/>
          <w:szCs w:val="18"/>
          <w:color w:val="auto"/>
        </w:rPr>
        <w:t>. As of June 29, 2025, the Company is exposed to changes in foreign currency exchange rates. While historically</w:t>
      </w:r>
      <w:r>
        <w:rPr>
          <w:rFonts w:ascii="Arial" w:cs="Arial" w:eastAsia="Arial" w:hAnsi="Arial"/>
          <w:sz w:val="18"/>
          <w:szCs w:val="18"/>
          <w:i w:val="1"/>
          <w:iCs w:val="1"/>
          <w:color w:val="auto"/>
        </w:rPr>
        <w:t xml:space="preserve"> </w:t>
      </w:r>
      <w:r>
        <w:rPr>
          <w:rFonts w:ascii="Arial" w:cs="Arial" w:eastAsia="Arial" w:hAnsi="Arial"/>
          <w:sz w:val="18"/>
          <w:szCs w:val="18"/>
          <w:color w:val="auto"/>
        </w:rPr>
        <w:t>this exposure to changes in foreign currency exchange rates has not had a material effect on the Company’s financial condition or results of operations, foreign currency fluctuations could have a material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which includes our President, Chief Executive Officer and Chief Financial Officer, has evaluated the effectiveness of our disclosure controls and procedures (as defined in Rules 13a-15(e) and 15d-15(e) of the Securities Exchange Act of 1934, as amended (the “Exchange Act”)) as of the end of the period covered by this Annual Report.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has evaluated the effectiveness of the design and operation of our disclosure controls and procedures as of June 29, 2025, the end of the period covered by this Quarterly Report on Form 10-Q. Based on such evaluation, our Chief Executive Officer and Chief Financial Officer have concluded that, as of such date, our disclosure controls and procedures were not effective because of a previously reported material weakness in our internal control over financial reporting, which we describe in Part II, Item 9A of our Form 10-K for the fiscal year ended December 31, 2024, and because of the material weakness affecting the fiscal quarter ended June 29, 2025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disclosed in our Form 10-K, we concluded that we did not have sufficient resources with the appropriate accounting expertise that resulted in a lack of adequate controls with respect to the preparation and precision of review of reconciliations, manual journal entries and third-party reports supporting journal entries. Accordingly, management has determined that this control deficiency constituted a material weakness. This material weakness has not been remediated as of June 29,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the Material Weakness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undertaken and are continuing to design and implement remediation measures intended to address the material weakness. Following the identification of the material weakness, and with the oversight of the Audit Committee of our Board of Directors, we have commenced and will continue to implement remediation efforts to enhance our environmental controls, which are described below.</w:t>
      </w:r>
    </w:p>
    <w:p>
      <w:pPr>
        <w:spacing w:after="0" w:line="171" w:lineRule="exact"/>
        <w:rPr>
          <w:sz w:val="20"/>
          <w:szCs w:val="20"/>
          <w:color w:val="auto"/>
        </w:rPr>
      </w:pPr>
    </w:p>
    <w:p>
      <w:pPr>
        <w:ind w:left="400" w:hanging="230"/>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Hiring and augmenting our accounting team with knowledgeable and qualified accounting and finance professionals.</w:t>
      </w:r>
    </w:p>
    <w:p>
      <w:pPr>
        <w:spacing w:after="0" w:line="27" w:lineRule="exact"/>
        <w:rPr>
          <w:rFonts w:ascii="Arial" w:cs="Arial" w:eastAsia="Arial" w:hAnsi="Arial"/>
          <w:sz w:val="18"/>
          <w:szCs w:val="18"/>
          <w:color w:val="auto"/>
        </w:rPr>
      </w:pPr>
    </w:p>
    <w:p>
      <w:pPr>
        <w:ind w:left="400" w:hanging="230"/>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Engaging a third-party expert to conduct an external evaluation, provide recommended options, support, and validate our approach.</w:t>
      </w:r>
    </w:p>
    <w:p>
      <w:pPr>
        <w:spacing w:after="0" w:line="9" w:lineRule="exact"/>
        <w:rPr>
          <w:rFonts w:ascii="Arial" w:cs="Arial" w:eastAsia="Arial" w:hAnsi="Arial"/>
          <w:sz w:val="18"/>
          <w:szCs w:val="18"/>
          <w:color w:val="auto"/>
        </w:rPr>
      </w:pPr>
    </w:p>
    <w:p>
      <w:pPr>
        <w:ind w:left="420" w:right="180" w:hanging="250"/>
        <w:spacing w:after="0" w:line="250" w:lineRule="auto"/>
        <w:tabs>
          <w:tab w:leader="none" w:pos="4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Enhancing related policies and process documentation, redesigning existing controls or implementing new controls, and improving the skills of process owners.</w:t>
      </w:r>
    </w:p>
    <w:p>
      <w:pPr>
        <w:ind w:left="400" w:hanging="230"/>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Implementation of a reconciliation and review process.</w:t>
      </w:r>
    </w:p>
    <w:p>
      <w:pPr>
        <w:spacing w:after="0" w:line="9" w:lineRule="exact"/>
        <w:rPr>
          <w:rFonts w:ascii="Arial" w:cs="Arial" w:eastAsia="Arial" w:hAnsi="Arial"/>
          <w:sz w:val="18"/>
          <w:szCs w:val="18"/>
          <w:color w:val="auto"/>
        </w:rPr>
      </w:pPr>
    </w:p>
    <w:p>
      <w:pPr>
        <w:ind w:left="400" w:hanging="230"/>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Training process owners, evaluating the adoption of revised policies and procedures, and monitoring results.</w:t>
      </w:r>
    </w:p>
    <w:p>
      <w:pPr>
        <w:spacing w:after="0" w:line="9" w:lineRule="exact"/>
        <w:rPr>
          <w:rFonts w:ascii="Arial" w:cs="Arial" w:eastAsia="Arial" w:hAnsi="Arial"/>
          <w:sz w:val="18"/>
          <w:szCs w:val="18"/>
          <w:color w:val="auto"/>
        </w:rPr>
      </w:pPr>
    </w:p>
    <w:p>
      <w:pPr>
        <w:ind w:left="400" w:hanging="230"/>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maintaining documentation to promote knowledge transfer upon personnel and function changes.</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committed to successfully implementing the remediation plan as promptly as possible and believe that these actions will remediate the material weakness. Our plans can only be accomplished over time, and we can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offer no assurance that these initiatives will ultimately have the intended effects. See our Form 10-K Risk Factors for the year ended December 31, 2024, as filed with the SEC on March 14,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plans for remediating the material weaknesses described above will constitute changes in our internal control over financial reporting, prospectively, when such remediation plans are effectively implemented. There were no changes in our internal control over financial reporting during the quarter, other than the remediation actions,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Litigation in Note 15 “Commitments and Contingencies” to the condensed consolidated financial statements, which is incorporated by reference in this Item 1. Legal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2024, as filed with the SEC on March 14, 2025.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products or materials we import, or any related counter-measures are taken by foreign countries, our revenue and results of operations may be materially harmed.</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Tariffs and other trade restrictions—such as those imposed or threatened by the U.S. on goods from China and other countries—have increased uncertainty in global trade and may materially impact our operations. Several countries, including China, have responded with retaliatory tariffs and other counter-measures, which could escalate further. These actions affect products and raw materials we import and may result in higher input costs, supply chain disruptions and reduced competitiveness. The extent of the impact on our financial condition and results of operations will depend on the scope and duration of these tariffs and related trade policies, as well as our ability to mitigate associated cost pressures.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fiscal quarter ended June 29, 2025, no director or Section 16 officer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94"/>
        </w:trPr>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982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130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20" w:type="dxa"/>
            <w:vAlign w:val="bottom"/>
            <w:tcBorders>
              <w:top w:val="single" w:sz="8" w:color="auto"/>
            </w:tcBorders>
            <w:gridSpan w:val="11"/>
          </w:tcPr>
          <w:p>
            <w:pPr>
              <w:spacing w:after="0" w:line="202" w:lineRule="exact"/>
              <w:rPr>
                <w:rFonts w:ascii="Arial" w:cs="Arial" w:eastAsia="Arial" w:hAnsi="Arial"/>
                <w:sz w:val="18"/>
                <w:szCs w:val="18"/>
                <w:color w:val="0000FF"/>
              </w:rPr>
            </w:pPr>
            <w:hyperlink r:id="rId66">
              <w:r>
                <w:rPr>
                  <w:rFonts w:ascii="Arial" w:cs="Arial" w:eastAsia="Arial" w:hAnsi="Arial"/>
                  <w:sz w:val="18"/>
                  <w:szCs w:val="18"/>
                  <w:color w:val="0000FF"/>
                </w:rPr>
                <w:t>Agreement and Plan of Merger, dated as of March 11, 2021, by and among Empower Ltd., Empower Merger Sub I Inc.,</w:t>
              </w:r>
            </w:hyperlink>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Empower Merger Sub II LLC and Holley Intermediate Holdings, Inc. (incorporated by reference to Exhibit 2.1 to the</w:t>
              </w:r>
            </w:hyperlink>
          </w:p>
        </w:tc>
        <w:tc>
          <w:tcPr>
            <w:tcW w:w="340" w:type="dxa"/>
            <w:vAlign w:val="bottom"/>
            <w:tcBorders>
              <w:top w:val="single" w:sz="8" w:color="0000FF"/>
            </w:tcBorders>
            <w:gridSpan w:val="2"/>
          </w:tcPr>
          <w:p>
            <w:pPr>
              <w:spacing w:after="0"/>
              <w:rPr>
                <w:sz w:val="17"/>
                <w:szCs w:val="17"/>
                <w:color w:val="auto"/>
              </w:rPr>
            </w:pPr>
          </w:p>
        </w:tc>
        <w:tc>
          <w:tcPr>
            <w:tcW w:w="360" w:type="dxa"/>
            <w:vAlign w:val="bottom"/>
            <w:gridSpan w:val="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Company’s Current Report on Form 8-K, filed with the SEC on March 12, 2021).</w:t>
              </w:r>
            </w:hyperlink>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11"/>
          </w:tcPr>
          <w:p>
            <w:pPr>
              <w:spacing w:after="0"/>
              <w:rPr>
                <w:rFonts w:ascii="Arial" w:cs="Arial" w:eastAsia="Arial" w:hAnsi="Arial"/>
                <w:sz w:val="18"/>
                <w:szCs w:val="18"/>
                <w:color w:val="0000FF"/>
                <w:w w:val="99"/>
              </w:rPr>
            </w:pPr>
            <w:hyperlink r:id="rId67">
              <w:r>
                <w:rPr>
                  <w:rFonts w:ascii="Arial" w:cs="Arial" w:eastAsia="Arial" w:hAnsi="Arial"/>
                  <w:sz w:val="18"/>
                  <w:szCs w:val="18"/>
                  <w:color w:val="0000FF"/>
                  <w:w w:val="99"/>
                </w:rPr>
                <w:t>Certificate of Incorporation of the Company, dated July 16, 2021 (incorporated by reference to Exhibit 3.1 of the Company’s</w:t>
              </w:r>
            </w:hyperlink>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Current Report on Form 8-K, filed with the SEC on July 21, 2021).</w:t>
              </w:r>
            </w:hyperlink>
          </w:p>
        </w:tc>
        <w:tc>
          <w:tcPr>
            <w:tcW w:w="4540" w:type="dxa"/>
            <w:vAlign w:val="bottom"/>
            <w:tcBorders>
              <w:top w:val="single" w:sz="8" w:color="0000FF"/>
            </w:tcBorders>
            <w:gridSpan w:val="8"/>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00" w:type="dxa"/>
            <w:vAlign w:val="bottom"/>
            <w:tcBorders>
              <w:bottom w:val="single" w:sz="8" w:color="0000FF"/>
            </w:tcBorders>
            <w:gridSpan w:val="9"/>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Amended and Restated By-Laws of the Company, dated August 8, 2023 (incorporated by reference to Exhibit 3.1 of the</w:t>
              </w:r>
            </w:hyperlink>
          </w:p>
        </w:tc>
        <w:tc>
          <w:tcPr>
            <w:tcW w:w="320" w:type="dxa"/>
            <w:vAlign w:val="bottom"/>
            <w:gridSpan w:val="2"/>
          </w:tcPr>
          <w:p>
            <w:pPr>
              <w:spacing w:after="0"/>
              <w:rPr>
                <w:sz w:val="21"/>
                <w:szCs w:val="21"/>
                <w:color w:val="auto"/>
              </w:rPr>
            </w:pP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Company’s Current Report on Form 8-K, filed with the SEC on August 9, 2023).</w:t>
              </w:r>
            </w:hyperlink>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of Chief Executive Officer pursuant to Rules 13a-14(a) and 15d-14(a) of the Exchange Act</w:t>
            </w:r>
          </w:p>
        </w:tc>
        <w:tc>
          <w:tcPr>
            <w:tcW w:w="1660" w:type="dxa"/>
            <w:vAlign w:val="bottom"/>
            <w:gridSpan w:val="6"/>
          </w:tcPr>
          <w:p>
            <w:pPr>
              <w:spacing w:after="0"/>
              <w:rPr>
                <w:sz w:val="21"/>
                <w:szCs w:val="2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 of Chief Financial Officer Pursuant to Rules 13a-14(a) and 15d-14(a) of the Exchange Act</w:t>
            </w:r>
          </w:p>
        </w:tc>
        <w:tc>
          <w:tcPr>
            <w:tcW w:w="1700" w:type="dxa"/>
            <w:vAlign w:val="bottom"/>
            <w:gridSpan w:val="7"/>
          </w:tcPr>
          <w:p>
            <w:pPr>
              <w:spacing w:after="0"/>
              <w:rPr>
                <w:sz w:val="21"/>
                <w:szCs w:val="21"/>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0000FF"/>
              </w:rPr>
              <w:t>Certification of Chief Executive Officer pursuant to Rule 13a-14(b) of the Exchange Act and 18 U.S.C. 1350, as adopted</w:t>
            </w: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4800" w:type="dxa"/>
            <w:vAlign w:val="bottom"/>
            <w:tcBorders>
              <w:top w:val="single" w:sz="8" w:color="0000FF"/>
            </w:tcBorders>
            <w:gridSpan w:val="8"/>
          </w:tcPr>
          <w:p>
            <w:pPr>
              <w:spacing w:after="0"/>
              <w:rPr>
                <w:sz w:val="17"/>
                <w:szCs w:val="17"/>
                <w:color w:val="auto"/>
              </w:rPr>
            </w:pPr>
          </w:p>
        </w:tc>
        <w:tc>
          <w:tcPr>
            <w:tcW w:w="320" w:type="dxa"/>
            <w:vAlign w:val="bottom"/>
            <w:gridSpan w:val="2"/>
          </w:tcPr>
          <w:p>
            <w:pPr>
              <w:spacing w:after="0"/>
              <w:rPr>
                <w:sz w:val="17"/>
                <w:szCs w:val="17"/>
                <w:color w:val="auto"/>
              </w:rPr>
            </w:pPr>
          </w:p>
        </w:tc>
      </w:tr>
      <w:tr>
        <w:trPr>
          <w:trHeight w:val="250"/>
        </w:trPr>
        <w:tc>
          <w:tcPr>
            <w:tcW w:w="13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0000FF"/>
              </w:rPr>
              <w:t>Certification of Chief Financial Officer pursuant to Rule 13a-14(b) of the Exchange Act and 18 U.S.C. 1350, as adopted</w:t>
            </w: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4740" w:type="dxa"/>
            <w:vAlign w:val="bottom"/>
            <w:tcBorders>
              <w:top w:val="single" w:sz="8" w:color="0000FF"/>
            </w:tcBorders>
            <w:gridSpan w:val="6"/>
          </w:tcPr>
          <w:p>
            <w:pPr>
              <w:spacing w:after="0"/>
              <w:rPr>
                <w:sz w:val="17"/>
                <w:szCs w:val="17"/>
                <w:color w:val="auto"/>
              </w:rPr>
            </w:pPr>
          </w:p>
        </w:tc>
        <w:tc>
          <w:tcPr>
            <w:tcW w:w="380" w:type="dxa"/>
            <w:vAlign w:val="bottom"/>
            <w:gridSpan w:val="4"/>
          </w:tcPr>
          <w:p>
            <w:pPr>
              <w:spacing w:after="0"/>
              <w:rPr>
                <w:sz w:val="17"/>
                <w:szCs w:val="17"/>
                <w:color w:val="auto"/>
              </w:rPr>
            </w:pPr>
          </w:p>
        </w:tc>
      </w:tr>
      <w:tr>
        <w:trPr>
          <w:trHeight w:val="272"/>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9"/>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31" w:lineRule="exact"/>
        <w:rPr>
          <w:sz w:val="20"/>
          <w:szCs w:val="20"/>
          <w:color w:val="auto"/>
        </w:rPr>
      </w:pPr>
    </w:p>
    <w:p>
      <w:pPr>
        <w:ind w:left="1420" w:hanging="1394"/>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Holley Inc.</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34925</wp:posOffset>
            </wp:positionV>
            <wp:extent cx="29317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Jesse Weaver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 (Duly Authorized Officer)</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August 6, 2025</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2"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Matthew Stevenson, certify that:</w:t>
      </w:r>
    </w:p>
    <w:p>
      <w:pPr>
        <w:spacing w:after="0" w:line="212"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211"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94" w:lineRule="exact"/>
        <w:rPr>
          <w:sz w:val="20"/>
          <w:szCs w:val="20"/>
          <w:color w:val="auto"/>
        </w:rPr>
      </w:pPr>
    </w:p>
    <w:p>
      <w:pPr>
        <w:jc w:val="both"/>
        <w:ind w:left="200" w:hanging="192"/>
        <w:spacing w:after="0" w:line="268" w:lineRule="auto"/>
        <w:tabs>
          <w:tab w:leader="none" w:pos="1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8"/>
          <w:szCs w:val="18"/>
          <w:color w:val="auto"/>
        </w:rPr>
      </w:pPr>
    </w:p>
    <w:p>
      <w:pPr>
        <w:ind w:left="200" w:hanging="192"/>
        <w:spacing w:after="0" w:line="287" w:lineRule="auto"/>
        <w:tabs>
          <w:tab w:leader="none" w:pos="1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sz w:val="20"/>
          <w:szCs w:val="20"/>
          <w:color w:val="auto"/>
        </w:rPr>
      </w:pPr>
    </w:p>
    <w:p>
      <w:pPr>
        <w:jc w:val="both"/>
        <w:ind w:left="200" w:hanging="192"/>
        <w:spacing w:after="0" w:line="268" w:lineRule="auto"/>
        <w:tabs>
          <w:tab w:leader="none" w:pos="1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200" w:hanging="192"/>
        <w:spacing w:after="0" w:line="287" w:lineRule="auto"/>
        <w:tabs>
          <w:tab w:leader="none" w:pos="1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8"/>
          <w:szCs w:val="18"/>
          <w:color w:val="auto"/>
        </w:rPr>
      </w:pPr>
    </w:p>
    <w:p>
      <w:pPr>
        <w:ind w:left="200" w:hanging="192"/>
        <w:spacing w:after="0" w:line="287" w:lineRule="auto"/>
        <w:tabs>
          <w:tab w:leader="none" w:pos="1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34925</wp:posOffset>
            </wp:positionV>
            <wp:extent cx="31032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Matthew Stevenson</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August 6, 2025</w:t>
      </w:r>
    </w:p>
    <w:p>
      <w:pPr>
        <w:sectPr>
          <w:pgSz w:w="11900" w:h="16838" w:orient="portrait"/>
          <w:cols w:equalWidth="0" w:num="1">
            <w:col w:w="11240"/>
          </w:cols>
          <w:pgMar w:left="320" w:top="114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Jesse Weaver, certify that:</w:t>
      </w:r>
    </w:p>
    <w:p>
      <w:pPr>
        <w:spacing w:after="0" w:line="212"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Holley Inc.;</w:t>
      </w:r>
    </w:p>
    <w:p>
      <w:pPr>
        <w:spacing w:after="0" w:line="211"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94" w:lineRule="exact"/>
        <w:rPr>
          <w:sz w:val="20"/>
          <w:szCs w:val="20"/>
          <w:color w:val="auto"/>
        </w:rPr>
      </w:pPr>
    </w:p>
    <w:p>
      <w:pPr>
        <w:jc w:val="both"/>
        <w:ind w:left="200" w:hanging="192"/>
        <w:spacing w:after="0" w:line="268" w:lineRule="auto"/>
        <w:tabs>
          <w:tab w:leader="none" w:pos="1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8"/>
          <w:szCs w:val="18"/>
          <w:color w:val="auto"/>
        </w:rPr>
      </w:pPr>
    </w:p>
    <w:p>
      <w:pPr>
        <w:ind w:left="200" w:hanging="192"/>
        <w:spacing w:after="0" w:line="287" w:lineRule="auto"/>
        <w:tabs>
          <w:tab w:leader="none" w:pos="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8"/>
          <w:szCs w:val="18"/>
          <w:color w:val="auto"/>
        </w:rPr>
      </w:pPr>
    </w:p>
    <w:p>
      <w:pPr>
        <w:jc w:val="both"/>
        <w:ind w:left="200" w:hanging="192"/>
        <w:spacing w:after="0" w:line="268" w:lineRule="auto"/>
        <w:tabs>
          <w:tab w:leader="none" w:pos="1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sz w:val="20"/>
          <w:szCs w:val="20"/>
          <w:color w:val="auto"/>
        </w:rPr>
      </w:pPr>
    </w:p>
    <w:p>
      <w:pPr>
        <w:jc w:val="both"/>
        <w:ind w:left="200" w:hanging="192"/>
        <w:spacing w:after="0" w:line="268" w:lineRule="auto"/>
        <w:tabs>
          <w:tab w:leader="none" w:pos="1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200" w:hanging="192"/>
        <w:spacing w:after="0" w:line="287" w:lineRule="auto"/>
        <w:tabs>
          <w:tab w:leader="none" w:pos="1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8"/>
          <w:szCs w:val="18"/>
          <w:color w:val="auto"/>
        </w:rPr>
      </w:pPr>
    </w:p>
    <w:p>
      <w:pPr>
        <w:ind w:left="200" w:hanging="192"/>
        <w:spacing w:after="0" w:line="287" w:lineRule="auto"/>
        <w:tabs>
          <w:tab w:leader="none" w:pos="1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34925</wp:posOffset>
            </wp:positionV>
            <wp:extent cx="32486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Jesse Weaver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August 6, 2025</w:t>
      </w:r>
    </w:p>
    <w:p>
      <w:pPr>
        <w:sectPr>
          <w:pgSz w:w="11900" w:h="16838" w:orient="portrait"/>
          <w:cols w:equalWidth="0" w:num="1">
            <w:col w:w="11240"/>
          </w:cols>
          <w:pgMar w:left="320" w:top="114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Holley Inc. (the "Company") on Form 10-Q for the period ended June 29, 2025, as filed with the Securities and Exchange Commission (the "Report"), I, Matthew Stevenson, President and Chief Executive Officer of the Company, certifies, pursuant to 18 U.S.C. Section 1350, as adopted pursuant to Section 906 of the Sarbanes-Oxley Act of 2002, that:</w:t>
      </w:r>
    </w:p>
    <w:p>
      <w:pPr>
        <w:spacing w:after="0" w:line="144"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280" w:right="400" w:hanging="272"/>
        <w:spacing w:after="0" w:line="287" w:lineRule="auto"/>
        <w:tabs>
          <w:tab w:leader="none" w:pos="2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34925</wp:posOffset>
            </wp:positionV>
            <wp:extent cx="3060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Matthew Stevenson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August 6, 2025</w:t>
      </w:r>
    </w:p>
    <w:p>
      <w:pPr>
        <w:spacing w:after="0" w:line="200" w:lineRule="exact"/>
        <w:rPr>
          <w:sz w:val="20"/>
          <w:szCs w:val="20"/>
          <w:color w:val="auto"/>
        </w:rPr>
      </w:pPr>
    </w:p>
    <w:p>
      <w:pPr>
        <w:spacing w:after="0" w:line="3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14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Holley Inc. (the "Company") on Form 10-Q for the period ended June 29, 2025, as filed with the Securities and Exchange Commission (the "Report"), I, Jesse Weaver, Chief Financial Officer of the Company, certifies, pursuant to 18 U.S.C. Section 1350, as adopted pursuant to Section 906 of the Sarbanes-Oxley Act of 2002, that:</w:t>
      </w:r>
    </w:p>
    <w:p>
      <w:pPr>
        <w:spacing w:after="0" w:line="144"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80" w:right="400" w:hanging="272"/>
        <w:spacing w:after="0" w:line="287" w:lineRule="auto"/>
        <w:tabs>
          <w:tab w:leader="none" w:pos="2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34925</wp:posOffset>
            </wp:positionV>
            <wp:extent cx="3060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Jesse Weaver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August 6, 2025</w:t>
      </w:r>
    </w:p>
    <w:p>
      <w:pPr>
        <w:spacing w:after="0" w:line="200" w:lineRule="exact"/>
        <w:rPr>
          <w:sz w:val="20"/>
          <w:szCs w:val="20"/>
          <w:color w:val="auto"/>
        </w:rPr>
      </w:pPr>
    </w:p>
    <w:p>
      <w:pPr>
        <w:spacing w:after="0" w:line="2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statement has been provided to the Company and will be retained by the Company and furnished to the SEC or its staff upon request.</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decimal"/>
      <w:start w:val="5"/>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decimal"/>
      <w:start w:val="7"/>
    </w:lvl>
  </w:abstractNum>
  <w:abstractNum w:abstractNumId="11">
    <w:nsid w:val="333AB105"/>
    <w:multiLevelType w:val="hybridMultilevel"/>
    <w:lvl w:ilvl="0">
      <w:lvlJc w:val="left"/>
      <w:lvlText w:val="%1."/>
      <w:numFmt w:val="decimal"/>
      <w:start w:val="8"/>
    </w:lvl>
  </w:abstractNum>
  <w:abstractNum w:abstractNumId="12">
    <w:nsid w:val="721DA317"/>
    <w:multiLevelType w:val="hybridMultilevel"/>
    <w:lvl w:ilvl="0">
      <w:lvlJc w:val="left"/>
      <w:lvlText w:val="%1."/>
      <w:numFmt w:val="decimal"/>
      <w:start w:val="10"/>
    </w:lvl>
  </w:abstractNum>
  <w:abstractNum w:abstractNumId="13">
    <w:nsid w:val="2443A858"/>
    <w:multiLevelType w:val="hybridMultilevel"/>
    <w:lvl w:ilvl="0">
      <w:lvlJc w:val="left"/>
      <w:lvlText w:val="%1."/>
      <w:numFmt w:val="decimal"/>
      <w:start w:val="11"/>
    </w:lvl>
  </w:abstractNum>
  <w:abstractNum w:abstractNumId="14">
    <w:nsid w:val="2D1D5AE9"/>
    <w:multiLevelType w:val="hybridMultilevel"/>
    <w:lvl w:ilvl="0">
      <w:lvlJc w:val="left"/>
      <w:lvlText w:val="%1."/>
      <w:numFmt w:val="decimal"/>
      <w:start w:val="12"/>
    </w:lvl>
  </w:abstractNum>
  <w:abstractNum w:abstractNumId="15">
    <w:nsid w:val="6763845E"/>
    <w:multiLevelType w:val="hybridMultilevel"/>
    <w:lvl w:ilvl="0">
      <w:lvlJc w:val="left"/>
      <w:lvlText w:val="%1."/>
      <w:numFmt w:val="decimal"/>
      <w:start w:val="13"/>
    </w:lvl>
  </w:abstractNum>
  <w:abstractNum w:abstractNumId="16">
    <w:nsid w:val="75A2A8D4"/>
    <w:multiLevelType w:val="hybridMultilevel"/>
    <w:lvl w:ilvl="0">
      <w:lvlJc w:val="left"/>
      <w:lvlText w:val="%1."/>
      <w:numFmt w:val="decimal"/>
      <w:start w:val="14"/>
    </w:lvl>
  </w:abstractNum>
  <w:abstractNum w:abstractNumId="17">
    <w:nsid w:val="8EDBDAB"/>
    <w:multiLevelType w:val="hybridMultilevel"/>
    <w:lvl w:ilvl="0">
      <w:lvlJc w:val="left"/>
      <w:lvlText w:val="%1."/>
      <w:numFmt w:val="decimal"/>
      <w:start w:val="15"/>
    </w:lvl>
  </w:abstractNum>
  <w:abstractNum w:abstractNumId="18">
    <w:nsid w:val="79838CB2"/>
    <w:multiLevelType w:val="hybridMultilevel"/>
    <w:lvl w:ilvl="0">
      <w:lvlJc w:val="left"/>
      <w:lvlText w:val="%1."/>
      <w:numFmt w:val="decimal"/>
      <w:start w:val="16"/>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04"/>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66" Type="http://schemas.openxmlformats.org/officeDocument/2006/relationships/hyperlink" Target="https://www.sec.gov/Archives/edgar/data/1822928/000121390021015000/ea137482ex2_1empower.htm" TargetMode="External"/><Relationship Id="rId67" Type="http://schemas.openxmlformats.org/officeDocument/2006/relationships/hyperlink" Target="https://www.sec.gov/Archives/edgar/data/1822928/000119312521220722/d185405dex31.htm" TargetMode="External"/><Relationship Id="rId68" Type="http://schemas.openxmlformats.org/officeDocument/2006/relationships/hyperlink" Target="https://www.sec.gov/Archives/edgar/data/1822928/000143774923022802/ex_5577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2025-08-06T07:06:21Z</dcterms:created>
  <dcterms:modified xsi:type="dcterms:W3CDTF">2025-08-06T07:06:21Z</dcterms:modified>
</cp:coreProperties>
</file>