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39"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26, 2021</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4"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001-39599</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HOLLEY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20"/>
          </w:cols>
          <w:pgMar w:left="320" w:top="458" w:right="359" w:bottom="1440" w:gutter="0" w:footer="0" w:header="0"/>
        </w:sectPr>
      </w:pPr>
    </w:p>
    <w:p>
      <w:pPr>
        <w:spacing w:after="0" w:line="275"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55" w:lineRule="exact"/>
        <w:rPr>
          <w:sz w:val="24"/>
          <w:szCs w:val="24"/>
          <w:color w:val="auto"/>
        </w:rPr>
      </w:pPr>
    </w:p>
    <w:p>
      <w:pPr>
        <w:sectPr>
          <w:pgSz w:w="11900" w:h="16838" w:orient="portrait"/>
          <w:cols w:equalWidth="0" w:num="2">
            <w:col w:w="7240" w:space="720"/>
            <w:col w:w="3260"/>
          </w:cols>
          <w:pgMar w:left="320" w:top="458" w:right="359" w:bottom="1440" w:gutter="0" w:footer="0" w:header="0"/>
          <w:type w:val="continuous"/>
        </w:sectPr>
      </w:pPr>
    </w:p>
    <w:p>
      <w:pPr>
        <w:ind w:left="106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3860"/>
          </w:cols>
          <w:pgMar w:left="320" w:top="458" w:right="35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(270) 495-4081</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89" w:lineRule="exact"/>
        <w:rPr>
          <w:sz w:val="24"/>
          <w:szCs w:val="24"/>
          <w:color w:val="auto"/>
        </w:rPr>
      </w:pPr>
    </w:p>
    <w:tbl>
      <w:tblPr>
        <w:tblLayout w:type="fixed"/>
        <w:tblInd w:w="2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Trading</w:t>
            </w:r>
          </w:p>
        </w:tc>
        <w:tc>
          <w:tcPr>
            <w:tcW w:w="14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19"/>
                <w:szCs w:val="19"/>
                <w:color w:val="auto"/>
              </w:rPr>
            </w:pPr>
          </w:p>
        </w:tc>
        <w:tc>
          <w:tcPr>
            <w:tcW w:w="3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symbol(s)</w:t>
            </w:r>
          </w:p>
        </w:tc>
        <w:tc>
          <w:tcPr>
            <w:tcW w:w="140" w:type="dxa"/>
            <w:vAlign w:val="bottom"/>
          </w:tcPr>
          <w:p>
            <w:pPr>
              <w:spacing w:after="0"/>
              <w:rPr>
                <w:sz w:val="19"/>
                <w:szCs w:val="19"/>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0"/>
        </w:trPr>
        <w:tc>
          <w:tcPr>
            <w:tcW w:w="4000" w:type="dxa"/>
            <w:vAlign w:val="bottom"/>
          </w:tcPr>
          <w:p>
            <w:pPr>
              <w:jc w:val="center"/>
              <w:spacing w:after="0"/>
              <w:rPr>
                <w:sz w:val="20"/>
                <w:szCs w:val="20"/>
                <w:color w:val="auto"/>
              </w:rPr>
            </w:pPr>
            <w:r>
              <w:rPr>
                <w:rFonts w:ascii="Arial" w:cs="Arial" w:eastAsia="Arial" w:hAnsi="Arial"/>
                <w:sz w:val="16"/>
                <w:szCs w:val="16"/>
                <w:color w:val="auto"/>
              </w:rPr>
              <w:t>Common Stock, par value $0.0001</w:t>
            </w:r>
          </w:p>
        </w:tc>
        <w:tc>
          <w:tcPr>
            <w:tcW w:w="140" w:type="dxa"/>
            <w:vAlign w:val="bottom"/>
          </w:tcPr>
          <w:p>
            <w:pPr>
              <w:spacing w:after="0"/>
              <w:rPr>
                <w:sz w:val="18"/>
                <w:szCs w:val="18"/>
                <w:color w:val="auto"/>
              </w:rPr>
            </w:pPr>
          </w:p>
        </w:tc>
        <w:tc>
          <w:tcPr>
            <w:tcW w:w="3760" w:type="dxa"/>
            <w:vAlign w:val="bottom"/>
          </w:tcPr>
          <w:p>
            <w:pPr>
              <w:jc w:val="center"/>
              <w:ind w:right="199"/>
              <w:spacing w:after="0"/>
              <w:rPr>
                <w:sz w:val="20"/>
                <w:szCs w:val="20"/>
                <w:color w:val="auto"/>
              </w:rPr>
            </w:pPr>
            <w:r>
              <w:rPr>
                <w:rFonts w:ascii="Arial" w:cs="Arial" w:eastAsia="Arial" w:hAnsi="Arial"/>
                <w:sz w:val="16"/>
                <w:szCs w:val="16"/>
                <w:color w:val="auto"/>
                <w:w w:val="99"/>
              </w:rPr>
              <w:t>HLLY</w:t>
            </w:r>
          </w:p>
        </w:tc>
        <w:tc>
          <w:tcPr>
            <w:tcW w:w="1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03"/>
        </w:trPr>
        <w:tc>
          <w:tcPr>
            <w:tcW w:w="400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40" w:type="dxa"/>
            <w:vAlign w:val="bottom"/>
          </w:tcPr>
          <w:p>
            <w:pPr>
              <w:spacing w:after="0"/>
              <w:rPr>
                <w:sz w:val="17"/>
                <w:szCs w:val="17"/>
                <w:color w:val="auto"/>
              </w:rPr>
            </w:pPr>
          </w:p>
        </w:tc>
        <w:tc>
          <w:tcPr>
            <w:tcW w:w="3760" w:type="dxa"/>
            <w:vAlign w:val="bottom"/>
          </w:tcPr>
          <w:p>
            <w:pPr>
              <w:jc w:val="center"/>
              <w:ind w:right="179"/>
              <w:spacing w:after="0"/>
              <w:rPr>
                <w:sz w:val="20"/>
                <w:szCs w:val="20"/>
                <w:color w:val="auto"/>
              </w:rPr>
            </w:pPr>
            <w:r>
              <w:rPr>
                <w:rFonts w:ascii="Arial" w:cs="Arial" w:eastAsia="Arial" w:hAnsi="Arial"/>
                <w:sz w:val="16"/>
                <w:szCs w:val="16"/>
                <w:color w:val="auto"/>
                <w:w w:val="99"/>
              </w:rPr>
              <w:t>HLLY WS</w:t>
            </w:r>
          </w:p>
        </w:tc>
        <w:tc>
          <w:tcPr>
            <w:tcW w:w="14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0" w:lineRule="exact"/>
        <w:rPr>
          <w:sz w:val="24"/>
          <w:szCs w:val="24"/>
          <w:color w:val="auto"/>
        </w:rPr>
      </w:pPr>
    </w:p>
    <w:p>
      <w:pPr>
        <w:jc w:val="both"/>
        <w:ind w:right="440"/>
        <w:spacing w:after="0" w:line="26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7" w:lineRule="exact"/>
        <w:rPr>
          <w:sz w:val="24"/>
          <w:szCs w:val="24"/>
          <w:color w:val="auto"/>
        </w:rPr>
      </w:pPr>
    </w:p>
    <w:p>
      <w:pPr>
        <w:ind w:right="26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12b-2of the Exchange Act.</w:t>
      </w:r>
    </w:p>
    <w:p>
      <w:pPr>
        <w:spacing w:after="0" w:line="267" w:lineRule="exact"/>
        <w:rPr>
          <w:sz w:val="24"/>
          <w:szCs w:val="24"/>
          <w:color w:val="auto"/>
        </w:rPr>
      </w:pPr>
    </w:p>
    <w:tbl>
      <w:tblPr>
        <w:tblLayout w:type="fixed"/>
        <w:tblInd w:w="36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2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0"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w:t>
      </w:r>
      <w:r>
        <w:rPr>
          <w:rFonts w:ascii="Arial" w:cs="Arial" w:eastAsia="Arial" w:hAnsi="Arial"/>
          <w:sz w:val="16"/>
          <w:szCs w:val="16"/>
          <w:u w:val="single" w:color="auto"/>
          <w:color w:val="auto"/>
        </w:rPr>
        <w:t>Rule12b-2of the Exchange Act</w:t>
      </w:r>
      <w:r>
        <w:rPr>
          <w:rFonts w:ascii="Arial" w:cs="Arial" w:eastAsia="Arial" w:hAnsi="Arial"/>
          <w:sz w:val="16"/>
          <w:szCs w:val="16"/>
          <w:color w:val="auto"/>
        </w:rPr>
        <w:t>).</w:t>
      </w:r>
    </w:p>
    <w:p>
      <w:pPr>
        <w:spacing w:after="0" w:line="11"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There were 115,805,639 shares of Common Stock, par value $0.0001 per share, issued and outstanding as of November 09,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20" w:type="dxa"/>
            <w:vAlign w:val="bottom"/>
            <w:gridSpan w:val="4"/>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972"/>
        </w:trPr>
        <w:tc>
          <w:tcPr>
            <w:tcW w:w="24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2080" w:type="dxa"/>
            <w:vAlign w:val="bottom"/>
          </w:tcPr>
          <w:p>
            <w:pPr>
              <w:spacing w:after="0"/>
              <w:rPr>
                <w:sz w:val="24"/>
                <w:szCs w:val="24"/>
                <w:color w:val="auto"/>
              </w:rPr>
            </w:pPr>
          </w:p>
        </w:tc>
      </w:tr>
      <w:tr>
        <w:trPr>
          <w:trHeight w:val="277"/>
        </w:trPr>
        <w:tc>
          <w:tcPr>
            <w:tcW w:w="24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Item 1. Financial Statements.</w:t>
              </w:r>
            </w:hyperlink>
          </w:p>
        </w:tc>
        <w:tc>
          <w:tcPr>
            <w:tcW w:w="20" w:type="dxa"/>
            <w:vAlign w:val="bottom"/>
            <w:tcBorders>
              <w:top w:val="single" w:sz="8" w:color="0000FF"/>
              <w:bottom w:val="single" w:sz="8" w:color="0000EE"/>
            </w:tcBorders>
          </w:tcPr>
          <w:p>
            <w:pPr>
              <w:spacing w:after="0"/>
              <w:rPr>
                <w:sz w:val="24"/>
                <w:szCs w:val="24"/>
                <w:color w:val="auto"/>
              </w:rPr>
            </w:pPr>
          </w:p>
        </w:tc>
        <w:tc>
          <w:tcPr>
            <w:tcW w:w="640" w:type="dxa"/>
            <w:vAlign w:val="bottom"/>
            <w:tcBorders>
              <w:top w:val="single" w:sz="8" w:color="0000FF"/>
            </w:tcBorders>
            <w:gridSpan w:val="5"/>
          </w:tcPr>
          <w:p>
            <w:pPr>
              <w:spacing w:after="0"/>
              <w:rPr>
                <w:sz w:val="24"/>
                <w:szCs w:val="24"/>
                <w:color w:val="auto"/>
              </w:rPr>
            </w:pPr>
          </w:p>
        </w:tc>
        <w:tc>
          <w:tcPr>
            <w:tcW w:w="5920" w:type="dxa"/>
            <w:vAlign w:val="bottom"/>
            <w:gridSpan w:val="5"/>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1</w:t>
            </w:r>
          </w:p>
        </w:tc>
      </w:tr>
      <w:tr>
        <w:trPr>
          <w:trHeight w:val="493"/>
        </w:trPr>
        <w:tc>
          <w:tcPr>
            <w:tcW w:w="24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 Management’s Discussion and Analysis of Financial Condition and Results of Operations.</w:t>
              </w:r>
            </w:hyperlink>
          </w:p>
        </w:tc>
        <w:tc>
          <w:tcPr>
            <w:tcW w:w="2080" w:type="dxa"/>
            <w:vAlign w:val="bottom"/>
          </w:tcPr>
          <w:p>
            <w:pPr>
              <w:ind w:left="1200"/>
              <w:spacing w:after="0"/>
              <w:rPr>
                <w:sz w:val="20"/>
                <w:szCs w:val="20"/>
                <w:color w:val="auto"/>
              </w:rPr>
            </w:pPr>
            <w:r>
              <w:rPr>
                <w:rFonts w:ascii="Arial" w:cs="Arial" w:eastAsia="Arial" w:hAnsi="Arial"/>
                <w:sz w:val="18"/>
                <w:szCs w:val="18"/>
                <w:color w:val="auto"/>
              </w:rPr>
              <w:t>27</w:t>
            </w:r>
          </w:p>
        </w:tc>
      </w:tr>
      <w:tr>
        <w:trPr>
          <w:trHeight w:val="493"/>
        </w:trPr>
        <w:tc>
          <w:tcPr>
            <w:tcW w:w="240" w:type="dxa"/>
            <w:vAlign w:val="bottom"/>
          </w:tcPr>
          <w:p>
            <w:pPr>
              <w:spacing w:after="0"/>
              <w:rPr>
                <w:sz w:val="24"/>
                <w:szCs w:val="24"/>
                <w:color w:val="auto"/>
              </w:rPr>
            </w:pPr>
          </w:p>
        </w:tc>
        <w:tc>
          <w:tcPr>
            <w:tcW w:w="7720" w:type="dxa"/>
            <w:vAlign w:val="bottom"/>
            <w:tcBorders>
              <w:top w:val="single" w:sz="8" w:color="0000FF"/>
            </w:tcBorders>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 Quantitative and Qualitative Disclosures About Market Risk.</w:t>
              </w:r>
            </w:hyperlink>
          </w:p>
        </w:tc>
        <w:tc>
          <w:tcPr>
            <w:tcW w:w="1200" w:type="dxa"/>
            <w:vAlign w:val="bottom"/>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42</w:t>
            </w:r>
          </w:p>
        </w:tc>
      </w:tr>
      <w:tr>
        <w:trPr>
          <w:trHeight w:val="493"/>
        </w:trPr>
        <w:tc>
          <w:tcPr>
            <w:tcW w:w="24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Item 4. Controls and Procedures</w:t>
              </w:r>
            </w:hyperlink>
          </w:p>
        </w:tc>
        <w:tc>
          <w:tcPr>
            <w:tcW w:w="20" w:type="dxa"/>
            <w:vAlign w:val="bottom"/>
            <w:tcBorders>
              <w:top w:val="single" w:sz="8" w:color="0000FF"/>
              <w:bottom w:val="single" w:sz="8" w:color="0000EE"/>
            </w:tcBorders>
          </w:tcPr>
          <w:p>
            <w:pPr>
              <w:spacing w:after="0"/>
              <w:rPr>
                <w:sz w:val="24"/>
                <w:szCs w:val="24"/>
                <w:color w:val="auto"/>
              </w:rPr>
            </w:pPr>
          </w:p>
        </w:tc>
        <w:tc>
          <w:tcPr>
            <w:tcW w:w="2740" w:type="dxa"/>
            <w:vAlign w:val="bottom"/>
            <w:tcBorders>
              <w:top w:val="single" w:sz="8" w:color="0000FF"/>
            </w:tcBorders>
            <w:gridSpan w:val="4"/>
          </w:tcPr>
          <w:p>
            <w:pPr>
              <w:spacing w:after="0"/>
              <w:rPr>
                <w:sz w:val="24"/>
                <w:szCs w:val="24"/>
                <w:color w:val="auto"/>
              </w:rPr>
            </w:pPr>
          </w:p>
        </w:tc>
        <w:tc>
          <w:tcPr>
            <w:tcW w:w="3560" w:type="dxa"/>
            <w:vAlign w:val="bottom"/>
            <w:gridSpan w:val="3"/>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42</w:t>
            </w:r>
          </w:p>
        </w:tc>
      </w:tr>
      <w:tr>
        <w:trPr>
          <w:trHeight w:val="750"/>
        </w:trPr>
        <w:tc>
          <w:tcPr>
            <w:tcW w:w="24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PART II – OTHER INFORMATION</w:t>
              </w:r>
            </w:hyperlink>
          </w:p>
        </w:tc>
        <w:tc>
          <w:tcPr>
            <w:tcW w:w="2080" w:type="dxa"/>
            <w:vAlign w:val="bottom"/>
          </w:tcPr>
          <w:p>
            <w:pPr>
              <w:spacing w:after="0"/>
              <w:rPr>
                <w:sz w:val="24"/>
                <w:szCs w:val="24"/>
                <w:color w:val="auto"/>
              </w:rPr>
            </w:pPr>
          </w:p>
        </w:tc>
      </w:tr>
      <w:tr>
        <w:trPr>
          <w:trHeight w:val="277"/>
        </w:trPr>
        <w:tc>
          <w:tcPr>
            <w:tcW w:w="240" w:type="dxa"/>
            <w:vAlign w:val="bottom"/>
          </w:tcPr>
          <w:p>
            <w:pPr>
              <w:spacing w:after="0"/>
              <w:rPr>
                <w:sz w:val="24"/>
                <w:szCs w:val="24"/>
                <w:color w:val="auto"/>
              </w:rPr>
            </w:pPr>
          </w:p>
        </w:tc>
        <w:tc>
          <w:tcPr>
            <w:tcW w:w="2740" w:type="dxa"/>
            <w:vAlign w:val="bottom"/>
            <w:tcBorders>
              <w:top w:val="single" w:sz="8" w:color="0000FF"/>
            </w:tcBorders>
            <w:gridSpan w:val="1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 Legal Proceedings.</w:t>
              </w:r>
            </w:hyperlink>
          </w:p>
        </w:tc>
        <w:tc>
          <w:tcPr>
            <w:tcW w:w="6180" w:type="dxa"/>
            <w:vAlign w:val="bottom"/>
            <w:gridSpan w:val="6"/>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44</w:t>
            </w:r>
          </w:p>
        </w:tc>
      </w:tr>
      <w:tr>
        <w:trPr>
          <w:trHeight w:val="493"/>
        </w:trPr>
        <w:tc>
          <w:tcPr>
            <w:tcW w:w="24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Item 1A. 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340" w:type="dxa"/>
            <w:vAlign w:val="bottom"/>
            <w:tcBorders>
              <w:top w:val="single" w:sz="8" w:color="0000FF"/>
            </w:tcBorders>
            <w:gridSpan w:val="2"/>
          </w:tcPr>
          <w:p>
            <w:pPr>
              <w:spacing w:after="0"/>
              <w:rPr>
                <w:sz w:val="24"/>
                <w:szCs w:val="24"/>
                <w:color w:val="auto"/>
              </w:rPr>
            </w:pPr>
          </w:p>
        </w:tc>
        <w:tc>
          <w:tcPr>
            <w:tcW w:w="6780" w:type="dxa"/>
            <w:vAlign w:val="bottom"/>
            <w:gridSpan w:val="12"/>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44</w:t>
            </w:r>
          </w:p>
        </w:tc>
      </w:tr>
      <w:tr>
        <w:trPr>
          <w:trHeight w:val="493"/>
        </w:trPr>
        <w:tc>
          <w:tcPr>
            <w:tcW w:w="24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2. Unregistered Sales of Equity Securities and Use of Proceeds.</w:t>
              </w:r>
            </w:hyperlink>
          </w:p>
        </w:tc>
        <w:tc>
          <w:tcPr>
            <w:tcW w:w="2080" w:type="dxa"/>
            <w:vAlign w:val="bottom"/>
          </w:tcPr>
          <w:p>
            <w:pPr>
              <w:ind w:left="1200"/>
              <w:spacing w:after="0"/>
              <w:rPr>
                <w:sz w:val="20"/>
                <w:szCs w:val="20"/>
                <w:color w:val="auto"/>
              </w:rPr>
            </w:pPr>
            <w:r>
              <w:rPr>
                <w:rFonts w:ascii="Arial" w:cs="Arial" w:eastAsia="Arial" w:hAnsi="Arial"/>
                <w:sz w:val="18"/>
                <w:szCs w:val="18"/>
                <w:color w:val="auto"/>
              </w:rPr>
              <w:t>45</w:t>
            </w:r>
          </w:p>
        </w:tc>
      </w:tr>
      <w:tr>
        <w:trPr>
          <w:trHeight w:val="493"/>
        </w:trPr>
        <w:tc>
          <w:tcPr>
            <w:tcW w:w="240" w:type="dxa"/>
            <w:vAlign w:val="bottom"/>
          </w:tcPr>
          <w:p>
            <w:pPr>
              <w:spacing w:after="0"/>
              <w:rPr>
                <w:sz w:val="24"/>
                <w:szCs w:val="24"/>
                <w:color w:val="auto"/>
              </w:rPr>
            </w:pPr>
          </w:p>
        </w:tc>
        <w:tc>
          <w:tcPr>
            <w:tcW w:w="580" w:type="dxa"/>
            <w:vAlign w:val="bottom"/>
            <w:tcBorders>
              <w:top w:val="single" w:sz="8" w:color="0000FF"/>
            </w:tcBorders>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3.</w:t>
              </w:r>
            </w:hyperlink>
          </w:p>
        </w:tc>
        <w:tc>
          <w:tcPr>
            <w:tcW w:w="4920" w:type="dxa"/>
            <w:vAlign w:val="bottom"/>
            <w:tcBorders>
              <w:top w:val="single" w:sz="8" w:color="0000FF"/>
            </w:tcBorders>
            <w:gridSpan w:val="16"/>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Defaults Upon Senior Securities.</w:t>
              </w:r>
            </w:hyperlink>
          </w:p>
        </w:tc>
        <w:tc>
          <w:tcPr>
            <w:tcW w:w="3420" w:type="dxa"/>
            <w:vAlign w:val="bottom"/>
            <w:gridSpan w:val="2"/>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45</w:t>
            </w:r>
          </w:p>
        </w:tc>
      </w:tr>
      <w:tr>
        <w:trPr>
          <w:trHeight w:val="493"/>
        </w:trPr>
        <w:tc>
          <w:tcPr>
            <w:tcW w:w="240" w:type="dxa"/>
            <w:vAlign w:val="bottom"/>
          </w:tcPr>
          <w:p>
            <w:pPr>
              <w:spacing w:after="0"/>
              <w:rPr>
                <w:sz w:val="24"/>
                <w:szCs w:val="24"/>
                <w:color w:val="auto"/>
              </w:rPr>
            </w:pPr>
          </w:p>
        </w:tc>
        <w:tc>
          <w:tcPr>
            <w:tcW w:w="580" w:type="dxa"/>
            <w:vAlign w:val="bottom"/>
            <w:tcBorders>
              <w:top w:val="single" w:sz="8" w:color="0000FF"/>
              <w:bottom w:val="single" w:sz="8" w:color="0000FF"/>
            </w:tcBorders>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4.</w:t>
              </w:r>
            </w:hyperlink>
          </w:p>
        </w:tc>
        <w:tc>
          <w:tcPr>
            <w:tcW w:w="196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Mine Safety Disclosures</w:t>
              </w:r>
            </w:hyperlink>
          </w:p>
        </w:tc>
        <w:tc>
          <w:tcPr>
            <w:tcW w:w="660" w:type="dxa"/>
            <w:vAlign w:val="bottom"/>
            <w:tcBorders>
              <w:top w:val="single" w:sz="8" w:color="0000FF"/>
            </w:tcBorders>
            <w:gridSpan w:val="5"/>
          </w:tcPr>
          <w:p>
            <w:pPr>
              <w:spacing w:after="0"/>
              <w:rPr>
                <w:sz w:val="24"/>
                <w:szCs w:val="24"/>
                <w:color w:val="auto"/>
              </w:rPr>
            </w:pPr>
          </w:p>
        </w:tc>
        <w:tc>
          <w:tcPr>
            <w:tcW w:w="5720" w:type="dxa"/>
            <w:vAlign w:val="bottom"/>
            <w:gridSpan w:val="4"/>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45</w:t>
            </w:r>
          </w:p>
        </w:tc>
      </w:tr>
      <w:tr>
        <w:trPr>
          <w:trHeight w:val="493"/>
        </w:trPr>
        <w:tc>
          <w:tcPr>
            <w:tcW w:w="240" w:type="dxa"/>
            <w:vAlign w:val="bottom"/>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5.</w:t>
              </w:r>
            </w:hyperlink>
          </w:p>
        </w:tc>
        <w:tc>
          <w:tcPr>
            <w:tcW w:w="1480" w:type="dxa"/>
            <w:vAlign w:val="bottom"/>
            <w:tcBorders>
              <w:bottom w:val="single" w:sz="8" w:color="0000FF"/>
            </w:tcBorders>
            <w:gridSpan w:val="5"/>
          </w:tcPr>
          <w:p>
            <w:pPr>
              <w:ind w:left="20"/>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Other Information.</w:t>
              </w:r>
            </w:hyperlink>
          </w:p>
        </w:tc>
        <w:tc>
          <w:tcPr>
            <w:tcW w:w="6860" w:type="dxa"/>
            <w:vAlign w:val="bottom"/>
            <w:gridSpan w:val="13"/>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45</w:t>
            </w:r>
          </w:p>
        </w:tc>
      </w:tr>
      <w:tr>
        <w:trPr>
          <w:trHeight w:val="493"/>
        </w:trPr>
        <w:tc>
          <w:tcPr>
            <w:tcW w:w="240" w:type="dxa"/>
            <w:vAlign w:val="bottom"/>
          </w:tcPr>
          <w:p>
            <w:pPr>
              <w:spacing w:after="0"/>
              <w:rPr>
                <w:sz w:val="24"/>
                <w:szCs w:val="24"/>
                <w:color w:val="auto"/>
              </w:rPr>
            </w:pPr>
          </w:p>
        </w:tc>
        <w:tc>
          <w:tcPr>
            <w:tcW w:w="580" w:type="dxa"/>
            <w:vAlign w:val="bottom"/>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Item 6.</w:t>
              </w:r>
            </w:hyperlink>
          </w:p>
        </w:tc>
        <w:tc>
          <w:tcPr>
            <w:tcW w:w="8340" w:type="dxa"/>
            <w:vAlign w:val="bottom"/>
            <w:gridSpan w:val="18"/>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2080" w:type="dxa"/>
            <w:vAlign w:val="bottom"/>
          </w:tcPr>
          <w:p>
            <w:pPr>
              <w:ind w:left="1200"/>
              <w:spacing w:after="0"/>
              <w:rPr>
                <w:sz w:val="20"/>
                <w:szCs w:val="20"/>
                <w:color w:val="auto"/>
              </w:rPr>
            </w:pPr>
            <w:r>
              <w:rPr>
                <w:rFonts w:ascii="Arial" w:cs="Arial" w:eastAsia="Arial" w:hAnsi="Arial"/>
                <w:sz w:val="18"/>
                <w:szCs w:val="18"/>
                <w:color w:val="auto"/>
              </w:rPr>
              <w:t>46</w:t>
            </w:r>
          </w:p>
        </w:tc>
      </w:tr>
      <w:tr>
        <w:trPr>
          <w:trHeight w:val="493"/>
        </w:trPr>
        <w:tc>
          <w:tcPr>
            <w:tcW w:w="240" w:type="dxa"/>
            <w:vAlign w:val="bottom"/>
          </w:tcPr>
          <w:p>
            <w:pPr>
              <w:spacing w:after="0"/>
              <w:rPr>
                <w:sz w:val="24"/>
                <w:szCs w:val="24"/>
                <w:color w:val="auto"/>
              </w:rPr>
            </w:pPr>
          </w:p>
        </w:tc>
        <w:tc>
          <w:tcPr>
            <w:tcW w:w="1280" w:type="dxa"/>
            <w:vAlign w:val="bottom"/>
            <w:tcBorders>
              <w:top w:val="single" w:sz="8" w:color="0000FF"/>
            </w:tcBorders>
            <w:gridSpan w:val="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SIGNATURE</w:t>
              </w:r>
            </w:hyperlink>
          </w:p>
        </w:tc>
        <w:tc>
          <w:tcPr>
            <w:tcW w:w="7640" w:type="dxa"/>
            <w:vAlign w:val="bottom"/>
            <w:gridSpan w:val="16"/>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48</w:t>
            </w:r>
          </w:p>
        </w:tc>
      </w:tr>
      <w:tr>
        <w:trPr>
          <w:trHeight w:val="608"/>
        </w:trPr>
        <w:tc>
          <w:tcPr>
            <w:tcW w:w="2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and Section 21E of the Securities Exchange Act of 1934, as amended. These forward-looking statements relate to expectations for future financial performance, business strategies or expectations for the Company’s business. These statements may be preceded by, followed by or include the words “believes,” “estimates,” “expects,” “projects,” “forecasts,” “may,” “will,” “should,” “seeks,” “plans,” “scheduled,” “anticipates,” “intends” or similar expressions. These forward-looking statements are subject to a number of risks and uncertainties and actual results could differ materially due to numerous factors, including but not limited to the Company’s ability to do any of the following:</w:t>
      </w:r>
    </w:p>
    <w:p>
      <w:pPr>
        <w:spacing w:after="0" w:line="233" w:lineRule="exact"/>
        <w:rPr>
          <w:sz w:val="20"/>
          <w:szCs w:val="20"/>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collect and use personal data about consumers;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80" w:hanging="560"/>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237" w:lineRule="exact"/>
        <w:rPr>
          <w:rFonts w:ascii="Arial" w:cs="Arial" w:eastAsia="Arial" w:hAnsi="Arial"/>
          <w:sz w:val="18"/>
          <w:szCs w:val="18"/>
          <w:color w:val="auto"/>
        </w:rPr>
      </w:pPr>
    </w:p>
    <w:p>
      <w:pPr>
        <w:ind w:left="1040" w:right="860" w:hanging="560"/>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the coronavirus disease 2019 (“COVID-19”) pandemic and its effect on business and financial conditions;</w:t>
      </w:r>
    </w:p>
    <w:p>
      <w:pPr>
        <w:spacing w:after="0" w:line="237"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risks associated with operational changes in response to the COVID-19 pandemic;</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40" w:hanging="560"/>
        <w:spacing w:after="0" w:line="27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the anticipated benefits of and successfully deploy the proceeds from the Business Combination (as defined herein), which may be affected by, among other things, competition, the ability to integrate the combined businesses and the ability of the combined business to grow and manage growth profitably;</w:t>
      </w:r>
    </w:p>
    <w:p>
      <w:pPr>
        <w:spacing w:after="0" w:line="243"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uncertainties inherent in the development of new business lines and business strategies;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hire necessary employees;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brand awareness;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train and retain effective officers, key employees or directors;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upgrade and maintain information technology systems;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cyber-attacks, security breaches, or computer viruses;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respond to privacy or data breaches, or the loss of data.</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40" w:hanging="560"/>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the listing on, or the delisting of the Company’s securities from, the NYSE or an inability to have our securities listed on another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rapid technological changes;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60" w:hanging="56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including laws and regulations related to environmental health and safety;</w:t>
      </w:r>
    </w:p>
    <w:p>
      <w:pPr>
        <w:spacing w:after="0" w:line="237"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00" w:hanging="56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fluctuations in foreign currency exchange rates and political unrest and regulatory changes in international markets from various events;</w:t>
      </w:r>
    </w:p>
    <w:p>
      <w:pPr>
        <w:spacing w:after="0" w:line="237"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rise in interest rates which would increase the cost of capital;</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56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JOBS Act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60" w:hanging="56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demographic trends and employee availability; and</w:t>
      </w:r>
    </w:p>
    <w:p>
      <w:pPr>
        <w:spacing w:after="0" w:line="237" w:lineRule="exact"/>
        <w:rPr>
          <w:rFonts w:ascii="Arial" w:cs="Arial" w:eastAsia="Arial" w:hAnsi="Arial"/>
          <w:sz w:val="18"/>
          <w:szCs w:val="18"/>
          <w:color w:val="auto"/>
        </w:rPr>
      </w:pPr>
    </w:p>
    <w:p>
      <w:pPr>
        <w:ind w:left="1040" w:right="60" w:hanging="560"/>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this Quarterly Report and our prospectus, as filed with the SEC on July 28, 2021, and in any subsequent filings with the SEC.</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6"/>
                <w:szCs w:val="16"/>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6"/>
                <w:szCs w:val="16"/>
                <w:color w:val="auto"/>
              </w:rPr>
              <w:t>As of</w:t>
            </w:r>
          </w:p>
        </w:tc>
      </w:tr>
      <w:tr>
        <w:trPr>
          <w:trHeight w:val="243"/>
        </w:trPr>
        <w:tc>
          <w:tcPr>
            <w:tcW w:w="7460" w:type="dxa"/>
            <w:vAlign w:val="bottom"/>
          </w:tcPr>
          <w:p>
            <w:pPr>
              <w:spacing w:after="0"/>
              <w:rPr>
                <w:sz w:val="21"/>
                <w:szCs w:val="21"/>
                <w:color w:val="auto"/>
              </w:rPr>
            </w:pPr>
          </w:p>
        </w:tc>
        <w:tc>
          <w:tcPr>
            <w:tcW w:w="1940" w:type="dxa"/>
            <w:vAlign w:val="bottom"/>
            <w:gridSpan w:val="3"/>
          </w:tcPr>
          <w:p>
            <w:pPr>
              <w:jc w:val="right"/>
              <w:ind w:right="380"/>
              <w:spacing w:after="0"/>
              <w:rPr>
                <w:sz w:val="20"/>
                <w:szCs w:val="20"/>
                <w:color w:val="auto"/>
              </w:rPr>
            </w:pPr>
            <w:r>
              <w:rPr>
                <w:rFonts w:ascii="Arial" w:cs="Arial" w:eastAsia="Arial" w:hAnsi="Arial"/>
                <w:sz w:val="16"/>
                <w:szCs w:val="16"/>
                <w:color w:val="auto"/>
              </w:rPr>
              <w:t>September 26, 2021</w:t>
            </w:r>
          </w:p>
        </w:tc>
        <w:tc>
          <w:tcPr>
            <w:tcW w:w="12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December 31, 2020</w:t>
            </w:r>
          </w:p>
        </w:tc>
      </w:tr>
      <w:tr>
        <w:trPr>
          <w:trHeight w:val="229"/>
        </w:trPr>
        <w:tc>
          <w:tcPr>
            <w:tcW w:w="7460" w:type="dxa"/>
            <w:vAlign w:val="bottom"/>
            <w:shd w:val="clear" w:color="auto" w:fill="CFF0FC"/>
          </w:tcPr>
          <w:p>
            <w:pPr>
              <w:ind w:left="330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53,927</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71,674</w:t>
            </w:r>
          </w:p>
        </w:tc>
        <w:tc>
          <w:tcPr>
            <w:tcW w:w="100" w:type="dxa"/>
            <w:vAlign w:val="bottom"/>
          </w:tcPr>
          <w:p>
            <w:pPr>
              <w:spacing w:after="0"/>
              <w:rPr>
                <w:sz w:val="19"/>
                <w:szCs w:val="19"/>
                <w:color w:val="auto"/>
              </w:rPr>
            </w:pPr>
          </w:p>
        </w:tc>
      </w:tr>
      <w:tr>
        <w:trPr>
          <w:trHeight w:val="22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less allowance for credit losses of</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4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$1,616 and $1,240, respectively</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55,359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47,341</w:t>
            </w:r>
          </w:p>
        </w:tc>
        <w:tc>
          <w:tcPr>
            <w:tcW w:w="100" w:type="dxa"/>
            <w:vAlign w:val="bottom"/>
            <w:shd w:val="clear" w:color="auto" w:fill="CFF0FC"/>
          </w:tcPr>
          <w:p>
            <w:pPr>
              <w:spacing w:after="0"/>
              <w:rPr>
                <w:sz w:val="19"/>
                <w:szCs w:val="19"/>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164,343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133,928</w:t>
            </w:r>
          </w:p>
        </w:tc>
        <w:tc>
          <w:tcPr>
            <w:tcW w:w="100" w:type="dxa"/>
            <w:vAlign w:val="bottom"/>
          </w:tcPr>
          <w:p>
            <w:pPr>
              <w:spacing w:after="0"/>
              <w:rPr>
                <w:sz w:val="19"/>
                <w:szCs w:val="19"/>
                <w:color w:val="auto"/>
              </w:rPr>
            </w:pPr>
          </w:p>
        </w:tc>
      </w:tr>
      <w:tr>
        <w:trPr>
          <w:trHeight w:val="23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Prepaids and other current assets</w:t>
            </w: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8,934</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46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282,563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257,980</w:t>
            </w:r>
          </w:p>
        </w:tc>
        <w:tc>
          <w:tcPr>
            <w:tcW w:w="100" w:type="dxa"/>
            <w:vAlign w:val="bottom"/>
          </w:tcPr>
          <w:p>
            <w:pPr>
              <w:spacing w:after="0"/>
              <w:rPr>
                <w:sz w:val="18"/>
                <w:szCs w:val="18"/>
                <w:color w:val="auto"/>
              </w:rPr>
            </w:pPr>
          </w:p>
        </w:tc>
      </w:tr>
      <w:tr>
        <w:trPr>
          <w:trHeight w:val="239"/>
        </w:trPr>
        <w:tc>
          <w:tcPr>
            <w:tcW w:w="74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50,393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43,729</w:t>
            </w:r>
          </w:p>
        </w:tc>
        <w:tc>
          <w:tcPr>
            <w:tcW w:w="100" w:type="dxa"/>
            <w:vAlign w:val="bottom"/>
          </w:tcPr>
          <w:p>
            <w:pPr>
              <w:spacing w:after="0"/>
              <w:rPr>
                <w:sz w:val="19"/>
                <w:szCs w:val="19"/>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381,860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359,099</w:t>
            </w:r>
          </w:p>
        </w:tc>
        <w:tc>
          <w:tcPr>
            <w:tcW w:w="100" w:type="dxa"/>
            <w:vAlign w:val="bottom"/>
            <w:shd w:val="clear" w:color="auto" w:fill="CFF0FC"/>
          </w:tcPr>
          <w:p>
            <w:pPr>
              <w:spacing w:after="0"/>
              <w:rPr>
                <w:sz w:val="20"/>
                <w:szCs w:val="20"/>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Other intangibles assets,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421,870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404,522</w:t>
            </w:r>
          </w:p>
        </w:tc>
        <w:tc>
          <w:tcPr>
            <w:tcW w:w="100" w:type="dxa"/>
            <w:vAlign w:val="bottom"/>
          </w:tcPr>
          <w:p>
            <w:pPr>
              <w:spacing w:after="0"/>
              <w:rPr>
                <w:sz w:val="19"/>
                <w:szCs w:val="19"/>
                <w:color w:val="auto"/>
              </w:rPr>
            </w:pPr>
          </w:p>
        </w:tc>
      </w:tr>
      <w:tr>
        <w:trPr>
          <w:trHeight w:val="266"/>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1,136,686</w:t>
            </w:r>
          </w:p>
        </w:tc>
        <w:tc>
          <w:tcPr>
            <w:tcW w:w="3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1,065,330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3"/>
        </w:trPr>
        <w:tc>
          <w:tcPr>
            <w:tcW w:w="7460" w:type="dxa"/>
            <w:vAlign w:val="bottom"/>
          </w:tcPr>
          <w:p>
            <w:pPr>
              <w:ind w:left="19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46,631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34,601</w:t>
            </w:r>
          </w:p>
        </w:tc>
        <w:tc>
          <w:tcPr>
            <w:tcW w:w="100" w:type="dxa"/>
            <w:vAlign w:val="bottom"/>
            <w:shd w:val="clear" w:color="auto" w:fill="CFF0FC"/>
          </w:tcPr>
          <w:p>
            <w:pPr>
              <w:spacing w:after="0"/>
              <w:rPr>
                <w:sz w:val="20"/>
                <w:szCs w:val="20"/>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6,588</w:t>
            </w:r>
          </w:p>
        </w:tc>
        <w:tc>
          <w:tcPr>
            <w:tcW w:w="100" w:type="dxa"/>
            <w:vAlign w:val="bottom"/>
          </w:tcPr>
          <w:p>
            <w:pPr>
              <w:spacing w:after="0"/>
              <w:rPr>
                <w:sz w:val="19"/>
                <w:szCs w:val="19"/>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18,768</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26,092</w:t>
            </w:r>
          </w:p>
        </w:tc>
        <w:tc>
          <w:tcPr>
            <w:tcW w:w="100" w:type="dxa"/>
            <w:vAlign w:val="bottom"/>
            <w:shd w:val="clear" w:color="auto" w:fill="CFF0FC"/>
          </w:tcPr>
          <w:p>
            <w:pPr>
              <w:spacing w:after="0"/>
              <w:rPr>
                <w:sz w:val="20"/>
                <w:szCs w:val="20"/>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Acquisition contingent consideration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9,200</w:t>
            </w:r>
          </w:p>
        </w:tc>
        <w:tc>
          <w:tcPr>
            <w:tcW w:w="100" w:type="dxa"/>
            <w:vAlign w:val="bottom"/>
          </w:tcPr>
          <w:p>
            <w:pPr>
              <w:spacing w:after="0"/>
              <w:rPr>
                <w:sz w:val="19"/>
                <w:szCs w:val="19"/>
                <w:color w:val="auto"/>
              </w:rPr>
            </w:pPr>
          </w:p>
        </w:tc>
      </w:tr>
      <w:tr>
        <w:trPr>
          <w:trHeight w:val="23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Current portion of long-term debt</w:t>
            </w: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5,528</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746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101,577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82,009</w:t>
            </w:r>
          </w:p>
        </w:tc>
        <w:tc>
          <w:tcPr>
            <w:tcW w:w="100" w:type="dxa"/>
            <w:vAlign w:val="bottom"/>
          </w:tcPr>
          <w:p>
            <w:pPr>
              <w:spacing w:after="0"/>
              <w:rPr>
                <w:sz w:val="17"/>
                <w:szCs w:val="17"/>
                <w:color w:val="auto"/>
              </w:rPr>
            </w:pPr>
          </w:p>
        </w:tc>
      </w:tr>
      <w:tr>
        <w:trPr>
          <w:trHeight w:val="249"/>
        </w:trPr>
        <w:tc>
          <w:tcPr>
            <w:tcW w:w="7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564,187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649,458</w:t>
            </w:r>
          </w:p>
        </w:tc>
        <w:tc>
          <w:tcPr>
            <w:tcW w:w="100" w:type="dxa"/>
            <w:vAlign w:val="bottom"/>
            <w:shd w:val="clear" w:color="auto" w:fill="CFF0FC"/>
          </w:tcPr>
          <w:p>
            <w:pPr>
              <w:spacing w:after="0"/>
              <w:rPr>
                <w:sz w:val="19"/>
                <w:szCs w:val="19"/>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Long-term debt due to related party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9"/>
                <w:szCs w:val="19"/>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 liability</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45,986</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72,172</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71,336</w:t>
            </w:r>
          </w:p>
        </w:tc>
        <w:tc>
          <w:tcPr>
            <w:tcW w:w="100" w:type="dxa"/>
            <w:vAlign w:val="bottom"/>
            <w:shd w:val="clear" w:color="auto" w:fill="CFF0FC"/>
          </w:tcPr>
          <w:p>
            <w:pPr>
              <w:spacing w:after="0"/>
              <w:rPr>
                <w:sz w:val="20"/>
                <w:szCs w:val="20"/>
                <w:color w:val="auto"/>
              </w:rPr>
            </w:pP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19"/>
                <w:szCs w:val="19"/>
                <w:color w:val="auto"/>
              </w:rPr>
            </w:pPr>
          </w:p>
        </w:tc>
      </w:tr>
      <w:tr>
        <w:trPr>
          <w:trHeight w:val="226"/>
        </w:trPr>
        <w:tc>
          <w:tcPr>
            <w:tcW w:w="7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816,863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824,949</w:t>
            </w:r>
          </w:p>
        </w:tc>
        <w:tc>
          <w:tcPr>
            <w:tcW w:w="100" w:type="dxa"/>
            <w:vAlign w:val="bottom"/>
            <w:shd w:val="clear" w:color="auto" w:fill="CFF0FC"/>
          </w:tcPr>
          <w:p>
            <w:pPr>
              <w:spacing w:after="0"/>
              <w:rPr>
                <w:sz w:val="19"/>
                <w:szCs w:val="19"/>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Commitments and contingencies (Refer to Note 16 - Commitments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60" w:type="dxa"/>
            <w:vAlign w:val="bottom"/>
          </w:tcPr>
          <w:p>
            <w:pPr>
              <w:ind w:left="160"/>
              <w:spacing w:after="0"/>
              <w:rPr>
                <w:sz w:val="20"/>
                <w:szCs w:val="20"/>
                <w:color w:val="auto"/>
              </w:rPr>
            </w:pPr>
            <w:r>
              <w:rPr>
                <w:rFonts w:ascii="Arial" w:cs="Arial" w:eastAsia="Arial" w:hAnsi="Arial"/>
                <w:sz w:val="16"/>
                <w:szCs w:val="16"/>
                <w:color w:val="auto"/>
              </w:rPr>
              <w:t>and Contingencies)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Preferred stock, $0.0001 par value, 5,000,000 shares authorized,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460" w:type="dxa"/>
            <w:vAlign w:val="bottom"/>
          </w:tcPr>
          <w:p>
            <w:pPr>
              <w:ind w:left="160"/>
              <w:spacing w:after="0"/>
              <w:rPr>
                <w:sz w:val="20"/>
                <w:szCs w:val="20"/>
                <w:color w:val="auto"/>
              </w:rPr>
            </w:pPr>
            <w:r>
              <w:rPr>
                <w:rFonts w:ascii="Arial" w:cs="Arial" w:eastAsia="Arial" w:hAnsi="Arial"/>
                <w:sz w:val="16"/>
                <w:szCs w:val="16"/>
                <w:color w:val="auto"/>
              </w:rPr>
              <w:t>none issued and outstanding as of September 26, 2021 and</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60" w:type="dxa"/>
            <w:vAlign w:val="bottom"/>
          </w:tcPr>
          <w:p>
            <w:pPr>
              <w:ind w:left="160"/>
              <w:spacing w:after="0"/>
              <w:rPr>
                <w:sz w:val="20"/>
                <w:szCs w:val="20"/>
                <w:color w:val="auto"/>
              </w:rPr>
            </w:pPr>
            <w:r>
              <w:rPr>
                <w:rFonts w:ascii="Arial" w:cs="Arial" w:eastAsia="Arial" w:hAnsi="Arial"/>
                <w:sz w:val="16"/>
                <w:szCs w:val="16"/>
                <w:color w:val="auto"/>
              </w:rPr>
              <w:t>December 31, 2020</w:t>
            </w:r>
          </w:p>
        </w:tc>
        <w:tc>
          <w:tcPr>
            <w:tcW w:w="36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$0.0001 par value, 550,000,000 shares authorized,</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74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115,805,639 and 67,673,884 shares issued and outstanding as</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2"/>
        </w:trPr>
        <w:tc>
          <w:tcPr>
            <w:tcW w:w="74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of September 26, 2021 and December 31, 2020, respectively</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20"/>
        </w:trPr>
        <w:tc>
          <w:tcPr>
            <w:tcW w:w="74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327,490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238,883</w:t>
            </w:r>
          </w:p>
        </w:tc>
        <w:tc>
          <w:tcPr>
            <w:tcW w:w="100" w:type="dxa"/>
            <w:vAlign w:val="bottom"/>
          </w:tcPr>
          <w:p>
            <w:pPr>
              <w:spacing w:after="0"/>
              <w:rPr>
                <w:sz w:val="19"/>
                <w:szCs w:val="19"/>
                <w:color w:val="auto"/>
              </w:rPr>
            </w:pPr>
          </w:p>
        </w:tc>
      </w:tr>
      <w:tr>
        <w:trPr>
          <w:trHeight w:val="23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(686 )</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(674 )</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(6,993 )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9"/>
                <w:szCs w:val="19"/>
                <w:color w:val="auto"/>
              </w:rPr>
            </w:pPr>
          </w:p>
        </w:tc>
      </w:tr>
      <w:tr>
        <w:trPr>
          <w:trHeight w:val="223"/>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319,823</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240,381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46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1,136,686</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1,065,330</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-5114290</wp:posOffset>
            </wp:positionV>
            <wp:extent cx="1885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-5114290</wp:posOffset>
            </wp:positionV>
            <wp:extent cx="685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-4225290</wp:posOffset>
            </wp:positionV>
            <wp:extent cx="188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-4208145</wp:posOffset>
            </wp:positionV>
            <wp:extent cx="188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-3322320</wp:posOffset>
            </wp:positionV>
            <wp:extent cx="18859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-3322320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-176530</wp:posOffset>
            </wp:positionV>
            <wp:extent cx="1885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For the thirteen weeks ended</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color w:val="auto"/>
              </w:rPr>
              <w:t>For the thirty-nine weeks ended</w:t>
            </w:r>
          </w:p>
        </w:tc>
        <w:tc>
          <w:tcPr>
            <w:tcW w:w="100" w:type="dxa"/>
            <w:vAlign w:val="bottom"/>
          </w:tcPr>
          <w:p>
            <w:pPr>
              <w:spacing w:after="0"/>
              <w:rPr>
                <w:sz w:val="18"/>
                <w:szCs w:val="18"/>
                <w:color w:val="auto"/>
              </w:rPr>
            </w:pPr>
          </w:p>
        </w:tc>
      </w:tr>
      <w:tr>
        <w:trPr>
          <w:trHeight w:val="223"/>
        </w:trPr>
        <w:tc>
          <w:tcPr>
            <w:tcW w:w="4140" w:type="dxa"/>
            <w:vAlign w:val="bottom"/>
          </w:tcPr>
          <w:p>
            <w:pPr>
              <w:spacing w:after="0"/>
              <w:rPr>
                <w:sz w:val="19"/>
                <w:szCs w:val="19"/>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color w:val="auto"/>
              </w:rPr>
              <w:t>September 26, 2021</w:t>
            </w:r>
          </w:p>
        </w:tc>
        <w:tc>
          <w:tcPr>
            <w:tcW w:w="1840" w:type="dxa"/>
            <w:vAlign w:val="bottom"/>
            <w:gridSpan w:val="3"/>
          </w:tcPr>
          <w:p>
            <w:pPr>
              <w:ind w:left="40"/>
              <w:spacing w:after="0"/>
              <w:rPr>
                <w:sz w:val="20"/>
                <w:szCs w:val="20"/>
                <w:color w:val="auto"/>
              </w:rPr>
            </w:pPr>
            <w:r>
              <w:rPr>
                <w:rFonts w:ascii="Arial" w:cs="Arial" w:eastAsia="Arial" w:hAnsi="Arial"/>
                <w:sz w:val="16"/>
                <w:szCs w:val="16"/>
                <w:color w:val="auto"/>
              </w:rPr>
              <w:t>September 27, 2020</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September 26, 2021</w:t>
            </w:r>
          </w:p>
        </w:tc>
        <w:tc>
          <w:tcPr>
            <w:tcW w:w="1680" w:type="dxa"/>
            <w:vAlign w:val="bottom"/>
            <w:gridSpan w:val="3"/>
          </w:tcPr>
          <w:p>
            <w:pPr>
              <w:jc w:val="right"/>
              <w:ind w:right="160"/>
              <w:spacing w:after="0"/>
              <w:rPr>
                <w:sz w:val="20"/>
                <w:szCs w:val="20"/>
                <w:color w:val="auto"/>
              </w:rPr>
            </w:pPr>
            <w:r>
              <w:rPr>
                <w:rFonts w:ascii="Arial" w:cs="Arial" w:eastAsia="Arial" w:hAnsi="Arial"/>
                <w:sz w:val="16"/>
                <w:szCs w:val="16"/>
                <w:color w:val="auto"/>
              </w:rPr>
              <w:t>September 27, 2020</w:t>
            </w: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159,673</w:t>
            </w:r>
          </w:p>
        </w:tc>
        <w:tc>
          <w:tcPr>
            <w:tcW w:w="32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133,307</w:t>
            </w:r>
          </w:p>
        </w:tc>
        <w:tc>
          <w:tcPr>
            <w:tcW w:w="3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513,046</w:t>
            </w:r>
          </w:p>
        </w:tc>
        <w:tc>
          <w:tcPr>
            <w:tcW w:w="22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365,760</w:t>
            </w:r>
          </w:p>
        </w:tc>
        <w:tc>
          <w:tcPr>
            <w:tcW w:w="100" w:type="dxa"/>
            <w:vAlign w:val="bottom"/>
            <w:shd w:val="clear" w:color="auto" w:fill="CFF0FC"/>
          </w:tcPr>
          <w:p>
            <w:pPr>
              <w:spacing w:after="0"/>
              <w:rPr>
                <w:sz w:val="19"/>
                <w:szCs w:val="19"/>
                <w:color w:val="auto"/>
              </w:rPr>
            </w:pPr>
          </w:p>
        </w:tc>
      </w:tr>
      <w:tr>
        <w:trPr>
          <w:trHeight w:val="227"/>
        </w:trPr>
        <w:tc>
          <w:tcPr>
            <w:tcW w:w="41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94,475</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77,778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300,969</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212,070</w:t>
            </w:r>
          </w:p>
        </w:tc>
        <w:tc>
          <w:tcPr>
            <w:tcW w:w="100" w:type="dxa"/>
            <w:vAlign w:val="bottom"/>
          </w:tcPr>
          <w:p>
            <w:pPr>
              <w:spacing w:after="0"/>
              <w:rPr>
                <w:sz w:val="19"/>
                <w:szCs w:val="19"/>
                <w:color w:val="auto"/>
              </w:rPr>
            </w:pPr>
          </w:p>
        </w:tc>
      </w:tr>
      <w:tr>
        <w:trPr>
          <w:trHeight w:val="226"/>
        </w:trPr>
        <w:tc>
          <w:tcPr>
            <w:tcW w:w="4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65,198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55,529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212,077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153,690</w:t>
            </w:r>
          </w:p>
        </w:tc>
        <w:tc>
          <w:tcPr>
            <w:tcW w:w="100" w:type="dxa"/>
            <w:vAlign w:val="bottom"/>
          </w:tcPr>
          <w:p>
            <w:pPr>
              <w:spacing w:after="0"/>
              <w:rPr>
                <w:sz w:val="19"/>
                <w:szCs w:val="19"/>
                <w:color w:val="auto"/>
              </w:rPr>
            </w:pPr>
          </w:p>
        </w:tc>
      </w:tr>
      <w:tr>
        <w:trPr>
          <w:trHeight w:val="239"/>
        </w:trPr>
        <w:tc>
          <w:tcPr>
            <w:tcW w:w="4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28,891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17,303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79,093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48,790</w:t>
            </w:r>
          </w:p>
        </w:tc>
        <w:tc>
          <w:tcPr>
            <w:tcW w:w="100" w:type="dxa"/>
            <w:vAlign w:val="bottom"/>
          </w:tcPr>
          <w:p>
            <w:pPr>
              <w:spacing w:after="0"/>
              <w:rPr>
                <w:sz w:val="19"/>
                <w:szCs w:val="19"/>
                <w:color w:val="auto"/>
              </w:rPr>
            </w:pP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costs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7,133</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20,167</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17,198</w:t>
            </w:r>
          </w:p>
        </w:tc>
        <w:tc>
          <w:tcPr>
            <w:tcW w:w="100" w:type="dxa"/>
            <w:vAlign w:val="bottom"/>
            <w:shd w:val="clear" w:color="auto" w:fill="CFF0FC"/>
          </w:tcPr>
          <w:p>
            <w:pPr>
              <w:spacing w:after="0"/>
              <w:rPr>
                <w:sz w:val="20"/>
                <w:szCs w:val="20"/>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Amortization of intangible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140" w:type="dxa"/>
            <w:vAlign w:val="bottom"/>
          </w:tcPr>
          <w:p>
            <w:pPr>
              <w:ind w:left="16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10,391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Pr>
          <w:p>
            <w:pPr>
              <w:spacing w:after="0"/>
              <w:rPr>
                <w:sz w:val="18"/>
                <w:szCs w:val="18"/>
                <w:color w:val="auto"/>
              </w:rPr>
            </w:pP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and restructuring costs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21,877</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5,624</w:t>
            </w:r>
          </w:p>
        </w:tc>
        <w:tc>
          <w:tcPr>
            <w:tcW w:w="100" w:type="dxa"/>
            <w:vAlign w:val="bottom"/>
            <w:shd w:val="clear" w:color="auto" w:fill="CFF0FC"/>
          </w:tcPr>
          <w:p>
            <w:pPr>
              <w:spacing w:after="0"/>
              <w:rPr>
                <w:sz w:val="20"/>
                <w:szCs w:val="20"/>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Related party acquisition and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140" w:type="dxa"/>
            <w:vAlign w:val="bottom"/>
          </w:tcPr>
          <w:p>
            <w:pPr>
              <w:ind w:left="160"/>
              <w:spacing w:after="0"/>
              <w:rPr>
                <w:sz w:val="20"/>
                <w:szCs w:val="20"/>
                <w:color w:val="auto"/>
              </w:rPr>
            </w:pPr>
            <w:r>
              <w:rPr>
                <w:rFonts w:ascii="Arial" w:cs="Arial" w:eastAsia="Arial" w:hAnsi="Arial"/>
                <w:sz w:val="16"/>
                <w:szCs w:val="16"/>
                <w:color w:val="auto"/>
              </w:rPr>
              <w:t>management fee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23,250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8"/>
                <w:szCs w:val="18"/>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operating expense (income)</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(821 )</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(1,089 )</w:t>
            </w:r>
          </w:p>
        </w:tc>
      </w:tr>
      <w:tr>
        <w:trPr>
          <w:trHeight w:val="223"/>
        </w:trPr>
        <w:tc>
          <w:tcPr>
            <w:tcW w:w="41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operating expense</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63,284</w:t>
            </w:r>
          </w:p>
        </w:tc>
        <w:tc>
          <w:tcPr>
            <w:tcW w:w="32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27,149</w:t>
            </w: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157,320</w:t>
            </w:r>
          </w:p>
        </w:tc>
        <w:tc>
          <w:tcPr>
            <w:tcW w:w="22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81,287</w:t>
            </w:r>
          </w:p>
        </w:tc>
        <w:tc>
          <w:tcPr>
            <w:tcW w:w="100" w:type="dxa"/>
            <w:vAlign w:val="bottom"/>
            <w:tcBorders>
              <w:top w:val="single" w:sz="8" w:color="CFF0FC"/>
            </w:tcBorders>
          </w:tcPr>
          <w:p>
            <w:pPr>
              <w:spacing w:after="0"/>
              <w:rPr>
                <w:sz w:val="19"/>
                <w:szCs w:val="19"/>
                <w:color w:val="auto"/>
              </w:rPr>
            </w:pPr>
          </w:p>
        </w:tc>
      </w:tr>
      <w:tr>
        <w:trPr>
          <w:trHeight w:val="22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1,914</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72,403</w:t>
            </w:r>
          </w:p>
        </w:tc>
        <w:tc>
          <w:tcPr>
            <w:tcW w:w="10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17,273</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17,273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earn-out liability</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6,866</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6,866</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Loss on early extinguishment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6"/>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9,851</w:t>
            </w:r>
          </w:p>
        </w:tc>
        <w:tc>
          <w:tcPr>
            <w:tcW w:w="3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9,325</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31,096</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Total non-operating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35,415</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9,325</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56,660</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31,843</w:t>
            </w:r>
          </w:p>
        </w:tc>
        <w:tc>
          <w:tcPr>
            <w:tcW w:w="100" w:type="dxa"/>
            <w:vAlign w:val="bottom"/>
          </w:tcPr>
          <w:p>
            <w:pPr>
              <w:spacing w:after="0"/>
              <w:rPr>
                <w:sz w:val="19"/>
                <w:szCs w:val="19"/>
                <w:color w:val="auto"/>
              </w:rPr>
            </w:pPr>
          </w:p>
        </w:tc>
      </w:tr>
      <w:tr>
        <w:trPr>
          <w:trHeight w:val="22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(33,501 )</w:t>
            </w: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19,055</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(1,903 )</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40,560</w:t>
            </w:r>
          </w:p>
        </w:tc>
        <w:tc>
          <w:tcPr>
            <w:tcW w:w="100" w:type="dxa"/>
            <w:vAlign w:val="bottom"/>
            <w:shd w:val="clear" w:color="auto" w:fill="CFF0FC"/>
          </w:tcPr>
          <w:p>
            <w:pPr>
              <w:spacing w:after="0"/>
              <w:rPr>
                <w:sz w:val="19"/>
                <w:szCs w:val="19"/>
                <w:color w:val="auto"/>
              </w:rPr>
            </w:pPr>
          </w:p>
        </w:tc>
      </w:tr>
      <w:tr>
        <w:trPr>
          <w:trHeight w:val="227"/>
        </w:trPr>
        <w:tc>
          <w:tcPr>
            <w:tcW w:w="41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(3,301 )</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7,255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9,656</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(30,200 )</w:t>
            </w:r>
          </w:p>
        </w:tc>
        <w:tc>
          <w:tcPr>
            <w:tcW w:w="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(9,158 )</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30,904</w:t>
            </w:r>
          </w:p>
        </w:tc>
        <w:tc>
          <w:tcPr>
            <w:tcW w:w="10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(12 )</w:t>
            </w:r>
          </w:p>
        </w:tc>
        <w:tc>
          <w:tcPr>
            <w:tcW w:w="4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4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4140" w:type="dxa"/>
            <w:vAlign w:val="bottom"/>
          </w:tcPr>
          <w:p>
            <w:pPr>
              <w:ind w:left="20"/>
              <w:spacing w:after="0"/>
              <w:rPr>
                <w:sz w:val="20"/>
                <w:szCs w:val="20"/>
                <w:color w:val="auto"/>
              </w:rPr>
            </w:pPr>
            <w:r>
              <w:rPr>
                <w:rFonts w:ascii="Arial" w:cs="Arial" w:eastAsia="Arial" w:hAnsi="Arial"/>
                <w:sz w:val="16"/>
                <w:szCs w:val="16"/>
                <w:color w:val="auto"/>
              </w:rPr>
              <w:t>Total comprehensive income (loss)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(30,231 )</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13,543</w:t>
            </w:r>
          </w:p>
        </w:tc>
        <w:tc>
          <w:tcPr>
            <w:tcW w:w="3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(9,170 )</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30,904</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of</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41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outstanding common stock</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106,285,072</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67,673,884</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80,735,661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67,673,884</w:t>
            </w:r>
          </w:p>
        </w:tc>
        <w:tc>
          <w:tcPr>
            <w:tcW w:w="100" w:type="dxa"/>
            <w:vAlign w:val="bottom"/>
            <w:shd w:val="clear" w:color="auto" w:fill="CFF0FC"/>
          </w:tcPr>
          <w:p>
            <w:pPr>
              <w:spacing w:after="0"/>
              <w:rPr>
                <w:sz w:val="19"/>
                <w:szCs w:val="19"/>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Basic net income (loss) per share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(0.28 )</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0.20</w:t>
            </w:r>
          </w:p>
        </w:tc>
        <w:tc>
          <w:tcPr>
            <w:tcW w:w="3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(0.11 )</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9"/>
                <w:szCs w:val="19"/>
                <w:color w:val="auto"/>
              </w:rPr>
            </w:pP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(0.28 )</w:t>
            </w:r>
          </w:p>
        </w:tc>
        <w:tc>
          <w:tcPr>
            <w:tcW w:w="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(0.11 )</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-2825115</wp:posOffset>
            </wp:positionV>
            <wp:extent cx="2057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-2825115</wp:posOffset>
            </wp:positionV>
            <wp:extent cx="2057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-2825115</wp:posOffset>
            </wp:positionV>
            <wp:extent cx="1371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-1933575</wp:posOffset>
            </wp:positionV>
            <wp:extent cx="2057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-1933575</wp:posOffset>
            </wp:positionV>
            <wp:extent cx="2057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-1933575</wp:posOffset>
            </wp:positionV>
            <wp:extent cx="1371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-1933575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-1033780</wp:posOffset>
            </wp:positionV>
            <wp:extent cx="2057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-1033780</wp:posOffset>
            </wp:positionV>
            <wp:extent cx="2057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-1033780</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Comprehensive 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236,503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(30,692 )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0"/>
              <w:spacing w:after="0"/>
              <w:rPr>
                <w:sz w:val="20"/>
                <w:szCs w:val="20"/>
                <w:color w:val="auto"/>
              </w:rPr>
            </w:pPr>
            <w:r>
              <w:rPr>
                <w:rFonts w:ascii="Arial" w:cs="Arial" w:eastAsia="Arial" w:hAnsi="Arial"/>
                <w:sz w:val="14"/>
                <w:szCs w:val="14"/>
                <w:color w:val="auto"/>
              </w:rPr>
              <w:t>Retroactive application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67,673,784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6"/>
                <w:szCs w:val="16"/>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160" w:type="dxa"/>
            <w:vAlign w:val="bottom"/>
          </w:tcPr>
          <w:p>
            <w:pPr>
              <w:ind w:left="320"/>
              <w:spacing w:after="0"/>
              <w:rPr>
                <w:sz w:val="20"/>
                <w:szCs w:val="20"/>
                <w:color w:val="auto"/>
              </w:rPr>
            </w:pPr>
            <w:r>
              <w:rPr>
                <w:rFonts w:ascii="Arial" w:cs="Arial" w:eastAsia="Arial" w:hAnsi="Arial"/>
                <w:sz w:val="14"/>
                <w:szCs w:val="14"/>
                <w:color w:val="auto"/>
              </w:rPr>
              <w:t>recapitalization</w:t>
            </w: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Adjusted balance at</w:t>
            </w: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FF0FC"/>
          </w:tcPr>
          <w:p>
            <w:pPr>
              <w:ind w:left="140"/>
              <w:spacing w:after="0"/>
              <w:rPr>
                <w:sz w:val="20"/>
                <w:szCs w:val="20"/>
                <w:color w:val="auto"/>
              </w:rPr>
            </w:pPr>
            <w:r>
              <w:rPr>
                <w:rFonts w:ascii="Arial" w:cs="Arial" w:eastAsia="Arial" w:hAnsi="Arial"/>
                <w:sz w:val="14"/>
                <w:szCs w:val="14"/>
                <w:b w:val="1"/>
                <w:bCs w:val="1"/>
                <w:color w:val="auto"/>
              </w:rPr>
              <w:t>December 31, 2019</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236,496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(397 )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(30,692 )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March 29, 2020</w:t>
            </w:r>
          </w:p>
        </w:tc>
        <w:tc>
          <w:tcPr>
            <w:tcW w:w="132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236,617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(397 )</w:t>
            </w:r>
          </w:p>
        </w:tc>
        <w:tc>
          <w:tcPr>
            <w:tcW w:w="1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(25,840 )</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210,387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6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distributions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June 28, 2020</w:t>
            </w:r>
          </w:p>
        </w:tc>
        <w:tc>
          <w:tcPr>
            <w:tcW w:w="132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236,631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(397 )</w:t>
            </w:r>
          </w:p>
        </w:tc>
        <w:tc>
          <w:tcPr>
            <w:tcW w:w="1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(13,331 )</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222,910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27, 2020</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236,574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32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238,883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(674 )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2,165</w:t>
            </w:r>
          </w:p>
        </w:tc>
        <w:tc>
          <w:tcPr>
            <w:tcW w:w="2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240,381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(2,056 )</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(2,056 )</w:t>
            </w:r>
          </w:p>
        </w:tc>
        <w:tc>
          <w:tcPr>
            <w:tcW w:w="0" w:type="dxa"/>
            <w:vAlign w:val="bottom"/>
          </w:tcPr>
          <w:p>
            <w:pPr>
              <w:spacing w:after="0"/>
              <w:rPr>
                <w:sz w:val="1"/>
                <w:szCs w:val="1"/>
                <w:color w:val="auto"/>
              </w:rPr>
            </w:pPr>
          </w:p>
        </w:tc>
      </w:tr>
      <w:tr>
        <w:trPr>
          <w:trHeight w:val="197"/>
        </w:trPr>
        <w:tc>
          <w:tcPr>
            <w:tcW w:w="316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(16 )</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March 28, 2021</w:t>
            </w:r>
          </w:p>
        </w:tc>
        <w:tc>
          <w:tcPr>
            <w:tcW w:w="132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239,014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(690 )</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238,440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23,098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6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Balance at June 27, 2021</w:t>
            </w:r>
          </w:p>
        </w:tc>
        <w:tc>
          <w:tcPr>
            <w:tcW w:w="1320" w:type="dxa"/>
            <w:vAlign w:val="bottom"/>
          </w:tcPr>
          <w:p>
            <w:pPr>
              <w:jc w:val="right"/>
              <w:spacing w:after="0"/>
              <w:rPr>
                <w:sz w:val="20"/>
                <w:szCs w:val="20"/>
                <w:color w:val="auto"/>
              </w:rPr>
            </w:pPr>
            <w:r>
              <w:rPr>
                <w:rFonts w:ascii="Arial" w:cs="Arial" w:eastAsia="Arial" w:hAnsi="Arial"/>
                <w:sz w:val="14"/>
                <w:szCs w:val="14"/>
                <w:color w:val="auto"/>
              </w:rPr>
              <w:t>67,673,884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239,145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(655 )</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23,207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261,704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(30,200 )</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(30,200 )</w:t>
            </w:r>
          </w:p>
        </w:tc>
        <w:tc>
          <w:tcPr>
            <w:tcW w:w="0" w:type="dxa"/>
            <w:vAlign w:val="bottom"/>
          </w:tcPr>
          <w:p>
            <w:pPr>
              <w:spacing w:after="0"/>
              <w:rPr>
                <w:sz w:val="1"/>
                <w:szCs w:val="1"/>
                <w:color w:val="auto"/>
              </w:rPr>
            </w:pPr>
          </w:p>
        </w:tc>
      </w:tr>
      <w:tr>
        <w:trPr>
          <w:trHeight w:val="196"/>
        </w:trPr>
        <w:tc>
          <w:tcPr>
            <w:tcW w:w="3160" w:type="dxa"/>
            <w:vAlign w:val="bottom"/>
          </w:tcPr>
          <w:p>
            <w:pPr>
              <w:ind w:left="200"/>
              <w:spacing w:after="0"/>
              <w:rPr>
                <w:sz w:val="20"/>
                <w:szCs w:val="20"/>
                <w:color w:val="auto"/>
              </w:rPr>
            </w:pPr>
            <w:r>
              <w:rPr>
                <w:rFonts w:ascii="Arial" w:cs="Arial" w:eastAsia="Arial" w:hAnsi="Arial"/>
                <w:sz w:val="14"/>
                <w:szCs w:val="14"/>
                <w:color w:val="auto"/>
              </w:rPr>
              <w:t>Equity compensation</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(31 )</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3"/>
        </w:trPr>
        <w:tc>
          <w:tcPr>
            <w:tcW w:w="3160" w:type="dxa"/>
            <w:vAlign w:val="bottom"/>
          </w:tcPr>
          <w:p>
            <w:pPr>
              <w:ind w:left="200"/>
              <w:spacing w:after="0"/>
              <w:rPr>
                <w:sz w:val="20"/>
                <w:szCs w:val="20"/>
                <w:color w:val="auto"/>
              </w:rPr>
            </w:pPr>
            <w:r>
              <w:rPr>
                <w:rFonts w:ascii="Arial" w:cs="Arial" w:eastAsia="Arial" w:hAnsi="Arial"/>
                <w:sz w:val="14"/>
                <w:szCs w:val="14"/>
                <w:color w:val="auto"/>
              </w:rPr>
              <w:t>Recapitalization transaction, net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48,131,755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85,859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26, 2021</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115,805,639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(6,993 )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-3476625</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-3476625</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-3476625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-3476625</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-3476625</wp:posOffset>
            </wp:positionV>
            <wp:extent cx="1371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-3476625</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-2893695</wp:posOffset>
            </wp:positionV>
            <wp:extent cx="1460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-2893695</wp:posOffset>
            </wp:positionV>
            <wp:extent cx="1371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-2893695</wp:posOffset>
            </wp:positionV>
            <wp:extent cx="1371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-2893695</wp:posOffset>
            </wp:positionV>
            <wp:extent cx="1371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-2893695</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-2893695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-2245360</wp:posOffset>
            </wp:positionV>
            <wp:extent cx="146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-2228215</wp:posOffset>
            </wp:positionV>
            <wp:extent cx="146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-2245360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-2228215</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-2245360</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-2228215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-2245360</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-2228215</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-2245360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-2228215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-2245360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-2228215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-1513840</wp:posOffset>
            </wp:positionV>
            <wp:extent cx="1460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-1513840</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-1513840</wp:posOffset>
            </wp:positionV>
            <wp:extent cx="1371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-1513840</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-1513840</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-1513840</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-930910</wp:posOffset>
            </wp:positionV>
            <wp:extent cx="1460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-930910</wp:posOffset>
            </wp:positionV>
            <wp:extent cx="1371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-930910</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-930910</wp:posOffset>
            </wp:positionV>
            <wp:extent cx="1371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-930910</wp:posOffset>
            </wp:positionV>
            <wp:extent cx="1371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-930910</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146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color w:val="auto"/>
              </w:rPr>
              <w:t>For the thirty-nine weeks ended</w:t>
            </w:r>
          </w:p>
        </w:tc>
        <w:tc>
          <w:tcPr>
            <w:tcW w:w="100" w:type="dxa"/>
            <w:vAlign w:val="bottom"/>
          </w:tcPr>
          <w:p>
            <w:pPr>
              <w:spacing w:after="0"/>
              <w:rPr>
                <w:sz w:val="18"/>
                <w:szCs w:val="18"/>
                <w:color w:val="auto"/>
              </w:rPr>
            </w:pPr>
          </w:p>
        </w:tc>
      </w:tr>
      <w:tr>
        <w:trPr>
          <w:trHeight w:val="223"/>
        </w:trPr>
        <w:tc>
          <w:tcPr>
            <w:tcW w:w="7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6"/>
                <w:szCs w:val="16"/>
                <w:color w:val="auto"/>
              </w:rPr>
              <w:t>September 26, 2021</w:t>
            </w: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September 27, 2020</w:t>
            </w:r>
          </w:p>
        </w:tc>
      </w:tr>
      <w:tr>
        <w:trPr>
          <w:trHeight w:val="22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(9,158 )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30,904</w:t>
            </w:r>
          </w:p>
        </w:tc>
        <w:tc>
          <w:tcPr>
            <w:tcW w:w="100" w:type="dxa"/>
            <w:vAlign w:val="bottom"/>
          </w:tcPr>
          <w:p>
            <w:pPr>
              <w:spacing w:after="0"/>
              <w:rPr>
                <w:sz w:val="19"/>
                <w:szCs w:val="19"/>
                <w:color w:val="auto"/>
              </w:rPr>
            </w:pPr>
          </w:p>
        </w:tc>
      </w:tr>
      <w:tr>
        <w:trPr>
          <w:trHeight w:val="220"/>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from operating</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activities:</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6,039</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10,391</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8,099</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Amortization of deferred loan costs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warrant liability</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17,273</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Increase in acquisition contingent consideration payable</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17,173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earn-out liability</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6,866</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Equity compensation</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2,748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deferred taxes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Loss on early extinguishment of long-term debt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(gain) on disposal of property, plant and equipment</w:t>
            </w:r>
          </w:p>
        </w:tc>
        <w:tc>
          <w:tcPr>
            <w:tcW w:w="12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(290 )</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Allowance for credit losses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operating assets and liabilities: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(5,196 )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(15,678 )</w:t>
            </w:r>
          </w:p>
        </w:tc>
      </w:tr>
      <w:tr>
        <w:trPr>
          <w:trHeight w:val="239"/>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(25,996 )</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33,208</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380"/>
              <w:spacing w:after="0"/>
              <w:rPr>
                <w:sz w:val="20"/>
                <w:szCs w:val="20"/>
                <w:color w:val="auto"/>
              </w:rPr>
            </w:pPr>
            <w:r>
              <w:rPr>
                <w:rFonts w:ascii="Arial" w:cs="Arial" w:eastAsia="Arial" w:hAnsi="Arial"/>
                <w:sz w:val="16"/>
                <w:szCs w:val="16"/>
                <w:color w:val="auto"/>
              </w:rPr>
              <w:t>Prepaids and other current assets</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(3,472 )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2,494</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9,765</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(311 )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(1,352 )</w:t>
            </w:r>
          </w:p>
        </w:tc>
      </w:tr>
      <w:tr>
        <w:trPr>
          <w:trHeight w:val="233"/>
        </w:trPr>
        <w:tc>
          <w:tcPr>
            <w:tcW w:w="7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(7,859 )</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from operating activities</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24,917</w:t>
            </w:r>
          </w:p>
        </w:tc>
        <w:tc>
          <w:tcPr>
            <w:tcW w:w="3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75,604</w:t>
            </w:r>
          </w:p>
        </w:tc>
        <w:tc>
          <w:tcPr>
            <w:tcW w:w="100" w:type="dxa"/>
            <w:vAlign w:val="bottom"/>
            <w:tcBorders>
              <w:top w:val="single" w:sz="8" w:color="CFF0FC"/>
            </w:tcBorders>
          </w:tcPr>
          <w:p>
            <w:pPr>
              <w:spacing w:after="0"/>
              <w:rPr>
                <w:sz w:val="19"/>
                <w:szCs w:val="19"/>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(10,468 )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(6,653 )</w:t>
            </w:r>
          </w:p>
        </w:tc>
      </w:tr>
      <w:tr>
        <w:trPr>
          <w:trHeight w:val="23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the disposal of fixed assets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Cash paid for acquisitions, net</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(61,786 )</w:t>
            </w:r>
          </w:p>
        </w:tc>
        <w:tc>
          <w:tcPr>
            <w:tcW w:w="1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Trademark acquisition</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(50 )</w:t>
            </w:r>
          </w:p>
        </w:tc>
      </w:tr>
      <w:tr>
        <w:trPr>
          <w:trHeight w:val="23"/>
        </w:trPr>
        <w:tc>
          <w:tcPr>
            <w:tcW w:w="73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(71,931 )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(6,703 )</w:t>
            </w:r>
          </w:p>
        </w:tc>
      </w:tr>
      <w:tr>
        <w:trPr>
          <w:trHeight w:val="23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Net change under revolving credit agreement</w:t>
            </w:r>
          </w:p>
        </w:tc>
        <w:tc>
          <w:tcPr>
            <w:tcW w:w="12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(20,500 )</w:t>
            </w:r>
          </w:p>
        </w:tc>
      </w:tr>
      <w:tr>
        <w:trPr>
          <w:trHeight w:val="23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on long-term debt</w:t>
            </w:r>
          </w:p>
        </w:tc>
        <w:tc>
          <w:tcPr>
            <w:tcW w:w="12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(103,032 )</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(1,900 )</w:t>
            </w: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Proceeds from Business Combination and PIPE financing,</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40" w:type="dxa"/>
            <w:vAlign w:val="bottom"/>
          </w:tcPr>
          <w:p>
            <w:pPr>
              <w:ind w:left="160"/>
              <w:spacing w:after="0"/>
              <w:rPr>
                <w:sz w:val="20"/>
                <w:szCs w:val="20"/>
                <w:color w:val="auto"/>
              </w:rPr>
            </w:pPr>
            <w:r>
              <w:rPr>
                <w:rFonts w:ascii="Arial" w:cs="Arial" w:eastAsia="Arial" w:hAnsi="Arial"/>
                <w:sz w:val="16"/>
                <w:szCs w:val="16"/>
                <w:color w:val="auto"/>
              </w:rPr>
              <w:t>net of issuance costs paid</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132,299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distributions</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(100 )</w:t>
            </w:r>
          </w:p>
        </w:tc>
      </w:tr>
      <w:tr>
        <w:trPr>
          <w:trHeight w:val="23"/>
        </w:trPr>
        <w:tc>
          <w:tcPr>
            <w:tcW w:w="73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Net cash (used in) from financing activities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29,267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(22,500 )</w:t>
            </w:r>
          </w:p>
        </w:tc>
      </w:tr>
      <w:tr>
        <w:trPr>
          <w:trHeight w:val="23"/>
        </w:trPr>
        <w:tc>
          <w:tcPr>
            <w:tcW w:w="7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(17,747 )</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46,401</w:t>
            </w:r>
          </w:p>
        </w:tc>
        <w:tc>
          <w:tcPr>
            <w:tcW w:w="100" w:type="dxa"/>
            <w:vAlign w:val="bottom"/>
            <w:shd w:val="clear" w:color="auto" w:fill="CFF0FC"/>
          </w:tcPr>
          <w:p>
            <w:pPr>
              <w:spacing w:after="0"/>
              <w:rPr>
                <w:sz w:val="19"/>
                <w:szCs w:val="19"/>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Beginning of period</w:t>
            </w:r>
          </w:p>
        </w:tc>
        <w:tc>
          <w:tcPr>
            <w:tcW w:w="1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71,674</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734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53,927</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54,736</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34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28,751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30,995</w:t>
            </w: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income taxes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10,648</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FF0FC"/>
          </w:tcPr>
          <w:p>
            <w:pPr>
              <w:spacing w:after="0"/>
              <w:rPr>
                <w:sz w:val="20"/>
                <w:szCs w:val="20"/>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Assumption of warrant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28,713</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7340" w:type="dxa"/>
            <w:vAlign w:val="bottom"/>
          </w:tcPr>
          <w:p>
            <w:pPr>
              <w:ind w:left="200"/>
              <w:spacing w:after="0"/>
              <w:rPr>
                <w:sz w:val="20"/>
                <w:szCs w:val="20"/>
                <w:color w:val="auto"/>
              </w:rPr>
            </w:pPr>
            <w:r>
              <w:rPr>
                <w:rFonts w:ascii="Arial" w:cs="Arial" w:eastAsia="Arial" w:hAnsi="Arial"/>
                <w:sz w:val="16"/>
                <w:szCs w:val="16"/>
                <w:color w:val="auto"/>
              </w:rPr>
              <w:t>Assumption of earn-out liability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17,722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-3533140</wp:posOffset>
            </wp:positionV>
            <wp:extent cx="2057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-3533140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-2649855</wp:posOffset>
            </wp:positionV>
            <wp:extent cx="2057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-2649855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-1638300</wp:posOffset>
            </wp:positionV>
            <wp:extent cx="2057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-1638300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-1038225</wp:posOffset>
            </wp:positionV>
            <wp:extent cx="2057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-1038225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Basis of Presentation, and Summary of Significant Accounting Policies</w:t>
      </w:r>
    </w:p>
    <w:p>
      <w:pPr>
        <w:spacing w:after="0" w:line="274"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Holley Inc., a Delaware corporation headquartered in Bowling Green, Kentucky (the “Company” or “Holley”), conducts operations through its wholly-owned subsidiaries. These operating subsidiaries are comprised of Holley Performance Products Inc. (“Holley Performance”), Hot Rod Brands, Inc. (“Hot Rod Brands”), Simpson Safety Solutions, Inc., B&amp;M Racing and Performance Products, Inc., and Speedshop.com, Inc. Investment funds managed by Sentinel Capital Partners hold a controlling interest in Holley.</w:t>
      </w:r>
    </w:p>
    <w:p>
      <w:pPr>
        <w:spacing w:after="0" w:line="220"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xml:space="preserve"> for more information.</w:t>
      </w:r>
    </w:p>
    <w:p>
      <w:pPr>
        <w:spacing w:after="0" w:line="221" w:lineRule="exact"/>
        <w:rPr>
          <w:sz w:val="20"/>
          <w:szCs w:val="20"/>
          <w:color w:val="auto"/>
        </w:rPr>
      </w:pPr>
    </w:p>
    <w:p>
      <w:pPr>
        <w:jc w:val="both"/>
        <w:ind w:left="280"/>
        <w:spacing w:after="0" w:line="267" w:lineRule="auto"/>
        <w:rPr>
          <w:sz w:val="20"/>
          <w:szCs w:val="20"/>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that are produced through its two major subsidiaries, Holley Performance and Hot Rod Brands.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of Presentation</w:t>
      </w:r>
    </w:p>
    <w:p>
      <w:pPr>
        <w:spacing w:after="0" w:line="220" w:lineRule="exact"/>
        <w:rPr>
          <w:sz w:val="20"/>
          <w:szCs w:val="20"/>
          <w:color w:val="auto"/>
        </w:rPr>
      </w:pPr>
    </w:p>
    <w:p>
      <w:pPr>
        <w:jc w:val="both"/>
        <w:ind w:left="280"/>
        <w:spacing w:after="0" w:line="26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U.S. Securities and Exchange Commission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Holley Intermediate Holdings, Inc. audited consolidated financial statements and notes thereto for the year ended December 31, 2020, as filed with the SEC in the Company’s prospectus filed pursuant to Rule 424(b)(3) on July 28, 2021.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68"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The Company operates on a calendar year that ends on December 31, 2021 and 2020. The three and nine month periods ended September 26, 2021 and September 27, 2020 each included 13 weeks and 39 weeks,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Estimates</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areas for which management uses estimates include: (1) warranties; (2) allowance for credit losses; (3) inventory reserves; (4) asset impairments, including goodwill, intangible assets and other long-lived assets; (5) customer co-operative advertising; (6) sales returns and allowances; (7) tax positions; (8) deferred tax liabilities; and (9) fair value measurements, including equity awards and warrant and earn-out liabilities.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may consult outside experts to assist as considered necessary.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45"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experienced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COVID-19 pandemic, including variants such as Delta, not improve or worsen, or if the Company's attempt to mitigate its impact on its supply chain, operations and costs is not successful, the Company's business, results of operations, financial condition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0" w:name="page11"/>
    <w:bookmarkEnd w:id="10"/>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53"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Derivatives and Hedging-Contracts in an Entity's Own Equity. If a warrant does not meet the conditions for equity classification, it is carried in the condensed consolidated balance sheet as a warrant liability measured at fair value, with subsequent changes in the fair value of the warrant recorded in the condensed consolidated statements of comprehensive income as a non-operating expense. If a warrant meets both conditions for equity classification, the warrant is initially recorded in additional paid-in capital on the consolidated balance sheet, and the amount initially recorded is not subsequently remeasured at fair value.</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accounts for share-based awards granted to employees and nonemployees under the fair value method prescribed by ASC Subtopic 718-10, Stock Compensation. Stock-based compensation cost is measured based on the estimated grant date fair value of the award and is recognized as expense over the requisite service period. The fair value of stock options is estimated using the Black Scholes option-pricing model. The Company accounts for forfeitures as they occur.</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three-level hierarchy, which are defined as follows:</w:t>
      </w:r>
    </w:p>
    <w:p>
      <w:pPr>
        <w:spacing w:after="0" w:line="166"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3 – Significant unobservable inputs that reflect a company’s own assumptions about the assumptions that market participants would use in pricing an asset or liability.</w:t>
      </w:r>
    </w:p>
    <w:p>
      <w:pPr>
        <w:spacing w:after="0" w:line="200" w:lineRule="exact"/>
        <w:rPr>
          <w:sz w:val="20"/>
          <w:szCs w:val="20"/>
          <w:color w:val="auto"/>
        </w:rPr>
      </w:pPr>
    </w:p>
    <w:p>
      <w:pPr>
        <w:spacing w:after="0" w:line="24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1" w:name="page12"/>
    <w:bookmarkEnd w:id="11"/>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Derivative liabilities are classified on the balance sheet as current or non-current based on whether or not net-cash settlement or conversion of the instrument could be required within 12 months of the balance sheet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February 2016, the FASB issued ASU 2016-02, Leases (Topic 842). The ASU is effective for the Company for annual reporting periods beginning after December 15, 2021 and interim periods therein, with early adoption permitted. The ASU will require lessees to report most leases as assets and liabilities on the balance sheet. The Company is currently evaluating the potential impact of adopting this guidance on its financial statements.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2018, the FASB issued ASU 2018-14, Compensation – Retirements Benefits – Defined Benefit Plans – General (Subtopic 715-20). The ASU is effective for the Company for annual reporting periods beginning after December 15, 2021 with early adoption permitted. This guidance should be applied on a retrospective basis to all periods presented. The ASU will update disclosure requirements for employers that sponsor defined benefit pension or other post retirement plans. The Company is currently evaluating the potential impact of adopting this guidance on its financial statements.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2019, the FASB issued ASU 2019-12, Simplifying the Accounting for Income Taxes (Topic 740) which is intended to simplify various aspects related to accounting for income taxes. This ASU is effective for the Company for annual reporting periods beginning after December 15, 2021 and interim periods therein, with early adoption permitted. The ASU removes certain exceptions to the general principles in Topic 740 and also clarifies and amends existing guidance to improve consistent application. The Company is currently evaluating the potential impact of adopting this guidance on its financial statements.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2020, the FASB issued ASU 2020-04, Reference Rate Reform (Topic 848). The ASU provides optional expedients and exceptions for applying GAAP to contracts, hedging relationships, and other transactions affected by reference rate reform if certain criteria are met. Adoption of the provisions of ASU 2020-04 are optional and are effective from March 12, 2020 through December 31, 2022. As of September 26, 2021, the Company did not adopt any expedients or exceptions under ASU 2020-04. The Company will continue to evaluate the impact of ASU 2020-04 and whether it will apply the optional expedients and exceptions.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(Subtopic 470-20). The ASU is effective for the Company for annual reporting periods beginning after December 15, 2023 and interim periods therein, with early adoption permitted as of the beginning of the Company's annual fiscal year.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the ASU requires entities to use the “if-converted” method when calculating diluted earnings per share for convertible instruments. The Company is currently evaluating the potential impact of adopting this guidance on its financial statements.</w:t>
      </w:r>
    </w:p>
    <w:p>
      <w:pPr>
        <w:spacing w:after="0" w:line="200" w:lineRule="exact"/>
        <w:rPr>
          <w:sz w:val="20"/>
          <w:szCs w:val="20"/>
          <w:color w:val="auto"/>
        </w:rPr>
      </w:pPr>
    </w:p>
    <w:p>
      <w:pPr>
        <w:spacing w:after="0" w:line="25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280" w:right="6940" w:hanging="272"/>
        <w:spacing w:after="0" w:line="544" w:lineRule="auto"/>
        <w:tabs>
          <w:tab w:leader="none" w:pos="24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ACQUISITIONS BUSINESS COMBINATION</w:t>
      </w:r>
    </w:p>
    <w:p>
      <w:pPr>
        <w:spacing w:after="0" w:line="2"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On July 16, 2021, Holley consummated the Business Combination pursuant to the terms of the Merger Agreement, whereby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66"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Holley Parent Holdings, LLC, the sole stockholder of Holley Intermediate (the “Holley Stockholder” or “Parent”), received $264,718 in cash and 67,673,884 shares of common stock (at a deemed value of $10.00 per share). The Company’s common stock is listed on the NYSE under the symbol “HLLY.”</w:t>
      </w:r>
    </w:p>
    <w:p>
      <w:pPr>
        <w:spacing w:after="0" w:line="166" w:lineRule="exact"/>
        <w:rPr>
          <w:sz w:val="20"/>
          <w:szCs w:val="20"/>
          <w:color w:val="auto"/>
        </w:rPr>
      </w:pPr>
    </w:p>
    <w:p>
      <w:pPr>
        <w:jc w:val="both"/>
        <w:ind w:left="280"/>
        <w:spacing w:after="0" w:line="271" w:lineRule="auto"/>
        <w:rPr>
          <w:sz w:val="20"/>
          <w:szCs w:val="20"/>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63"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6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October 9, 2021 (the one-year anniversary of Empower’s initial public offering) and expire on July 16, 2026 (five years after the Closing Date). The Public Warrants are listed on the NYSE under the symbol “HLLY WS.”</w:t>
      </w:r>
    </w:p>
    <w:p>
      <w:pPr>
        <w:spacing w:after="0" w:line="166" w:lineRule="exact"/>
        <w:rPr>
          <w:sz w:val="20"/>
          <w:szCs w:val="20"/>
          <w:color w:val="auto"/>
        </w:rPr>
      </w:pPr>
    </w:p>
    <w:p>
      <w:pPr>
        <w:jc w:val="both"/>
        <w:ind w:left="300"/>
        <w:spacing w:after="0" w:line="268" w:lineRule="auto"/>
        <w:rPr>
          <w:sz w:val="20"/>
          <w:szCs w:val="20"/>
          <w:color w:val="auto"/>
        </w:rPr>
      </w:pPr>
      <w:r>
        <w:rPr>
          <w:rFonts w:ascii="Arial" w:cs="Arial" w:eastAsia="Arial" w:hAnsi="Arial"/>
          <w:sz w:val="18"/>
          <w:szCs w:val="18"/>
          <w:color w:val="auto"/>
        </w:rPr>
        <w:t>Additionally, Empower Sponsor Holdings LLC (the "Sponsor") may be entitled to receive up to 2,187,500 shares of the Company’s common stock vesting in two equal tranches upon achieving certain market share price milestones as outlined in the Merger Agreement during the earn-out period (“the “Earn-Out Shares”). The Earn-Out Shares will be forfeited if the applicable conditions are not satisfied before July 16, 2028 (seven years after the Closing Date). The earnout is classified as a liability in the condensed consolidated balance sheet and is remeasured at fair value with changes in the post-Business Combination fair value recognized in the Company’s condensed consolidated statement of comprehensive income as non-operating expense.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current shareholders of Holley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2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The following table reconciles the elements of the Business Combination to the condensed consolidated statements of cash flows for the 39-week period ended September 26, 2021:</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8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rPr>
              <w:t>Recapitalization</w:t>
            </w:r>
          </w:p>
        </w:tc>
      </w:tr>
      <w:tr>
        <w:trPr>
          <w:trHeight w:val="243"/>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 Empower's trust and cash (net of redemptions of $99,353 and</w:t>
            </w:r>
          </w:p>
        </w:tc>
        <w:tc>
          <w:tcPr>
            <w:tcW w:w="240" w:type="dxa"/>
            <w:vAlign w:val="bottom"/>
            <w:tcBorders>
              <w:top w:val="single" w:sz="8" w:color="auto"/>
            </w:tcBorders>
            <w:shd w:val="clear" w:color="auto" w:fill="CFF0FC"/>
          </w:tcPr>
          <w:p>
            <w:pPr>
              <w:spacing w:after="0"/>
              <w:rPr>
                <w:sz w:val="21"/>
                <w:szCs w:val="21"/>
                <w:color w:val="auto"/>
              </w:rPr>
            </w:pPr>
          </w:p>
        </w:tc>
        <w:tc>
          <w:tcPr>
            <w:tcW w:w="1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transaction costs of $44,314)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107,042</w:t>
            </w:r>
          </w:p>
        </w:tc>
        <w:tc>
          <w:tcPr>
            <w:tcW w:w="120" w:type="dxa"/>
            <w:vAlign w:val="bottom"/>
            <w:shd w:val="clear" w:color="auto" w:fill="CFF0FC"/>
          </w:tcPr>
          <w:p>
            <w:pPr>
              <w:spacing w:after="0"/>
              <w:rPr>
                <w:sz w:val="21"/>
                <w:szCs w:val="21"/>
                <w:color w:val="auto"/>
              </w:rPr>
            </w:pPr>
          </w:p>
        </w:tc>
      </w:tr>
      <w:tr>
        <w:trPr>
          <w:trHeight w:val="250"/>
        </w:trPr>
        <w:tc>
          <w:tcPr>
            <w:tcW w:w="8720" w:type="dxa"/>
            <w:vAlign w:val="bottom"/>
          </w:tcPr>
          <w:p>
            <w:pPr>
              <w:ind w:left="20"/>
              <w:spacing w:after="0"/>
              <w:rPr>
                <w:sz w:val="20"/>
                <w:szCs w:val="20"/>
                <w:color w:val="auto"/>
              </w:rPr>
            </w:pPr>
            <w:r>
              <w:rPr>
                <w:rFonts w:ascii="Arial" w:cs="Arial" w:eastAsia="Arial" w:hAnsi="Arial"/>
                <w:sz w:val="18"/>
                <w:szCs w:val="18"/>
                <w:color w:val="auto"/>
              </w:rPr>
              <w:t>Cash - Forward Purchase Agreement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r>
      <w:tr>
        <w:trPr>
          <w:trHeight w:val="257"/>
        </w:trPr>
        <w:tc>
          <w:tcPr>
            <w:tcW w:w="8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 PIPE Financing</w:t>
            </w:r>
          </w:p>
        </w:tc>
        <w:tc>
          <w:tcPr>
            <w:tcW w:w="24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8720" w:type="dxa"/>
            <w:vAlign w:val="bottom"/>
          </w:tcPr>
          <w:p>
            <w:pPr>
              <w:ind w:left="20"/>
              <w:spacing w:after="0"/>
              <w:rPr>
                <w:sz w:val="20"/>
                <w:szCs w:val="20"/>
                <w:color w:val="auto"/>
              </w:rPr>
            </w:pPr>
            <w:r>
              <w:rPr>
                <w:rFonts w:ascii="Arial" w:cs="Arial" w:eastAsia="Arial" w:hAnsi="Arial"/>
                <w:sz w:val="18"/>
                <w:szCs w:val="18"/>
                <w:color w:val="auto"/>
              </w:rPr>
              <w:t>Net cash provided by Business Combination and PIPE Financing</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397,042</w:t>
            </w:r>
          </w:p>
        </w:tc>
        <w:tc>
          <w:tcPr>
            <w:tcW w:w="120" w:type="dxa"/>
            <w:vAlign w:val="bottom"/>
          </w:tcPr>
          <w:p>
            <w:pPr>
              <w:spacing w:after="0"/>
              <w:rPr>
                <w:sz w:val="21"/>
                <w:szCs w:val="21"/>
                <w:color w:val="auto"/>
              </w:rPr>
            </w:pPr>
          </w:p>
        </w:tc>
      </w:tr>
      <w:tr>
        <w:trPr>
          <w:trHeight w:val="257"/>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cash consideration paid to Holley Stockholder</w:t>
            </w:r>
          </w:p>
        </w:tc>
        <w:tc>
          <w:tcPr>
            <w:tcW w:w="2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(264,718 )</w:t>
            </w:r>
          </w:p>
        </w:tc>
      </w:tr>
      <w:tr>
        <w:trPr>
          <w:trHeight w:val="250"/>
        </w:trPr>
        <w:tc>
          <w:tcPr>
            <w:tcW w:w="8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contributions from Business Combination and PIPE Financing</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132,324</w:t>
            </w:r>
          </w:p>
        </w:tc>
        <w:tc>
          <w:tcPr>
            <w:tcW w:w="120" w:type="dxa"/>
            <w:vAlign w:val="bottom"/>
            <w:tcBorders>
              <w:top w:val="single" w:sz="8" w:color="CFF0FC"/>
            </w:tcBorders>
          </w:tcPr>
          <w:p>
            <w:pPr>
              <w:spacing w:after="0"/>
              <w:rPr>
                <w:sz w:val="21"/>
                <w:szCs w:val="21"/>
                <w:color w:val="auto"/>
              </w:rPr>
            </w:pPr>
          </w:p>
        </w:tc>
      </w:tr>
      <w:tr>
        <w:trPr>
          <w:trHeight w:val="20"/>
        </w:trPr>
        <w:tc>
          <w:tcPr>
            <w:tcW w:w="8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6882130</wp:posOffset>
            </wp:positionH>
            <wp:positionV relativeFrom="paragraph">
              <wp:posOffset>-527685</wp:posOffset>
            </wp:positionV>
            <wp:extent cx="7747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6882130</wp:posOffset>
            </wp:positionH>
            <wp:positionV relativeFrom="paragraph">
              <wp:posOffset>-193675</wp:posOffset>
            </wp:positionV>
            <wp:extent cx="7747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Drake Automotive Group LLC</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On November 11, 2020, the Company acquired Drake Automotive Group LLC (“Drake”). The purchase price was $49,104. The Company acquired 100% of the outstanding member units of Drake. The Company purchased Drake in order to acquire strong brands in the automotive aftermarket. The transaction was accounted for as a business combination under the acquisition method of accounting. Accordingly, the purchase price has been allocated based upon the fair value of the assets acquired and liabilities assumed. Consideration for the assets acquired consisted of cash payments of $47,104 plus an earn-out value of $2,000. The acquisition resulted in both amortizable and non-amortizable intangibles and goodwill, totaling $32,441. The goodwill arising from the acquisition is primarily due to Drake’s strong market position. The goodwill and intangibles generated as a result of this acquisition are deductible for income tax purposes. The purchase price was funded from the proceeds of debt and cash on hand.</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purchase agreement included a potential contingent payment based on 2020 performance. The seller could earn up to an additional $2,000. The fair value of this contingent payment was determined to be $2,000 based on the likelihood of achieving the required financial performance at the time of the valuation. The earn-out payment of $2,000 was paid in March 2021.</w:t>
      </w:r>
    </w:p>
    <w:p>
      <w:pPr>
        <w:spacing w:after="0" w:line="200" w:lineRule="exact"/>
        <w:rPr>
          <w:sz w:val="20"/>
          <w:szCs w:val="20"/>
          <w:color w:val="auto"/>
        </w:rPr>
      </w:pPr>
    </w:p>
    <w:p>
      <w:pPr>
        <w:spacing w:after="0" w:line="2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4" w:name="page15"/>
    <w:bookmarkEnd w:id="14"/>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14,198</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(2,524 )</w:t>
            </w:r>
          </w:p>
        </w:tc>
      </w:tr>
      <w:tr>
        <w:trPr>
          <w:trHeight w:val="256"/>
        </w:trPr>
        <w:tc>
          <w:tcPr>
            <w:tcW w:w="92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(648 )</w:t>
            </w:r>
          </w:p>
        </w:tc>
      </w:tr>
      <w:tr>
        <w:trPr>
          <w:trHeight w:val="283"/>
        </w:trPr>
        <w:tc>
          <w:tcPr>
            <w:tcW w:w="9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6891020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6891020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left="20"/>
        <w:spacing w:after="0" w:line="269"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$4,155.</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Simpson Performance Products, Inc.</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On November 16, 2020, the Company acquired Simpson Performance Products, Inc. (“Simpson”). The purchase price was $117,409. The Company acquired 100% of the outstanding common stock of Simpson. The Company purchased Simpson in order to acquire strong brands in the automotive safety solutions market. The transaction was accounted for as a business combination under the acquisition method of accounting. Accordingly, the purchase price has been allocated based upon the fair value of the assets acquired and liabilities assumed. Consideration for the assets acquired consisted of cash payments of $110,209 and an earnout initially valued at $7,200. The acquisition resulted in both amortizable and non-amortizable intangibles and goodwill, totaling $107,618. The goodwill arising from the acquisition is primarily due to Simpson’s strong market position. The goodwill and intangibles generated as a result of this acquisition are not deductible for income tax purposes. The purchase price was funded from the proceeds of debt and cash on hand.</w:t>
      </w:r>
    </w:p>
    <w:p>
      <w:pPr>
        <w:spacing w:after="0" w:line="169"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The purchase agreement included a potential contingent payment based on the performance for the twelve months ended October 3, 2021. The seller could earn up to an additional $25,000. The fair value of this contingent payment was initially determined to be $7,200 using the “Bull Call” option strategy utilizing the option values from the Black-Scholes Option Pricing Model. Based on actual performance and updated projections of Simpson’s performance for the earn-out period, the fair value of the contingent payment was determined to be $24,373 as of March 28, 2021. Therefore, during the thirteen weeks ended March 28, 2021, an adjustment of $17,173 was recorded as expense, which is recognized in acquisition and restructuring costs in the condensed consolidated statement of comprehensive income for the 39-week period ended September 26, 2021.</w:t>
      </w:r>
    </w:p>
    <w:p>
      <w:pPr>
        <w:spacing w:after="0" w:line="200" w:lineRule="exact"/>
        <w:rPr>
          <w:sz w:val="20"/>
          <w:szCs w:val="20"/>
          <w:color w:val="auto"/>
        </w:rPr>
      </w:pP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5" w:name="page16"/>
    <w:bookmarkEnd w:id="15"/>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finished goods inventory, as noted below. The allocation of the purchase price to the assets acquired and liabilities assumed was based on estimates of the fair value of the net assets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November 16, 2020</w:t>
            </w:r>
          </w:p>
        </w:tc>
        <w:tc>
          <w:tcPr>
            <w:tcW w:w="2120" w:type="dxa"/>
            <w:vAlign w:val="bottom"/>
            <w:gridSpan w:val="3"/>
          </w:tcPr>
          <w:p>
            <w:pPr>
              <w:ind w:left="20"/>
              <w:spacing w:after="0"/>
              <w:rPr>
                <w:sz w:val="20"/>
                <w:szCs w:val="20"/>
                <w:color w:val="auto"/>
              </w:rPr>
            </w:pPr>
            <w:r>
              <w:rPr>
                <w:rFonts w:ascii="Arial" w:cs="Arial" w:eastAsia="Arial" w:hAnsi="Arial"/>
                <w:sz w:val="18"/>
                <w:szCs w:val="18"/>
                <w:color w:val="auto"/>
              </w:rPr>
              <w:t>Measurement Period</w:t>
            </w:r>
          </w:p>
        </w:tc>
        <w:tc>
          <w:tcPr>
            <w:tcW w:w="1760" w:type="dxa"/>
            <w:vAlign w:val="bottom"/>
            <w:gridSpan w:val="3"/>
          </w:tcPr>
          <w:p>
            <w:pPr>
              <w:spacing w:after="0"/>
              <w:rPr>
                <w:sz w:val="20"/>
                <w:szCs w:val="20"/>
                <w:color w:val="auto"/>
              </w:rPr>
            </w:pPr>
            <w:r>
              <w:rPr>
                <w:rFonts w:ascii="Arial" w:cs="Arial" w:eastAsia="Arial" w:hAnsi="Arial"/>
                <w:sz w:val="18"/>
                <w:szCs w:val="18"/>
                <w:color w:val="auto"/>
              </w:rPr>
              <w:t>November 16, 2020</w:t>
            </w:r>
          </w:p>
        </w:tc>
      </w:tr>
      <w:tr>
        <w:trPr>
          <w:trHeight w:val="236"/>
        </w:trPr>
        <w:tc>
          <w:tcPr>
            <w:tcW w:w="4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initially reported)</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(as adjusted)</w:t>
            </w:r>
          </w:p>
        </w:tc>
        <w:tc>
          <w:tcPr>
            <w:tcW w:w="120" w:type="dxa"/>
            <w:vAlign w:val="bottom"/>
          </w:tcPr>
          <w:p>
            <w:pPr>
              <w:spacing w:after="0"/>
              <w:rPr>
                <w:sz w:val="20"/>
                <w:szCs w:val="20"/>
                <w:color w:val="auto"/>
              </w:rPr>
            </w:pPr>
          </w:p>
        </w:tc>
      </w:tr>
      <w:tr>
        <w:trPr>
          <w:trHeight w:val="25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7,715</w:t>
            </w:r>
          </w:p>
        </w:tc>
        <w:tc>
          <w:tcPr>
            <w:tcW w:w="12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(770 )</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18,495</w:t>
            </w:r>
          </w:p>
        </w:tc>
        <w:tc>
          <w:tcPr>
            <w:tcW w:w="12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5,952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23,980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23,980</w:t>
            </w:r>
          </w:p>
        </w:tc>
        <w:tc>
          <w:tcPr>
            <w:tcW w:w="12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28,770</w:t>
            </w:r>
          </w:p>
        </w:tc>
        <w:tc>
          <w:tcPr>
            <w:tcW w:w="12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52,148</w:t>
            </w:r>
          </w:p>
        </w:tc>
        <w:tc>
          <w:tcPr>
            <w:tcW w:w="12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(2,483 )</w:t>
            </w: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(2,483 )</w:t>
            </w: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(7,787 )</w:t>
            </w:r>
          </w:p>
        </w:tc>
        <w:tc>
          <w:tcPr>
            <w:tcW w:w="2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(7,787 )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1"/>
                <w:szCs w:val="21"/>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(12,993 )</w:t>
            </w:r>
          </w:p>
        </w:tc>
        <w:tc>
          <w:tcPr>
            <w:tcW w:w="26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(12,993 )</w:t>
            </w: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(4,615 )</w:t>
            </w:r>
          </w:p>
        </w:tc>
        <w:tc>
          <w:tcPr>
            <w:tcW w:w="2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(4,615 )</w:t>
            </w:r>
          </w:p>
        </w:tc>
      </w:tr>
      <w:tr>
        <w:trPr>
          <w:trHeight w:val="244"/>
        </w:trPr>
        <w:tc>
          <w:tcPr>
            <w:tcW w:w="490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117,336</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117,409</w:t>
            </w:r>
          </w:p>
        </w:tc>
        <w:tc>
          <w:tcPr>
            <w:tcW w:w="120" w:type="dxa"/>
            <w:vAlign w:val="bottom"/>
            <w:tcBorders>
              <w:top w:val="single" w:sz="8" w:color="CFF0FC"/>
            </w:tcBorders>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-193675</wp:posOffset>
            </wp:positionV>
            <wp:extent cx="1460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-193675</wp:posOffset>
            </wp:positionV>
            <wp:extent cx="21463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6882130</wp:posOffset>
            </wp:positionH>
            <wp:positionV relativeFrom="paragraph">
              <wp:posOffset>-193675</wp:posOffset>
            </wp:positionV>
            <wp:extent cx="774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22"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10 years based on the weighted average remaining life of the patent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$3,894.</w:t>
      </w: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6" w:name="page17"/>
    <w:bookmarkEnd w:id="16"/>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Detroit Speed, Inc.</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On December 18, 2020, the Company acquired Detroit Speed, Inc. (“Detroit Speed”). The purchase price was $11,297. The Company acquired substantially all of the assets and liabilities of Detroit Speed. The Company purchased Detroit Speed in order to acquire strong brands in the automotive aftermarket. The transaction was accounted for as a business combination under the acquisition method of accounting. Accordingly, the purchase price has been allocated based upon the fair value of the assets acquired and liabilities assumed. Consideration for the assets acquired includes cash payments of $9,297 and Class A Units of Parent of $2,000. The acquisition resulted in both amortizable and non-amortizable intangibles and goodwill, totaling $4,323. The goodwill arising from the acquisition is primarily due to Detroit Speed’s strong market position. The goodwill and intangibles generated as a result of this acquisition are partially deductible for income tax purposes. The purchase price was funded from cash on hand and distribution of Class A Units of Parent.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(668 )</w:t>
            </w: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(1,019 )</w:t>
            </w: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5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(274 )</w:t>
            </w:r>
          </w:p>
        </w:tc>
      </w:tr>
      <w:tr>
        <w:trPr>
          <w:trHeight w:val="243"/>
        </w:trPr>
        <w:tc>
          <w:tcPr>
            <w:tcW w:w="9260" w:type="dxa"/>
            <w:vAlign w:val="bottom"/>
            <w:tcBorders>
              <w:top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tcBorders>
              <w:top w:val="single" w:sz="8" w:color="CFF0FC"/>
            </w:tcBorders>
          </w:tcPr>
          <w:p>
            <w:pPr>
              <w:spacing w:after="0"/>
              <w:rPr>
                <w:sz w:val="21"/>
                <w:szCs w:val="21"/>
                <w:color w:val="auto"/>
              </w:rPr>
            </w:pPr>
          </w:p>
        </w:tc>
      </w:tr>
      <w:tr>
        <w:trPr>
          <w:trHeight w:val="20"/>
        </w:trPr>
        <w:tc>
          <w:tcPr>
            <w:tcW w:w="9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6891020</wp:posOffset>
            </wp:positionH>
            <wp:positionV relativeFrom="paragraph">
              <wp:posOffset>-193675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10 years. The fair value of the acquired tradenames intangible asset was estimated using the relief from royalty method, a form of the income approach. The tradenames were determined to have an indefinite life.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$418.</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On April 14, 2021, the Company acquired Advance Engine Management Inc. doing business as AEM Performance Electronics (“AEM”). The purchase price was cash consideration of $51,243. The Company acquired substantially all of the assets and liabilities of AEM. The Company purchased AEM in order to acquire strong brands in the automotive aftermarket. The transaction was accounted for as a business combination under the acquisition method of accounting. Accordingly, the purchase price has been allocated based upon the fair value of the assets acquired and liabilities assumed. The acquisition resulted in both amortizable and non-amortizable intangibles and goodwill, totaling $44,906. The goodwill arising from the acquisition is primarily due to AEM’s strong market position. The goodwill and intangibles generated as a result of this acquisition are deductible for income tax purposes. The purchase price was funded from cash on hand.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7" w:name="page18"/>
    <w:bookmarkEnd w:id="17"/>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right"/>
              <w:ind w:right="720"/>
              <w:spacing w:after="0"/>
              <w:rPr>
                <w:sz w:val="20"/>
                <w:szCs w:val="20"/>
                <w:color w:val="auto"/>
              </w:rPr>
            </w:pPr>
            <w:r>
              <w:rPr>
                <w:rFonts w:ascii="Arial" w:cs="Arial" w:eastAsia="Arial" w:hAnsi="Arial"/>
                <w:sz w:val="18"/>
                <w:szCs w:val="18"/>
                <w:color w:val="auto"/>
              </w:rPr>
              <w:t>April 14, 2021 (as</w:t>
            </w:r>
          </w:p>
        </w:tc>
        <w:tc>
          <w:tcPr>
            <w:tcW w:w="20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Measurement</w:t>
            </w:r>
          </w:p>
        </w:tc>
        <w:tc>
          <w:tcPr>
            <w:tcW w:w="140" w:type="dxa"/>
            <w:vAlign w:val="bottom"/>
          </w:tcPr>
          <w:p>
            <w:pPr>
              <w:spacing w:after="0"/>
              <w:rPr>
                <w:sz w:val="18"/>
                <w:szCs w:val="18"/>
                <w:color w:val="auto"/>
              </w:rPr>
            </w:pPr>
          </w:p>
        </w:tc>
        <w:tc>
          <w:tcPr>
            <w:tcW w:w="18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April 14, 2021 (as</w:t>
            </w:r>
          </w:p>
        </w:tc>
      </w:tr>
      <w:tr>
        <w:trPr>
          <w:trHeight w:val="236"/>
        </w:trPr>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initially reported)</w:t>
            </w:r>
          </w:p>
        </w:tc>
        <w:tc>
          <w:tcPr>
            <w:tcW w:w="460" w:type="dxa"/>
            <w:vAlign w:val="bottom"/>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Period Adjustments</w:t>
            </w: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adjusted)</w:t>
            </w:r>
          </w:p>
        </w:tc>
        <w:tc>
          <w:tcPr>
            <w:tcW w:w="240" w:type="dxa"/>
            <w:vAlign w:val="bottom"/>
          </w:tcPr>
          <w:p>
            <w:pPr>
              <w:spacing w:after="0"/>
              <w:rPr>
                <w:sz w:val="20"/>
                <w:szCs w:val="20"/>
                <w:color w:val="auto"/>
              </w:rPr>
            </w:pPr>
          </w:p>
        </w:tc>
      </w:tr>
      <w:tr>
        <w:trPr>
          <w:trHeight w:val="257"/>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(61 )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24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3,892</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3,892</w:t>
            </w:r>
          </w:p>
        </w:tc>
        <w:tc>
          <w:tcPr>
            <w:tcW w:w="24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ind w:right="480"/>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Tradenames</w:t>
            </w:r>
          </w:p>
        </w:tc>
        <w:tc>
          <w:tcPr>
            <w:tcW w:w="1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24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14,640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14,640</w:t>
            </w:r>
          </w:p>
        </w:tc>
        <w:tc>
          <w:tcPr>
            <w:tcW w:w="24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24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Technology intangibles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17,426</w:t>
            </w:r>
          </w:p>
        </w:tc>
        <w:tc>
          <w:tcPr>
            <w:tcW w:w="4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(420 )</w:t>
            </w:r>
          </w:p>
        </w:tc>
        <w:tc>
          <w:tcPr>
            <w:tcW w:w="14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w:t>
            </w:r>
          </w:p>
        </w:tc>
        <w:tc>
          <w:tcPr>
            <w:tcW w:w="24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(2,032 )</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(1,922 )</w:t>
            </w: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22"/>
                <w:szCs w:val="22"/>
                <w:color w:val="auto"/>
              </w:rPr>
            </w:pPr>
          </w:p>
        </w:tc>
        <w:tc>
          <w:tcPr>
            <w:tcW w:w="21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(489 )</w:t>
            </w:r>
          </w:p>
        </w:tc>
        <w:tc>
          <w:tcPr>
            <w:tcW w:w="2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(350 )</w:t>
            </w:r>
          </w:p>
        </w:tc>
      </w:tr>
      <w:tr>
        <w:trPr>
          <w:trHeight w:val="20"/>
        </w:trPr>
        <w:tc>
          <w:tcPr>
            <w:tcW w:w="4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51,566</w:t>
            </w:r>
          </w:p>
        </w:tc>
        <w:tc>
          <w:tcPr>
            <w:tcW w:w="4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480"/>
              <w:spacing w:after="0"/>
              <w:rPr>
                <w:sz w:val="20"/>
                <w:szCs w:val="20"/>
                <w:color w:val="auto"/>
              </w:rPr>
            </w:pPr>
            <w:r>
              <w:rPr>
                <w:rFonts w:ascii="Arial" w:cs="Arial" w:eastAsia="Arial" w:hAnsi="Arial"/>
                <w:sz w:val="18"/>
                <w:szCs w:val="18"/>
                <w:color w:val="auto"/>
              </w:rPr>
              <w:t>(323 )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51,243</w:t>
            </w:r>
          </w:p>
        </w:tc>
        <w:tc>
          <w:tcPr>
            <w:tcW w:w="240" w:type="dxa"/>
            <w:vAlign w:val="bottom"/>
          </w:tcPr>
          <w:p>
            <w:pPr>
              <w:spacing w:after="0"/>
              <w:rPr>
                <w:sz w:val="23"/>
                <w:szCs w:val="23"/>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-210820</wp:posOffset>
            </wp:positionV>
            <wp:extent cx="29146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-210820</wp:posOffset>
            </wp:positionV>
            <wp:extent cx="3429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-210820</wp:posOffset>
            </wp:positionV>
            <wp:extent cx="15430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22"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Company’s results for the 13-week and 39-week periods ended September 26, 2021 include $5,904 and $11,341 of net sales, respectively, and $896 and $1,583 of net income, respectively, from AEM since the date of acquisition. The Company incurred transaction costs in the amount of $46 and $2,251, which are reflected in operating expenses in the 13-week and 39-week periods ended September 26, 2021, respectively.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unaudited consolidated pro forma results for the periods presented as if AEM had been acquired as of January 1, 2020.</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28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For the thirteen weeks ended</w:t>
            </w: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For the thirty-nine weeks ended</w:t>
            </w:r>
          </w:p>
        </w:tc>
        <w:tc>
          <w:tcPr>
            <w:tcW w:w="80" w:type="dxa"/>
            <w:vAlign w:val="bottom"/>
          </w:tcPr>
          <w:p>
            <w:pPr>
              <w:spacing w:after="0"/>
              <w:rPr>
                <w:sz w:val="19"/>
                <w:szCs w:val="19"/>
                <w:color w:val="auto"/>
              </w:rPr>
            </w:pPr>
          </w:p>
        </w:tc>
      </w:tr>
      <w:tr>
        <w:trPr>
          <w:trHeight w:val="250"/>
        </w:trPr>
        <w:tc>
          <w:tcPr>
            <w:tcW w:w="2860" w:type="dxa"/>
            <w:vAlign w:val="bottom"/>
          </w:tcPr>
          <w:p>
            <w:pPr>
              <w:spacing w:after="0"/>
              <w:rPr>
                <w:sz w:val="21"/>
                <w:szCs w:val="21"/>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32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30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300" w:type="dxa"/>
            <w:vAlign w:val="bottom"/>
          </w:tcPr>
          <w:p>
            <w:pPr>
              <w:spacing w:after="0"/>
              <w:rPr>
                <w:sz w:val="21"/>
                <w:szCs w:val="21"/>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80" w:type="dxa"/>
            <w:vAlign w:val="bottom"/>
          </w:tcPr>
          <w:p>
            <w:pPr>
              <w:spacing w:after="0"/>
              <w:rPr>
                <w:sz w:val="21"/>
                <w:szCs w:val="21"/>
                <w:color w:val="auto"/>
              </w:rPr>
            </w:pPr>
          </w:p>
        </w:tc>
      </w:tr>
      <w:tr>
        <w:trPr>
          <w:trHeight w:val="257"/>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net sales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159,673</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140,195</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521,836</w:t>
            </w:r>
          </w:p>
        </w:tc>
        <w:tc>
          <w:tcPr>
            <w:tcW w:w="3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384,237</w:t>
            </w:r>
          </w:p>
        </w:tc>
        <w:tc>
          <w:tcPr>
            <w:tcW w:w="80" w:type="dxa"/>
            <w:vAlign w:val="bottom"/>
            <w:shd w:val="clear" w:color="auto" w:fill="CFF0FC"/>
          </w:tcPr>
          <w:p>
            <w:pPr>
              <w:spacing w:after="0"/>
              <w:rPr>
                <w:sz w:val="22"/>
                <w:szCs w:val="22"/>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44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(30,200 )</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15,045</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(6,906 )</w:t>
            </w: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33,195</w:t>
            </w:r>
          </w:p>
        </w:tc>
        <w:tc>
          <w:tcPr>
            <w:tcW w:w="80" w:type="dxa"/>
            <w:vAlign w:val="bottom"/>
          </w:tcPr>
          <w:p>
            <w:pPr>
              <w:spacing w:after="0"/>
              <w:rPr>
                <w:sz w:val="21"/>
                <w:szCs w:val="21"/>
                <w:color w:val="auto"/>
              </w:rPr>
            </w:pPr>
          </w:p>
        </w:tc>
      </w:tr>
    </w:tbl>
    <w:p>
      <w:pPr>
        <w:spacing w:after="0" w:line="256" w:lineRule="exact"/>
        <w:rPr>
          <w:sz w:val="20"/>
          <w:szCs w:val="20"/>
          <w:color w:val="auto"/>
        </w:rPr>
      </w:pPr>
    </w:p>
    <w:p>
      <w:pPr>
        <w:jc w:val="both"/>
        <w:ind w:left="20"/>
        <w:spacing w:after="0" w:line="269" w:lineRule="auto"/>
        <w:rPr>
          <w:sz w:val="20"/>
          <w:szCs w:val="20"/>
          <w:color w:val="auto"/>
        </w:rPr>
      </w:pPr>
      <w:r>
        <w:rPr>
          <w:rFonts w:ascii="Arial" w:cs="Arial" w:eastAsia="Arial" w:hAnsi="Arial"/>
          <w:sz w:val="18"/>
          <w:szCs w:val="18"/>
          <w:color w:val="auto"/>
        </w:rPr>
        <w:t>The pro forma results include the effects of the amortization of purchased intangible assets and acquired inventory step-up. The pro forma results are based upon unaudited financial information of the acquired entity and are presented for informational purposes only and are not necessarily indicative of the results of future operations or the results that would have occurred had the acquisitions taken place in the periods noted.</w:t>
      </w:r>
    </w:p>
    <w:p>
      <w:pPr>
        <w:spacing w:after="0" w:line="200" w:lineRule="exact"/>
        <w:rPr>
          <w:sz w:val="20"/>
          <w:szCs w:val="20"/>
          <w:color w:val="auto"/>
        </w:rPr>
      </w:pPr>
    </w:p>
    <w:p>
      <w:pPr>
        <w:spacing w:after="0" w:line="2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Finspeed LLC</w:t>
      </w:r>
    </w:p>
    <w:p>
      <w:pPr>
        <w:spacing w:after="0" w:line="153"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On May 24, 2021, the Company acquired Finspeed LLC (“Finspeed”). The purchase price was cash consideration of $2,505. The Company acquired substantially all of the assets and liabilities of Finspeed. The transaction was accounted for as a business combination under the acquisition method of accounting. Accordingly, the purchase price has been allocated based upon the fair value of the assets acquired and liabilities assumed. The acquisition resulted in non-amortizable intangibles of $268. The purchase price was funded from cash on hand.</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Classic Instruments LLC</w:t>
      </w:r>
    </w:p>
    <w:p>
      <w:pPr>
        <w:spacing w:after="0" w:line="153"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On August 31, 2021, the Company acquired Classic Instruments LLC ("Classic Instruments"). The purchase price was cash consideration of $6,120. The Company acquired substantially all of the assets and liabilities of Classic Instruments. The transaction was accounted for as a business combination under the acquisition method of accounting. Accordingly, the purchase price has been allocated based upon the fair value of the assets acquired and liabilities assumed. The determination of the purchase price allocation to specific assets acquired and liabilities assumed is incomplete for Classic Instruments. The acquisition resulted in intangibles and goodwill of approximately $4,912. The purchase price was funded from cash on hand.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3. INVENTORY</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Inventories of the Company consisted of the following:</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26,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48,665</w:t>
            </w:r>
          </w:p>
        </w:tc>
        <w:tc>
          <w:tcPr>
            <w:tcW w:w="3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18,960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96,718</w:t>
            </w:r>
          </w:p>
        </w:tc>
        <w:tc>
          <w:tcPr>
            <w:tcW w:w="3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164,343</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Property, plant and equipment of the Company consisted of the following:</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September 26,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FF0FC"/>
          </w:tcPr>
          <w:p>
            <w:pPr>
              <w:spacing w:after="0"/>
              <w:rPr>
                <w:sz w:val="22"/>
                <w:szCs w:val="22"/>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10,123</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47,042</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17,906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76,401</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26,008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40" w:type="dxa"/>
            <w:vAlign w:val="bottom"/>
          </w:tcPr>
          <w:p>
            <w:pPr>
              <w:spacing w:after="0"/>
              <w:rPr>
                <w:sz w:val="24"/>
                <w:szCs w:val="24"/>
                <w:color w:val="auto"/>
              </w:rPr>
            </w:pPr>
          </w:p>
        </w:tc>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50,393</w:t>
            </w:r>
          </w:p>
        </w:tc>
        <w:tc>
          <w:tcPr>
            <w:tcW w:w="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September 26,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2021</w:t>
            </w: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spacing w:after="0"/>
              <w:rPr>
                <w:sz w:val="22"/>
                <w:szCs w:val="22"/>
                <w:color w:val="auto"/>
              </w:rPr>
            </w:pPr>
          </w:p>
        </w:tc>
        <w:tc>
          <w:tcPr>
            <w:tcW w:w="5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48,359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2,034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40" w:type="dxa"/>
            <w:vAlign w:val="bottom"/>
          </w:tcPr>
          <w:p>
            <w:pPr>
              <w:spacing w:after="0"/>
              <w:rPr>
                <w:sz w:val="24"/>
                <w:szCs w:val="24"/>
                <w:color w:val="auto"/>
              </w:rPr>
            </w:pPr>
          </w:p>
        </w:tc>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5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50,393</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-3733800</wp:posOffset>
            </wp:positionV>
            <wp:extent cx="19685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-3733800</wp:posOffset>
            </wp:positionV>
            <wp:extent cx="596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-1319530</wp:posOffset>
            </wp:positionV>
            <wp:extent cx="1803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-1302385</wp:posOffset>
            </wp:positionV>
            <wp:extent cx="1803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-1319530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-1302385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171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71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5. GOODWILL AND OTHER INTANGIBLE ASSETS</w:t>
            </w:r>
          </w:p>
        </w:tc>
        <w:tc>
          <w:tcPr>
            <w:tcW w:w="3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The following presents changes to goodwill for the period indicated:</w:t>
            </w: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jc w:val="right"/>
              <w:ind w:right="510"/>
              <w:spacing w:after="0"/>
              <w:rPr>
                <w:sz w:val="20"/>
                <w:szCs w:val="20"/>
                <w:color w:val="auto"/>
              </w:rPr>
            </w:pPr>
            <w:r>
              <w:rPr>
                <w:rFonts w:ascii="Arial" w:cs="Arial" w:eastAsia="Arial" w:hAnsi="Arial"/>
                <w:sz w:val="18"/>
                <w:szCs w:val="18"/>
                <w:color w:val="auto"/>
              </w:rPr>
              <w:t>For the thirty-nine weeks</w:t>
            </w:r>
          </w:p>
        </w:tc>
        <w:tc>
          <w:tcPr>
            <w:tcW w:w="100" w:type="dxa"/>
            <w:vAlign w:val="bottom"/>
          </w:tcPr>
          <w:p>
            <w:pPr>
              <w:spacing w:after="0"/>
              <w:rPr>
                <w:sz w:val="24"/>
                <w:szCs w:val="24"/>
                <w:color w:val="auto"/>
              </w:rPr>
            </w:pPr>
          </w:p>
        </w:tc>
      </w:tr>
      <w:tr>
        <w:trPr>
          <w:trHeight w:val="236"/>
        </w:trPr>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ended September 26, 2021</w:t>
            </w:r>
          </w:p>
        </w:tc>
        <w:tc>
          <w:tcPr>
            <w:tcW w:w="100" w:type="dxa"/>
            <w:vAlign w:val="bottom"/>
          </w:tcPr>
          <w:p>
            <w:pPr>
              <w:spacing w:after="0"/>
              <w:rPr>
                <w:sz w:val="20"/>
                <w:szCs w:val="20"/>
                <w:color w:val="auto"/>
              </w:rPr>
            </w:pPr>
          </w:p>
        </w:tc>
      </w:tr>
      <w:tr>
        <w:trPr>
          <w:trHeight w:val="257"/>
        </w:trPr>
        <w:tc>
          <w:tcPr>
            <w:tcW w:w="340" w:type="dxa"/>
            <w:vAlign w:val="bottom"/>
          </w:tcPr>
          <w:p>
            <w:pPr>
              <w:spacing w:after="0"/>
              <w:rPr>
                <w:sz w:val="22"/>
                <w:szCs w:val="22"/>
                <w:color w:val="auto"/>
              </w:rPr>
            </w:pPr>
          </w:p>
        </w:tc>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359,099</w:t>
            </w:r>
          </w:p>
        </w:tc>
        <w:tc>
          <w:tcPr>
            <w:tcW w:w="100" w:type="dxa"/>
            <w:vAlign w:val="bottom"/>
            <w:shd w:val="clear" w:color="auto" w:fill="CFF0FC"/>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Advance Engine Management acquisition</w:t>
            </w:r>
          </w:p>
        </w:tc>
        <w:tc>
          <w:tcPr>
            <w:tcW w:w="30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17,426</w:t>
            </w:r>
          </w:p>
        </w:tc>
        <w:tc>
          <w:tcPr>
            <w:tcW w:w="100" w:type="dxa"/>
            <w:vAlign w:val="bottom"/>
          </w:tcPr>
          <w:p>
            <w:pPr>
              <w:spacing w:after="0"/>
              <w:rPr>
                <w:sz w:val="21"/>
                <w:szCs w:val="21"/>
                <w:color w:val="auto"/>
              </w:rPr>
            </w:pPr>
          </w:p>
        </w:tc>
      </w:tr>
      <w:tr>
        <w:trPr>
          <w:trHeight w:val="257"/>
        </w:trPr>
        <w:tc>
          <w:tcPr>
            <w:tcW w:w="340" w:type="dxa"/>
            <w:vAlign w:val="bottom"/>
          </w:tcPr>
          <w:p>
            <w:pPr>
              <w:spacing w:after="0"/>
              <w:rPr>
                <w:sz w:val="22"/>
                <w:szCs w:val="22"/>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Classic Instruments acquisition</w:t>
            </w:r>
          </w:p>
        </w:tc>
        <w:tc>
          <w:tcPr>
            <w:tcW w:w="30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2"/>
                <w:szCs w:val="22"/>
                <w:color w:val="auto"/>
              </w:rPr>
            </w:pPr>
          </w:p>
        </w:tc>
      </w:tr>
      <w:tr>
        <w:trPr>
          <w:trHeight w:val="270"/>
        </w:trPr>
        <w:tc>
          <w:tcPr>
            <w:tcW w:w="34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3"/>
                <w:szCs w:val="23"/>
                <w:color w:val="auto"/>
              </w:rPr>
            </w:pPr>
          </w:p>
        </w:tc>
      </w:tr>
      <w:tr>
        <w:trPr>
          <w:trHeight w:val="290"/>
        </w:trPr>
        <w:tc>
          <w:tcPr>
            <w:tcW w:w="340" w:type="dxa"/>
            <w:vAlign w:val="bottom"/>
          </w:tcPr>
          <w:p>
            <w:pPr>
              <w:spacing w:after="0"/>
              <w:rPr>
                <w:sz w:val="24"/>
                <w:szCs w:val="24"/>
                <w:color w:val="auto"/>
              </w:rPr>
            </w:pPr>
          </w:p>
        </w:tc>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26, 2021</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left="380" w:right="3180" w:hanging="91"/>
        <w:spacing w:after="0" w:line="298"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Business Combination and Acquisitions - Simpson Performance Products, Inc. and</w:t>
      </w:r>
      <w:r>
        <w:rPr>
          <w:rFonts w:ascii="Arial" w:cs="Arial" w:eastAsia="Arial" w:hAnsi="Arial"/>
          <w:sz w:val="18"/>
          <w:szCs w:val="18"/>
          <w:color w:val="auto"/>
        </w:rPr>
        <w:t xml:space="preserve"> </w:t>
      </w:r>
      <w:r>
        <w:rPr>
          <w:rFonts w:ascii="Arial" w:cs="Arial" w:eastAsia="Arial" w:hAnsi="Arial"/>
          <w:sz w:val="18"/>
          <w:szCs w:val="18"/>
          <w:i w:val="1"/>
          <w:iCs w:val="1"/>
          <w:color w:val="auto"/>
        </w:rPr>
        <w:t>Advance Engine Management Inc.</w:t>
      </w:r>
      <w:r>
        <w:rPr>
          <w:rFonts w:ascii="Arial" w:cs="Arial" w:eastAsia="Arial" w:hAnsi="Arial"/>
          <w:sz w:val="18"/>
          <w:szCs w:val="18"/>
          <w:color w:val="auto"/>
        </w:rPr>
        <w:t>"</w:t>
      </w:r>
    </w:p>
    <w:p>
      <w:pPr>
        <w:spacing w:after="0" w:line="192"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Intangible assets consisted of the following:</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80"/>
        </w:trPr>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September 26, 2021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Gross Carrying</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Net Carrying</w:t>
            </w:r>
          </w:p>
        </w:tc>
        <w:tc>
          <w:tcPr>
            <w:tcW w:w="80" w:type="dxa"/>
            <w:vAlign w:val="bottom"/>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57"/>
        </w:trPr>
        <w:tc>
          <w:tcPr>
            <w:tcW w:w="340" w:type="dxa"/>
            <w:vAlign w:val="bottom"/>
          </w:tcPr>
          <w:p>
            <w:pPr>
              <w:spacing w:after="0"/>
              <w:rPr>
                <w:sz w:val="22"/>
                <w:szCs w:val="22"/>
                <w:color w:val="auto"/>
              </w:rPr>
            </w:pP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Finite-lived intangible assets:</w:t>
            </w:r>
          </w:p>
        </w:tc>
        <w:tc>
          <w:tcPr>
            <w:tcW w:w="16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259,907</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(29,878 )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230,029</w:t>
            </w:r>
          </w:p>
        </w:tc>
        <w:tc>
          <w:tcPr>
            <w:tcW w:w="80" w:type="dxa"/>
            <w:vAlign w:val="bottom"/>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4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Tradenames</w:t>
            </w:r>
          </w:p>
        </w:tc>
        <w:tc>
          <w:tcPr>
            <w:tcW w:w="16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(3,906 )</w:t>
            </w: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9,869</w:t>
            </w:r>
          </w:p>
        </w:tc>
        <w:tc>
          <w:tcPr>
            <w:tcW w:w="80" w:type="dxa"/>
            <w:vAlign w:val="bottom"/>
            <w:shd w:val="clear" w:color="auto" w:fill="CFF0FC"/>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Technology</w:t>
            </w:r>
          </w:p>
        </w:tc>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26,673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(8,469 )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18,204</w:t>
            </w:r>
          </w:p>
        </w:tc>
        <w:tc>
          <w:tcPr>
            <w:tcW w:w="8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finite-lived intangible assets</w:t>
            </w: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300,355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(42,253 )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258,102</w:t>
            </w:r>
          </w:p>
        </w:tc>
        <w:tc>
          <w:tcPr>
            <w:tcW w:w="80" w:type="dxa"/>
            <w:vAlign w:val="bottom"/>
            <w:shd w:val="clear" w:color="auto" w:fill="CFF0FC"/>
          </w:tcPr>
          <w:p>
            <w:pPr>
              <w:spacing w:after="0"/>
              <w:rPr>
                <w:sz w:val="21"/>
                <w:szCs w:val="21"/>
                <w:color w:val="auto"/>
              </w:rPr>
            </w:pPr>
          </w:p>
        </w:tc>
      </w:tr>
      <w:tr>
        <w:trPr>
          <w:trHeight w:val="257"/>
        </w:trPr>
        <w:tc>
          <w:tcPr>
            <w:tcW w:w="3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 assets:</w:t>
            </w:r>
          </w:p>
        </w:tc>
        <w:tc>
          <w:tcPr>
            <w:tcW w:w="16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4300" w:type="dxa"/>
            <w:vAlign w:val="bottom"/>
          </w:tcPr>
          <w:p>
            <w:pPr>
              <w:ind w:left="280"/>
              <w:spacing w:after="0"/>
              <w:rPr>
                <w:sz w:val="20"/>
                <w:szCs w:val="20"/>
                <w:color w:val="auto"/>
              </w:rPr>
            </w:pPr>
            <w:r>
              <w:rPr>
                <w:rFonts w:ascii="Arial" w:cs="Arial" w:eastAsia="Arial" w:hAnsi="Arial"/>
                <w:sz w:val="18"/>
                <w:szCs w:val="18"/>
                <w:color w:val="auto"/>
              </w:rPr>
              <w:t>Tradenames</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163,768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163,768</w:t>
            </w:r>
          </w:p>
        </w:tc>
        <w:tc>
          <w:tcPr>
            <w:tcW w:w="80" w:type="dxa"/>
            <w:vAlign w:val="bottom"/>
          </w:tcPr>
          <w:p>
            <w:pPr>
              <w:spacing w:after="0"/>
              <w:rPr>
                <w:sz w:val="21"/>
                <w:szCs w:val="21"/>
                <w:color w:val="auto"/>
              </w:rPr>
            </w:pPr>
          </w:p>
        </w:tc>
      </w:tr>
      <w:tr>
        <w:trPr>
          <w:trHeight w:val="931"/>
        </w:trPr>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31, 2020</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920" w:type="dxa"/>
            <w:vAlign w:val="bottom"/>
          </w:tcPr>
          <w:p>
            <w:pPr>
              <w:spacing w:after="0"/>
              <w:rPr>
                <w:sz w:val="21"/>
                <w:szCs w:val="21"/>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Gross Carrying</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Net Carrying</w:t>
            </w:r>
          </w:p>
        </w:tc>
        <w:tc>
          <w:tcPr>
            <w:tcW w:w="8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57"/>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92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245,274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(21,819 )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223,455</w:t>
            </w:r>
          </w:p>
        </w:tc>
        <w:tc>
          <w:tcPr>
            <w:tcW w:w="80" w:type="dxa"/>
            <w:vAlign w:val="bottom"/>
          </w:tcPr>
          <w:p>
            <w:pPr>
              <w:spacing w:after="0"/>
              <w:rPr>
                <w:sz w:val="21"/>
                <w:szCs w:val="21"/>
                <w:color w:val="auto"/>
              </w:rPr>
            </w:pPr>
          </w:p>
        </w:tc>
      </w:tr>
      <w:tr>
        <w:trPr>
          <w:trHeight w:val="263"/>
        </w:trPr>
        <w:tc>
          <w:tcPr>
            <w:tcW w:w="5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Tradenames</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(3,369 )</w:t>
            </w: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80" w:type="dxa"/>
            <w:vAlign w:val="bottom"/>
            <w:shd w:val="clear" w:color="auto" w:fill="CFF0FC"/>
          </w:tcPr>
          <w:p>
            <w:pPr>
              <w:spacing w:after="0"/>
              <w:rPr>
                <w:sz w:val="22"/>
                <w:szCs w:val="22"/>
                <w:color w:val="auto"/>
              </w:rPr>
            </w:pPr>
          </w:p>
        </w:tc>
      </w:tr>
      <w:tr>
        <w:trPr>
          <w:trHeight w:val="257"/>
        </w:trPr>
        <w:tc>
          <w:tcPr>
            <w:tcW w:w="5920" w:type="dxa"/>
            <w:vAlign w:val="bottom"/>
          </w:tcPr>
          <w:p>
            <w:pPr>
              <w:ind w:left="28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24,595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(6,674 )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17,921</w:t>
            </w:r>
          </w:p>
        </w:tc>
        <w:tc>
          <w:tcPr>
            <w:tcW w:w="80" w:type="dxa"/>
            <w:vAlign w:val="bottom"/>
          </w:tcPr>
          <w:p>
            <w:pPr>
              <w:spacing w:after="0"/>
              <w:rPr>
                <w:sz w:val="22"/>
                <w:szCs w:val="22"/>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283,644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(31,862 )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251,782</w:t>
            </w:r>
          </w:p>
        </w:tc>
        <w:tc>
          <w:tcPr>
            <w:tcW w:w="80" w:type="dxa"/>
            <w:vAlign w:val="bottom"/>
            <w:shd w:val="clear" w:color="auto" w:fill="CFF0FC"/>
          </w:tcPr>
          <w:p>
            <w:pPr>
              <w:spacing w:after="0"/>
              <w:rPr>
                <w:sz w:val="21"/>
                <w:szCs w:val="21"/>
                <w:color w:val="auto"/>
              </w:rPr>
            </w:pPr>
          </w:p>
        </w:tc>
      </w:tr>
      <w:tr>
        <w:trPr>
          <w:trHeight w:val="257"/>
        </w:trPr>
        <w:tc>
          <w:tcPr>
            <w:tcW w:w="5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Tradenames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152,740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152,740</w:t>
            </w:r>
          </w:p>
        </w:tc>
        <w:tc>
          <w:tcPr>
            <w:tcW w:w="80" w:type="dxa"/>
            <w:vAlign w:val="bottom"/>
          </w:tcPr>
          <w:p>
            <w:pPr>
              <w:spacing w:after="0"/>
              <w:rPr>
                <w:sz w:val="21"/>
                <w:szCs w:val="21"/>
                <w:color w:val="auto"/>
              </w:rPr>
            </w:pPr>
          </w:p>
        </w:tc>
      </w:tr>
    </w:tbl>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September 26,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(excluding the thirty-nine weeks ended September 26, 2021)</w:t>
            </w:r>
          </w:p>
        </w:tc>
        <w:tc>
          <w:tcPr>
            <w:tcW w:w="26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FF0FC"/>
          </w:tcPr>
          <w:p>
            <w:pPr>
              <w:spacing w:after="0"/>
              <w:rPr>
                <w:sz w:val="22"/>
                <w:szCs w:val="22"/>
                <w:color w:val="auto"/>
              </w:rPr>
            </w:pPr>
          </w:p>
        </w:tc>
      </w:tr>
      <w:tr>
        <w:trPr>
          <w:trHeight w:val="250"/>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14,202</w:t>
            </w:r>
          </w:p>
        </w:tc>
        <w:tc>
          <w:tcPr>
            <w:tcW w:w="100" w:type="dxa"/>
            <w:vAlign w:val="bottom"/>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shd w:val="clear" w:color="auto" w:fill="CFF0FC"/>
          </w:tcPr>
          <w:p>
            <w:pPr>
              <w:spacing w:after="0"/>
              <w:rPr>
                <w:sz w:val="22"/>
                <w:szCs w:val="22"/>
                <w:color w:val="auto"/>
              </w:rPr>
            </w:pPr>
          </w:p>
        </w:tc>
      </w:tr>
      <w:tr>
        <w:trPr>
          <w:trHeight w:val="250"/>
        </w:trPr>
        <w:tc>
          <w:tcPr>
            <w:tcW w:w="6800" w:type="dxa"/>
            <w:vAlign w:val="bottom"/>
            <w:gridSpan w:val="2"/>
          </w:tcPr>
          <w:p>
            <w:pPr>
              <w:ind w:left="36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shd w:val="clear" w:color="auto" w:fill="CFF0FC"/>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199,873</w:t>
            </w:r>
          </w:p>
        </w:tc>
        <w:tc>
          <w:tcPr>
            <w:tcW w:w="100" w:type="dxa"/>
            <w:vAlign w:val="bottom"/>
          </w:tcPr>
          <w:p>
            <w:pPr>
              <w:spacing w:after="0"/>
              <w:rPr>
                <w:sz w:val="22"/>
                <w:szCs w:val="22"/>
                <w:color w:val="auto"/>
              </w:rPr>
            </w:pPr>
          </w:p>
        </w:tc>
      </w:tr>
      <w:tr>
        <w:trPr>
          <w:trHeight w:val="290"/>
        </w:trPr>
        <w:tc>
          <w:tcPr>
            <w:tcW w:w="340" w:type="dxa"/>
            <w:vAlign w:val="bottom"/>
          </w:tcPr>
          <w:p>
            <w:pPr>
              <w:spacing w:after="0"/>
              <w:rPr>
                <w:sz w:val="24"/>
                <w:szCs w:val="24"/>
                <w:color w:val="auto"/>
              </w:rPr>
            </w:pPr>
          </w:p>
        </w:tc>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258,102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0"/>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800" w:type="dxa"/>
            <w:vAlign w:val="bottom"/>
            <w:gridSpan w:val="2"/>
          </w:tcPr>
          <w:p>
            <w:pPr>
              <w:ind w:left="280"/>
              <w:spacing w:after="0"/>
              <w:rPr>
                <w:sz w:val="20"/>
                <w:szCs w:val="20"/>
                <w:color w:val="auto"/>
              </w:rPr>
            </w:pPr>
            <w:r>
              <w:rPr>
                <w:rFonts w:ascii="Arial" w:cs="Arial" w:eastAsia="Arial" w:hAnsi="Arial"/>
                <w:sz w:val="18"/>
                <w:szCs w:val="18"/>
                <w:color w:val="auto"/>
              </w:rPr>
              <w:t>Debt of the Company consisted of the following:</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2"/>
          </w:tcPr>
          <w:p>
            <w:pPr>
              <w:jc w:val="right"/>
              <w:ind w:right="740"/>
              <w:spacing w:after="0"/>
              <w:rPr>
                <w:sz w:val="20"/>
                <w:szCs w:val="20"/>
                <w:color w:val="auto"/>
              </w:rPr>
            </w:pPr>
            <w:r>
              <w:rPr>
                <w:rFonts w:ascii="Arial" w:cs="Arial" w:eastAsia="Arial" w:hAnsi="Arial"/>
                <w:sz w:val="18"/>
                <w:szCs w:val="18"/>
                <w:color w:val="auto"/>
              </w:rPr>
              <w:t>September 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December 31,</w:t>
            </w:r>
          </w:p>
        </w:tc>
      </w:tr>
      <w:tr>
        <w:trPr>
          <w:trHeight w:val="263"/>
        </w:trPr>
        <w:tc>
          <w:tcPr>
            <w:tcW w:w="3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note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539,202</w:t>
            </w:r>
          </w:p>
        </w:tc>
        <w:tc>
          <w:tcPr>
            <w:tcW w:w="34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541,969</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Second lien note</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45,000</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40" w:type="dxa"/>
            <w:vAlign w:val="bottom"/>
          </w:tcPr>
          <w:p>
            <w:pPr>
              <w:spacing w:after="0"/>
              <w:rPr>
                <w:sz w:val="22"/>
                <w:szCs w:val="22"/>
                <w:color w:val="auto"/>
              </w:rPr>
            </w:pPr>
          </w:p>
        </w:tc>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3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Pr>
          <w:p>
            <w:pPr>
              <w:spacing w:after="0"/>
              <w:rPr>
                <w:sz w:val="21"/>
                <w:szCs w:val="21"/>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(12,600 )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(16,684 )</w:t>
            </w:r>
          </w:p>
        </w:tc>
      </w:tr>
      <w:tr>
        <w:trPr>
          <w:trHeight w:val="257"/>
        </w:trPr>
        <w:tc>
          <w:tcPr>
            <w:tcW w:w="340" w:type="dxa"/>
            <w:vAlign w:val="bottom"/>
          </w:tcPr>
          <w:p>
            <w:pPr>
              <w:spacing w:after="0"/>
              <w:rPr>
                <w:sz w:val="22"/>
                <w:szCs w:val="22"/>
                <w:color w:val="auto"/>
              </w:rPr>
            </w:pPr>
          </w:p>
        </w:tc>
        <w:tc>
          <w:tcPr>
            <w:tcW w:w="64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575,922</w:t>
            </w:r>
          </w:p>
        </w:tc>
        <w:tc>
          <w:tcPr>
            <w:tcW w:w="340" w:type="dxa"/>
            <w:vAlign w:val="bottom"/>
            <w:shd w:val="clear" w:color="auto" w:fill="CFF0FC"/>
          </w:tcPr>
          <w:p>
            <w:pPr>
              <w:spacing w:after="0"/>
              <w:rPr>
                <w:sz w:val="22"/>
                <w:szCs w:val="22"/>
                <w:color w:val="auto"/>
              </w:rPr>
            </w:pPr>
          </w:p>
        </w:tc>
        <w:tc>
          <w:tcPr>
            <w:tcW w:w="6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674,986</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21"/>
                <w:szCs w:val="21"/>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(5,528 )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(5,528 )</w:t>
            </w:r>
          </w:p>
        </w:tc>
      </w:tr>
      <w:tr>
        <w:trPr>
          <w:trHeight w:val="290"/>
        </w:trPr>
        <w:tc>
          <w:tcPr>
            <w:tcW w:w="340" w:type="dxa"/>
            <w:vAlign w:val="bottom"/>
          </w:tcPr>
          <w:p>
            <w:pPr>
              <w:spacing w:after="0"/>
              <w:rPr>
                <w:sz w:val="24"/>
                <w:szCs w:val="24"/>
                <w:color w:val="auto"/>
              </w:rPr>
            </w:pPr>
          </w:p>
        </w:tc>
        <w:tc>
          <w:tcPr>
            <w:tcW w:w="64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570,394</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669,458</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-2271395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-2253615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205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205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22" w:lineRule="exact"/>
        <w:rPr>
          <w:sz w:val="20"/>
          <w:szCs w:val="20"/>
          <w:color w:val="auto"/>
        </w:rPr>
      </w:pPr>
    </w:p>
    <w:p>
      <w:pPr>
        <w:jc w:val="both"/>
        <w:ind w:left="280"/>
        <w:spacing w:after="0" w:line="267" w:lineRule="auto"/>
        <w:rPr>
          <w:sz w:val="20"/>
          <w:szCs w:val="20"/>
          <w:color w:val="auto"/>
        </w:rPr>
      </w:pPr>
      <w:r>
        <w:rPr>
          <w:rFonts w:ascii="Arial" w:cs="Arial" w:eastAsia="Arial" w:hAnsi="Arial"/>
          <w:sz w:val="18"/>
          <w:szCs w:val="18"/>
          <w:color w:val="auto"/>
        </w:rPr>
        <w:t>The first lien note totals $600,000, comprising of two parts: a revolving component with maximum borrowings of $50,000, and a $550,000 term loan. Interest is based on LIBOR or the prime rate at the Company’s option, plus the applicable margin rate. Interest is due monthly for the prime rate loans and every one to three months for the LIBOR rate loans. The interest rate for the first lien note LIBOR rate loans was 5.1% and 5.2% at September 26, 2021 and December 31, 2020, respectively. There were no prime rate loans as of September 26, 2021 or December 31, 2020. Principal payments of $1,382 are due on a quarterly basis. The note is secured by the assets of the Company and the revolving credit facility matures in October 2023, while the term loan matures in October 2025. The note requires that the Company maintain a certain fixed charge coverage ratio. At September 26, 2021, the Company was in compliance with all financial covenants. In addition, the Company had outstanding letters of credit under the note, which totaled $1,200 at September 26, 2021 and December 31, 2020.</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300"/>
        <w:spacing w:after="0" w:line="267" w:lineRule="auto"/>
        <w:rPr>
          <w:sz w:val="20"/>
          <w:szCs w:val="20"/>
          <w:color w:val="auto"/>
        </w:rPr>
      </w:pPr>
      <w:r>
        <w:rPr>
          <w:rFonts w:ascii="Arial" w:cs="Arial" w:eastAsia="Arial" w:hAnsi="Arial"/>
          <w:sz w:val="18"/>
          <w:szCs w:val="18"/>
          <w:color w:val="auto"/>
        </w:rPr>
        <w:t>The second lien note totals $145,000. On July 16, 2021, the Company used a portion of the net proceeds from the Business Combination to repay $100,000 of the outstanding principal of the second lien note, which resulted in a loss of $1,425 from the write-off of unamortized debt issuances costs. Interest is based on LIBOR or the prime rate at the Company’s option, plus the applicable margin rate. Interest is due monthly for the prime rate loans and every one to three months for the LIBOR rate loans. The interest rate for the second lien note LIBOR rate loan was 8.5%% and 8.7% at September 26, 2021 and December 31, 2020, respectively. The note is secured by a second lien on the assets of the Company and matures in October 2026. The note requires that the Company maintain a certain fixed charge coverage ratio. At September 26, 2021, the Company was in compliance with all financial covenants. Sentinel Capital Partners Junior Fund I, a related party, holds a portion of the second lien note and the outstanding balance at September 26, 2021 and December 31, 2020 was $6,207 and $20,000, respectively.</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Future maturities of long-term debt and amortization of debt issuance costs as of September 26, 2021 are as follows:</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608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Debt</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9"/>
                <w:szCs w:val="19"/>
                <w:color w:val="auto"/>
              </w:rPr>
            </w:pPr>
          </w:p>
        </w:tc>
      </w:tr>
      <w:tr>
        <w:trPr>
          <w:trHeight w:val="25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142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2022</w:t>
            </w:r>
          </w:p>
        </w:tc>
        <w:tc>
          <w:tcPr>
            <w:tcW w:w="1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4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2024</w:t>
            </w:r>
          </w:p>
        </w:tc>
        <w:tc>
          <w:tcPr>
            <w:tcW w:w="1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519,853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r>
      <w:tr>
        <w:trPr>
          <w:trHeight w:val="290"/>
        </w:trPr>
        <w:tc>
          <w:tcPr>
            <w:tcW w:w="608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588,522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WARRANTS</w:t>
      </w:r>
    </w:p>
    <w:p>
      <w:pPr>
        <w:spacing w:after="0" w:line="274" w:lineRule="exact"/>
        <w:rPr>
          <w:sz w:val="20"/>
          <w:szCs w:val="20"/>
          <w:color w:val="auto"/>
        </w:rPr>
      </w:pPr>
    </w:p>
    <w:p>
      <w:pPr>
        <w:jc w:val="both"/>
        <w:ind w:left="300"/>
        <w:spacing w:after="0" w:line="267" w:lineRule="auto"/>
        <w:rPr>
          <w:sz w:val="20"/>
          <w:szCs w:val="20"/>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66"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127" w:lineRule="exact"/>
        <w:rPr>
          <w:sz w:val="20"/>
          <w:szCs w:val="20"/>
          <w:color w:val="auto"/>
        </w:rPr>
      </w:pPr>
    </w:p>
    <w:p>
      <w:pPr>
        <w:jc w:val="both"/>
        <w:ind w:left="300"/>
        <w:spacing w:after="0" w:line="268" w:lineRule="auto"/>
        <w:rPr>
          <w:sz w:val="20"/>
          <w:szCs w:val="20"/>
          <w:color w:val="auto"/>
        </w:rPr>
      </w:pPr>
      <w:r>
        <w:rPr>
          <w:rFonts w:ascii="Arial" w:cs="Arial" w:eastAsia="Arial" w:hAnsi="Arial"/>
          <w:sz w:val="18"/>
          <w:szCs w:val="18"/>
          <w:color w:val="auto"/>
        </w:rPr>
        <w:t>If a registration statement is not effective within 60 days following the Closing, warrant holders may, until such time as there is an effective registration statement and during any period when the Company has failed to maintain an effective registration statement,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27"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Company’s Warrants were accounted for as liabilities in accordance with ASC 815-40 and are presented as warrant liability on the balance sheet. The warrant liability was measured at fair value at inception and on a recurring basis, with changes in fair value recognized as non-operating expense. As of September 26, 2021, a warrant liability with a fair value of $45,986 was reflected as a long-term liability in the condensed consolidated balance sheet, and a $17,273 increase in the fair value of the warrant liability was reflected as change in fair value of warrant liability in the condensed consolidated statements of comprehensive income for the 13-week and 39-week periods ended September 26,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8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8"/>
                <w:szCs w:val="18"/>
                <w:color w:val="auto"/>
              </w:rPr>
              <w:t>Fair Value Measured as of September 26, 2021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r>
      <w:tr>
        <w:trPr>
          <w:trHeight w:val="25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included in:</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280"/>
              <w:spacing w:after="0"/>
              <w:rPr>
                <w:sz w:val="20"/>
                <w:szCs w:val="20"/>
                <w:color w:val="auto"/>
              </w:rPr>
            </w:pPr>
            <w:r>
              <w:rPr>
                <w:rFonts w:ascii="Arial" w:cs="Arial" w:eastAsia="Arial" w:hAnsi="Arial"/>
                <w:sz w:val="18"/>
                <w:szCs w:val="18"/>
                <w:color w:val="auto"/>
              </w:rPr>
              <w:t>Warrant liability (Public)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30,400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21"/>
                <w:szCs w:val="21"/>
                <w:color w:val="auto"/>
              </w:rPr>
            </w:pPr>
          </w:p>
        </w:tc>
      </w:tr>
      <w:tr>
        <w:trPr>
          <w:trHeight w:val="263"/>
        </w:trPr>
        <w:tc>
          <w:tcPr>
            <w:tcW w:w="45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Warrant liability (Private)</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15,586</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15,586</w:t>
            </w:r>
          </w:p>
        </w:tc>
        <w:tc>
          <w:tcPr>
            <w:tcW w:w="100" w:type="dxa"/>
            <w:vAlign w:val="bottom"/>
            <w:shd w:val="clear" w:color="auto" w:fill="CFF0FC"/>
          </w:tcPr>
          <w:p>
            <w:pPr>
              <w:spacing w:after="0"/>
              <w:rPr>
                <w:sz w:val="22"/>
                <w:szCs w:val="22"/>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Acquisition contingent consideration</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500" w:type="dxa"/>
            <w:vAlign w:val="bottom"/>
          </w:tcPr>
          <w:p>
            <w:pPr>
              <w:ind w:left="420"/>
              <w:spacing w:after="0"/>
              <w:rPr>
                <w:sz w:val="20"/>
                <w:szCs w:val="20"/>
                <w:color w:val="auto"/>
              </w:rPr>
            </w:pPr>
            <w:r>
              <w:rPr>
                <w:rFonts w:ascii="Arial" w:cs="Arial" w:eastAsia="Arial" w:hAnsi="Arial"/>
                <w:sz w:val="18"/>
                <w:szCs w:val="18"/>
                <w:color w:val="auto"/>
              </w:rPr>
              <w:t>payable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24,373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24,373</w:t>
            </w:r>
          </w:p>
        </w:tc>
        <w:tc>
          <w:tcPr>
            <w:tcW w:w="100" w:type="dxa"/>
            <w:vAlign w:val="bottom"/>
          </w:tcPr>
          <w:p>
            <w:pPr>
              <w:spacing w:after="0"/>
              <w:rPr>
                <w:sz w:val="20"/>
                <w:szCs w:val="20"/>
                <w:color w:val="auto"/>
              </w:rPr>
            </w:pPr>
          </w:p>
        </w:tc>
      </w:tr>
      <w:tr>
        <w:trPr>
          <w:trHeight w:val="257"/>
        </w:trPr>
        <w:tc>
          <w:tcPr>
            <w:tcW w:w="4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Earn-out liability</w:t>
            </w:r>
          </w:p>
        </w:tc>
        <w:tc>
          <w:tcPr>
            <w:tcW w:w="2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24,588</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30,400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64,547</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94,947</w:t>
            </w:r>
          </w:p>
        </w:tc>
        <w:tc>
          <w:tcPr>
            <w:tcW w:w="10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-193675</wp:posOffset>
            </wp:positionV>
            <wp:extent cx="2057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-193675</wp:posOffset>
            </wp:positionV>
            <wp:extent cx="1797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1714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28" w:lineRule="exact"/>
        <w:rPr>
          <w:sz w:val="20"/>
          <w:szCs w:val="20"/>
          <w:color w:val="auto"/>
        </w:rPr>
      </w:pPr>
    </w:p>
    <w:p>
      <w:pPr>
        <w:jc w:val="both"/>
        <w:ind w:left="300"/>
        <w:spacing w:after="0" w:line="267" w:lineRule="auto"/>
        <w:rPr>
          <w:sz w:val="20"/>
          <w:szCs w:val="20"/>
          <w:color w:val="auto"/>
        </w:rPr>
      </w:pPr>
      <w:r>
        <w:rPr>
          <w:rFonts w:ascii="Arial" w:cs="Arial" w:eastAsia="Arial" w:hAnsi="Arial"/>
          <w:sz w:val="18"/>
          <w:szCs w:val="18"/>
          <w:color w:val="auto"/>
        </w:rPr>
        <w:t>As of September 26, 2021, the Company's derivative liabilities for its private and public warrants, the earn-out liability (see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xml:space="preserve"> for more details), and the acquisition contingent consideration payable are measured at fair value on a recurring basis. The fair value for the private warrants, earn-out liability, and acquisition contingent consideration payable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acquisition contingent consideration payable are recognized as acquisition and restructuring costs in the condensed consolidated statements of comprehensive income.</w:t>
      </w:r>
    </w:p>
    <w:p>
      <w:pPr>
        <w:spacing w:after="0" w:line="221"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The fair value of private warrants was estimated as of September 26, 2021 using the Monte Carlo simulation model with the following assumptions: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tbl>
      <w:tblPr>
        <w:tblLayout w:type="fixed"/>
        <w:tblInd w:w="340" w:type="dxa"/>
        <w:tblCellMar>
          <w:top w:w="0" w:type="dxa"/>
          <w:left w:w="0" w:type="dxa"/>
          <w:bottom w:w="0" w:type="dxa"/>
          <w:right w:w="0" w:type="dxa"/>
        </w:tblCellMar>
      </w:tblPr>
      <w:tr>
        <w:trPr>
          <w:trHeight w:val="229"/>
        </w:trPr>
        <w:tc>
          <w:tcPr>
            <w:tcW w:w="1980" w:type="dxa"/>
            <w:vAlign w:val="bottom"/>
          </w:tcPr>
          <w:p>
            <w:pPr>
              <w:spacing w:after="0"/>
              <w:rPr>
                <w:sz w:val="19"/>
                <w:szCs w:val="19"/>
                <w:color w:val="auto"/>
              </w:rPr>
            </w:pPr>
          </w:p>
        </w:tc>
        <w:tc>
          <w:tcPr>
            <w:tcW w:w="73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HOLLEY INC.</w:t>
            </w:r>
          </w:p>
        </w:tc>
        <w:tc>
          <w:tcPr>
            <w:tcW w:w="1560" w:type="dxa"/>
            <w:vAlign w:val="bottom"/>
          </w:tcPr>
          <w:p>
            <w:pPr>
              <w:spacing w:after="0"/>
              <w:rPr>
                <w:sz w:val="19"/>
                <w:szCs w:val="19"/>
                <w:color w:val="auto"/>
              </w:rPr>
            </w:pPr>
          </w:p>
        </w:tc>
      </w:tr>
      <w:tr>
        <w:trPr>
          <w:trHeight w:val="239"/>
        </w:trPr>
        <w:tc>
          <w:tcPr>
            <w:tcW w:w="1980" w:type="dxa"/>
            <w:vAlign w:val="bottom"/>
          </w:tcPr>
          <w:p>
            <w:pPr>
              <w:spacing w:after="0"/>
              <w:rPr>
                <w:sz w:val="20"/>
                <w:szCs w:val="20"/>
                <w:color w:val="auto"/>
              </w:rPr>
            </w:pPr>
          </w:p>
        </w:tc>
        <w:tc>
          <w:tcPr>
            <w:tcW w:w="73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NOTES TO THE CONDENSED CONSOLIDATED FINANCIAL STATEMENTS</w:t>
            </w:r>
          </w:p>
        </w:tc>
        <w:tc>
          <w:tcPr>
            <w:tcW w:w="1560" w:type="dxa"/>
            <w:vAlign w:val="bottom"/>
          </w:tcPr>
          <w:p>
            <w:pPr>
              <w:spacing w:after="0"/>
              <w:rPr>
                <w:sz w:val="20"/>
                <w:szCs w:val="20"/>
                <w:color w:val="auto"/>
              </w:rPr>
            </w:pPr>
          </w:p>
        </w:tc>
      </w:tr>
      <w:tr>
        <w:trPr>
          <w:trHeight w:val="229"/>
        </w:trPr>
        <w:tc>
          <w:tcPr>
            <w:tcW w:w="1980" w:type="dxa"/>
            <w:vAlign w:val="bottom"/>
          </w:tcPr>
          <w:p>
            <w:pPr>
              <w:spacing w:after="0"/>
              <w:rPr>
                <w:sz w:val="19"/>
                <w:szCs w:val="19"/>
                <w:color w:val="auto"/>
              </w:rPr>
            </w:pPr>
          </w:p>
        </w:tc>
        <w:tc>
          <w:tcPr>
            <w:tcW w:w="7360" w:type="dxa"/>
            <w:vAlign w:val="bottom"/>
          </w:tcPr>
          <w:p>
            <w:pPr>
              <w:jc w:val="center"/>
              <w:ind w:right="670"/>
              <w:spacing w:after="0"/>
              <w:rPr>
                <w:sz w:val="20"/>
                <w:szCs w:val="20"/>
                <w:color w:val="auto"/>
              </w:rPr>
            </w:pPr>
            <w:r>
              <w:rPr>
                <w:rFonts w:ascii="Arial" w:cs="Arial" w:eastAsia="Arial" w:hAnsi="Arial"/>
                <w:sz w:val="18"/>
                <w:szCs w:val="18"/>
                <w:color w:val="auto"/>
              </w:rPr>
              <w:t>(in thousands, except share data)</w:t>
            </w:r>
          </w:p>
        </w:tc>
        <w:tc>
          <w:tcPr>
            <w:tcW w:w="1560" w:type="dxa"/>
            <w:vAlign w:val="bottom"/>
          </w:tcPr>
          <w:p>
            <w:pPr>
              <w:spacing w:after="0"/>
              <w:rPr>
                <w:sz w:val="19"/>
                <w:szCs w:val="19"/>
                <w:color w:val="auto"/>
              </w:rPr>
            </w:pPr>
          </w:p>
        </w:tc>
      </w:tr>
      <w:tr>
        <w:trPr>
          <w:trHeight w:val="230"/>
        </w:trPr>
        <w:tc>
          <w:tcPr>
            <w:tcW w:w="1980" w:type="dxa"/>
            <w:vAlign w:val="bottom"/>
          </w:tcPr>
          <w:p>
            <w:pPr>
              <w:spacing w:after="0"/>
              <w:rPr>
                <w:sz w:val="19"/>
                <w:szCs w:val="19"/>
                <w:color w:val="auto"/>
              </w:rPr>
            </w:pPr>
          </w:p>
        </w:tc>
        <w:tc>
          <w:tcPr>
            <w:tcW w:w="7360" w:type="dxa"/>
            <w:vAlign w:val="bottom"/>
          </w:tcPr>
          <w:p>
            <w:pPr>
              <w:jc w:val="center"/>
              <w:ind w:right="670"/>
              <w:spacing w:after="0"/>
              <w:rPr>
                <w:sz w:val="20"/>
                <w:szCs w:val="20"/>
                <w:color w:val="auto"/>
              </w:rPr>
            </w:pPr>
            <w:r>
              <w:rPr>
                <w:rFonts w:ascii="Arial" w:cs="Arial" w:eastAsia="Arial" w:hAnsi="Arial"/>
                <w:sz w:val="18"/>
                <w:szCs w:val="18"/>
                <w:color w:val="auto"/>
              </w:rPr>
              <w:t>(unaudited)</w:t>
            </w:r>
          </w:p>
        </w:tc>
        <w:tc>
          <w:tcPr>
            <w:tcW w:w="1560" w:type="dxa"/>
            <w:vAlign w:val="bottom"/>
          </w:tcPr>
          <w:p>
            <w:pPr>
              <w:spacing w:after="0"/>
              <w:rPr>
                <w:sz w:val="19"/>
                <w:szCs w:val="19"/>
                <w:color w:val="auto"/>
              </w:rPr>
            </w:pPr>
          </w:p>
        </w:tc>
      </w:tr>
      <w:tr>
        <w:trPr>
          <w:trHeight w:val="229"/>
        </w:trPr>
        <w:tc>
          <w:tcPr>
            <w:tcW w:w="19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1980" w:type="dxa"/>
            <w:vAlign w:val="bottom"/>
            <w:shd w:val="clear" w:color="auto" w:fill="CFF0FC"/>
          </w:tcPr>
          <w:p>
            <w:pPr>
              <w:ind w:left="60"/>
              <w:spacing w:after="0"/>
              <w:rPr>
                <w:sz w:val="20"/>
                <w:szCs w:val="20"/>
                <w:color w:val="auto"/>
              </w:rPr>
            </w:pPr>
            <w:r>
              <w:rPr>
                <w:rFonts w:ascii="Arial" w:cs="Arial" w:eastAsia="Arial" w:hAnsi="Arial"/>
                <w:sz w:val="18"/>
                <w:szCs w:val="18"/>
                <w:color w:val="auto"/>
              </w:rPr>
              <w:t>Valuation date price</w:t>
            </w:r>
          </w:p>
        </w:tc>
        <w:tc>
          <w:tcPr>
            <w:tcW w:w="7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12.21</w:t>
            </w:r>
          </w:p>
        </w:tc>
      </w:tr>
      <w:tr>
        <w:trPr>
          <w:trHeight w:val="250"/>
        </w:trPr>
        <w:tc>
          <w:tcPr>
            <w:tcW w:w="1980" w:type="dxa"/>
            <w:vAlign w:val="bottom"/>
          </w:tcPr>
          <w:p>
            <w:pPr>
              <w:ind w:left="60"/>
              <w:spacing w:after="0"/>
              <w:rPr>
                <w:sz w:val="20"/>
                <w:szCs w:val="20"/>
                <w:color w:val="auto"/>
              </w:rPr>
            </w:pPr>
            <w:r>
              <w:rPr>
                <w:rFonts w:ascii="Arial" w:cs="Arial" w:eastAsia="Arial" w:hAnsi="Arial"/>
                <w:sz w:val="18"/>
                <w:szCs w:val="18"/>
                <w:color w:val="auto"/>
              </w:rPr>
              <w:t>Strike price</w:t>
            </w:r>
          </w:p>
        </w:tc>
        <w:tc>
          <w:tcPr>
            <w:tcW w:w="7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11.50</w:t>
            </w:r>
          </w:p>
        </w:tc>
      </w:tr>
      <w:tr>
        <w:trPr>
          <w:trHeight w:val="263"/>
        </w:trPr>
        <w:tc>
          <w:tcPr>
            <w:tcW w:w="198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Remaining life</w:t>
            </w:r>
          </w:p>
        </w:tc>
        <w:tc>
          <w:tcPr>
            <w:tcW w:w="736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4.81 years</w:t>
            </w:r>
          </w:p>
        </w:tc>
      </w:tr>
      <w:tr>
        <w:trPr>
          <w:trHeight w:val="250"/>
        </w:trPr>
        <w:tc>
          <w:tcPr>
            <w:tcW w:w="1980" w:type="dxa"/>
            <w:vAlign w:val="bottom"/>
          </w:tcPr>
          <w:p>
            <w:pPr>
              <w:ind w:left="60"/>
              <w:spacing w:after="0"/>
              <w:rPr>
                <w:sz w:val="20"/>
                <w:szCs w:val="20"/>
                <w:color w:val="auto"/>
              </w:rPr>
            </w:pPr>
            <w:r>
              <w:rPr>
                <w:rFonts w:ascii="Arial" w:cs="Arial" w:eastAsia="Arial" w:hAnsi="Arial"/>
                <w:sz w:val="18"/>
                <w:szCs w:val="18"/>
                <w:color w:val="auto"/>
              </w:rPr>
              <w:t>Expected dividend</w:t>
            </w:r>
          </w:p>
        </w:tc>
        <w:tc>
          <w:tcPr>
            <w:tcW w:w="7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63"/>
        </w:trPr>
        <w:tc>
          <w:tcPr>
            <w:tcW w:w="1980" w:type="dxa"/>
            <w:vAlign w:val="bottom"/>
            <w:shd w:val="clear" w:color="auto" w:fill="CFF0FC"/>
          </w:tcPr>
          <w:p>
            <w:pPr>
              <w:ind w:left="60"/>
              <w:spacing w:after="0"/>
              <w:rPr>
                <w:sz w:val="20"/>
                <w:szCs w:val="20"/>
                <w:color w:val="auto"/>
              </w:rPr>
            </w:pPr>
            <w:r>
              <w:rPr>
                <w:rFonts w:ascii="Arial" w:cs="Arial" w:eastAsia="Arial" w:hAnsi="Arial"/>
                <w:sz w:val="18"/>
                <w:szCs w:val="18"/>
                <w:color w:val="auto"/>
              </w:rPr>
              <w:t>Risk-free interest rate</w:t>
            </w:r>
          </w:p>
        </w:tc>
        <w:tc>
          <w:tcPr>
            <w:tcW w:w="736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0.93 %</w:t>
            </w:r>
          </w:p>
        </w:tc>
      </w:tr>
      <w:tr>
        <w:trPr>
          <w:trHeight w:val="270"/>
        </w:trPr>
        <w:tc>
          <w:tcPr>
            <w:tcW w:w="1980" w:type="dxa"/>
            <w:vAlign w:val="bottom"/>
          </w:tcPr>
          <w:p>
            <w:pPr>
              <w:ind w:left="60"/>
              <w:spacing w:after="0"/>
              <w:rPr>
                <w:sz w:val="20"/>
                <w:szCs w:val="20"/>
                <w:color w:val="auto"/>
              </w:rPr>
            </w:pPr>
            <w:r>
              <w:rPr>
                <w:rFonts w:ascii="Arial" w:cs="Arial" w:eastAsia="Arial" w:hAnsi="Arial"/>
                <w:sz w:val="18"/>
                <w:szCs w:val="18"/>
                <w:color w:val="auto"/>
              </w:rPr>
              <w:t>Price threshold</w:t>
            </w:r>
          </w:p>
        </w:tc>
        <w:tc>
          <w:tcPr>
            <w:tcW w:w="7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18.00</w:t>
            </w:r>
          </w:p>
        </w:tc>
      </w:tr>
    </w:tbl>
    <w:p>
      <w:pPr>
        <w:spacing w:after="0" w:line="256"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The fair value of the earn-out liability was estimated as of September 26, 2021 using the Monte Carlo simulation model with the following assumptions: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Valuation date price</w:t>
            </w:r>
          </w:p>
        </w:tc>
        <w:tc>
          <w:tcPr>
            <w:tcW w:w="40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12.21</w:t>
            </w:r>
          </w:p>
        </w:tc>
      </w:tr>
      <w:tr>
        <w:trPr>
          <w:trHeight w:val="250"/>
        </w:trPr>
        <w:tc>
          <w:tcPr>
            <w:tcW w:w="5320" w:type="dxa"/>
            <w:vAlign w:val="bottom"/>
          </w:tcPr>
          <w:p>
            <w:pPr>
              <w:ind w:left="60"/>
              <w:spacing w:after="0"/>
              <w:rPr>
                <w:sz w:val="20"/>
                <w:szCs w:val="20"/>
                <w:color w:val="auto"/>
              </w:rPr>
            </w:pPr>
            <w:r>
              <w:rPr>
                <w:rFonts w:ascii="Arial" w:cs="Arial" w:eastAsia="Arial" w:hAnsi="Arial"/>
                <w:sz w:val="18"/>
                <w:szCs w:val="18"/>
                <w:color w:val="auto"/>
              </w:rPr>
              <w:t>Expected term</w:t>
            </w:r>
          </w:p>
        </w:tc>
        <w:tc>
          <w:tcPr>
            <w:tcW w:w="4020" w:type="dxa"/>
            <w:vAlign w:val="bottom"/>
          </w:tcPr>
          <w:p>
            <w:pPr>
              <w:spacing w:after="0"/>
              <w:rPr>
                <w:sz w:val="21"/>
                <w:szCs w:val="21"/>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6.81 years</w:t>
            </w:r>
          </w:p>
        </w:tc>
      </w:tr>
      <w:tr>
        <w:trPr>
          <w:trHeight w:val="263"/>
        </w:trPr>
        <w:tc>
          <w:tcPr>
            <w:tcW w:w="5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Expected volatility</w:t>
            </w:r>
          </w:p>
        </w:tc>
        <w:tc>
          <w:tcPr>
            <w:tcW w:w="402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38.24 %</w:t>
            </w:r>
          </w:p>
        </w:tc>
      </w:tr>
      <w:tr>
        <w:trPr>
          <w:trHeight w:val="250"/>
        </w:trPr>
        <w:tc>
          <w:tcPr>
            <w:tcW w:w="532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40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1.25 %</w:t>
            </w:r>
          </w:p>
        </w:tc>
      </w:tr>
      <w:tr>
        <w:trPr>
          <w:trHeight w:val="263"/>
        </w:trPr>
        <w:tc>
          <w:tcPr>
            <w:tcW w:w="5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Price hurdle 1</w:t>
            </w:r>
          </w:p>
        </w:tc>
        <w:tc>
          <w:tcPr>
            <w:tcW w:w="40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13.00</w:t>
            </w:r>
          </w:p>
        </w:tc>
      </w:tr>
      <w:tr>
        <w:trPr>
          <w:trHeight w:val="270"/>
        </w:trPr>
        <w:tc>
          <w:tcPr>
            <w:tcW w:w="5320" w:type="dxa"/>
            <w:vAlign w:val="bottom"/>
          </w:tcPr>
          <w:p>
            <w:pPr>
              <w:ind w:left="60"/>
              <w:spacing w:after="0"/>
              <w:rPr>
                <w:sz w:val="20"/>
                <w:szCs w:val="20"/>
                <w:color w:val="auto"/>
              </w:rPr>
            </w:pPr>
            <w:r>
              <w:rPr>
                <w:rFonts w:ascii="Arial" w:cs="Arial" w:eastAsia="Arial" w:hAnsi="Arial"/>
                <w:sz w:val="18"/>
                <w:szCs w:val="18"/>
                <w:color w:val="auto"/>
              </w:rPr>
              <w:t>Price hurdle 2</w:t>
            </w:r>
          </w:p>
        </w:tc>
        <w:tc>
          <w:tcPr>
            <w:tcW w:w="4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15.00</w:t>
            </w:r>
          </w:p>
        </w:tc>
      </w:tr>
    </w:tbl>
    <w:p>
      <w:pPr>
        <w:spacing w:after="0" w:line="188" w:lineRule="exact"/>
        <w:rPr>
          <w:sz w:val="20"/>
          <w:szCs w:val="20"/>
          <w:color w:val="auto"/>
        </w:rPr>
      </w:pPr>
    </w:p>
    <w:p>
      <w:pPr>
        <w:jc w:val="both"/>
        <w:ind w:left="300"/>
        <w:spacing w:after="0" w:line="269" w:lineRule="auto"/>
        <w:rPr>
          <w:sz w:val="20"/>
          <w:szCs w:val="20"/>
          <w:color w:val="auto"/>
        </w:rPr>
      </w:pPr>
      <w:r>
        <w:rPr>
          <w:rFonts w:ascii="Arial" w:cs="Arial" w:eastAsia="Arial" w:hAnsi="Arial"/>
          <w:sz w:val="18"/>
          <w:szCs w:val="18"/>
          <w:color w:val="auto"/>
        </w:rPr>
        <w:t>As of September 26, 2021 and December 31, 2020,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reconciliation of changes in Level 3 during the 13-week and 39-week periods ended September 26, 2021 is as follows:</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4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For the thirty-nine weeks ended September 26, 2021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98"/>
              </w:rPr>
              <w:t>Acquisition</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Private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color w:val="auto"/>
                <w:w w:val="98"/>
              </w:rPr>
              <w:t>Contingent</w:t>
            </w:r>
          </w:p>
        </w:tc>
        <w:tc>
          <w:tcPr>
            <w:tcW w:w="1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Earn-Out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Consideration</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Liability</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57"/>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on December 31,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Cash paid for contingent consideration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(2,000 )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(2,000 )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assumed in recapitalization</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9,613</w:t>
            </w:r>
          </w:p>
        </w:tc>
        <w:tc>
          <w:tcPr>
            <w:tcW w:w="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27,335</w:t>
            </w:r>
          </w:p>
        </w:tc>
        <w:tc>
          <w:tcPr>
            <w:tcW w:w="100" w:type="dxa"/>
            <w:vAlign w:val="bottom"/>
            <w:shd w:val="clear" w:color="auto" w:fill="CFF0FC"/>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Losses included in earnings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30,012</w:t>
            </w:r>
          </w:p>
        </w:tc>
        <w:tc>
          <w:tcPr>
            <w:tcW w:w="100" w:type="dxa"/>
            <w:vAlign w:val="bottom"/>
          </w:tcPr>
          <w:p>
            <w:pPr>
              <w:spacing w:after="0"/>
              <w:rPr>
                <w:sz w:val="21"/>
                <w:szCs w:val="21"/>
                <w:color w:val="auto"/>
              </w:rPr>
            </w:pPr>
          </w:p>
        </w:tc>
      </w:tr>
      <w:tr>
        <w:trPr>
          <w:trHeight w:val="290"/>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on September 26, 2021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15,586</w:t>
            </w: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24,373</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24,588</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231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2317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2228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2228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88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885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0" w:lineRule="exact"/>
        <w:rPr>
          <w:sz w:val="20"/>
          <w:szCs w:val="20"/>
          <w:color w:val="auto"/>
        </w:rPr>
      </w:pPr>
    </w:p>
    <w:p>
      <w:pPr>
        <w:jc w:val="both"/>
        <w:ind w:left="280"/>
        <w:spacing w:after="0" w:line="268" w:lineRule="auto"/>
        <w:rPr>
          <w:sz w:val="20"/>
          <w:szCs w:val="20"/>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7" w:lineRule="exact"/>
        <w:rPr>
          <w:sz w:val="20"/>
          <w:szCs w:val="20"/>
          <w:color w:val="auto"/>
        </w:rPr>
      </w:pPr>
    </w:p>
    <w:p>
      <w:pPr>
        <w:jc w:val="both"/>
        <w:ind w:left="280"/>
        <w:spacing w:after="0" w:line="271" w:lineRule="auto"/>
        <w:rPr>
          <w:sz w:val="20"/>
          <w:szCs w:val="20"/>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36" w:lineRule="exact"/>
        <w:rPr>
          <w:sz w:val="20"/>
          <w:szCs w:val="20"/>
          <w:color w:val="auto"/>
        </w:rPr>
      </w:pPr>
    </w:p>
    <w:p>
      <w:pPr>
        <w:jc w:val="both"/>
        <w:ind w:left="300" w:right="20"/>
        <w:spacing w:after="0" w:line="277"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left="300"/>
        <w:spacing w:after="0" w:line="269" w:lineRule="auto"/>
        <w:rPr>
          <w:sz w:val="20"/>
          <w:szCs w:val="20"/>
          <w:color w:val="auto"/>
        </w:rPr>
      </w:pPr>
      <w:r>
        <w:rPr>
          <w:rFonts w:ascii="Arial" w:cs="Arial" w:eastAsia="Arial" w:hAnsi="Arial"/>
          <w:sz w:val="18"/>
          <w:szCs w:val="18"/>
          <w:color w:val="auto"/>
        </w:rPr>
        <w:t>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25" w:lineRule="exact"/>
        <w:rPr>
          <w:sz w:val="20"/>
          <w:szCs w:val="20"/>
          <w:color w:val="auto"/>
        </w:rPr>
      </w:pPr>
    </w:p>
    <w:p>
      <w:pPr>
        <w:jc w:val="both"/>
        <w:ind w:left="300"/>
        <w:spacing w:after="0" w:line="267"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16 for more information.</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total revenue by product category:</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For the thirteen weeks ended</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For the thirty-nine weeks ended</w:t>
            </w:r>
          </w:p>
        </w:tc>
        <w:tc>
          <w:tcPr>
            <w:tcW w:w="80" w:type="dxa"/>
            <w:vAlign w:val="bottom"/>
          </w:tcPr>
          <w:p>
            <w:pPr>
              <w:spacing w:after="0"/>
              <w:rPr>
                <w:sz w:val="19"/>
                <w:szCs w:val="19"/>
                <w:color w:val="auto"/>
              </w:rPr>
            </w:pPr>
          </w:p>
        </w:tc>
      </w:tr>
      <w:tr>
        <w:trPr>
          <w:trHeight w:val="243"/>
        </w:trPr>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September 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September 27,</w:t>
            </w:r>
          </w:p>
        </w:tc>
        <w:tc>
          <w:tcPr>
            <w:tcW w:w="80" w:type="dxa"/>
            <w:vAlign w:val="bottom"/>
          </w:tcPr>
          <w:p>
            <w:pPr>
              <w:spacing w:after="0"/>
              <w:rPr>
                <w:sz w:val="21"/>
                <w:szCs w:val="21"/>
                <w:color w:val="auto"/>
              </w:rPr>
            </w:pPr>
          </w:p>
        </w:tc>
      </w:tr>
      <w:tr>
        <w:trPr>
          <w:trHeight w:val="237"/>
        </w:trPr>
        <w:tc>
          <w:tcPr>
            <w:tcW w:w="3560" w:type="dxa"/>
            <w:vAlign w:val="bottom"/>
          </w:tcPr>
          <w:p>
            <w:pPr>
              <w:spacing w:after="0"/>
              <w:rPr>
                <w:sz w:val="20"/>
                <w:szCs w:val="20"/>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September 26, 2021</w:t>
            </w:r>
          </w:p>
        </w:tc>
        <w:tc>
          <w:tcPr>
            <w:tcW w:w="220" w:type="dxa"/>
            <w:vAlign w:val="bottom"/>
          </w:tcPr>
          <w:p>
            <w:pPr>
              <w:spacing w:after="0"/>
              <w:rPr>
                <w:sz w:val="20"/>
                <w:szCs w:val="20"/>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September 27, 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5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Electronic systems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77,199</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241,474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197,493</w:t>
            </w:r>
          </w:p>
        </w:tc>
        <w:tc>
          <w:tcPr>
            <w:tcW w:w="80" w:type="dxa"/>
            <w:vAlign w:val="bottom"/>
            <w:shd w:val="clear" w:color="auto" w:fill="CFF0FC"/>
          </w:tcPr>
          <w:p>
            <w:pPr>
              <w:spacing w:after="0"/>
              <w:rPr>
                <w:sz w:val="22"/>
                <w:szCs w:val="22"/>
                <w:color w:val="auto"/>
              </w:rPr>
            </w:pP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Mechanical systems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37,026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118,295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85,218</w:t>
            </w:r>
          </w:p>
        </w:tc>
        <w:tc>
          <w:tcPr>
            <w:tcW w:w="80" w:type="dxa"/>
            <w:vAlign w:val="bottom"/>
          </w:tcPr>
          <w:p>
            <w:pPr>
              <w:spacing w:after="0"/>
              <w:rPr>
                <w:sz w:val="21"/>
                <w:szCs w:val="21"/>
                <w:color w:val="auto"/>
              </w:rPr>
            </w:pPr>
          </w:p>
        </w:tc>
      </w:tr>
      <w:tr>
        <w:trPr>
          <w:trHeight w:val="263"/>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Exhaust</w:t>
            </w:r>
          </w:p>
        </w:tc>
        <w:tc>
          <w:tcPr>
            <w:tcW w:w="3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16,971</w:t>
            </w:r>
          </w:p>
        </w:tc>
        <w:tc>
          <w:tcPr>
            <w:tcW w:w="2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59,587</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53,062</w:t>
            </w:r>
          </w:p>
        </w:tc>
        <w:tc>
          <w:tcPr>
            <w:tcW w:w="80" w:type="dxa"/>
            <w:vAlign w:val="bottom"/>
            <w:shd w:val="clear" w:color="auto" w:fill="CFF0FC"/>
          </w:tcPr>
          <w:p>
            <w:pPr>
              <w:spacing w:after="0"/>
              <w:rPr>
                <w:sz w:val="22"/>
                <w:szCs w:val="22"/>
                <w:color w:val="auto"/>
              </w:rPr>
            </w:pP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14,384</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45,403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29,987</w:t>
            </w:r>
          </w:p>
        </w:tc>
        <w:tc>
          <w:tcPr>
            <w:tcW w:w="80" w:type="dxa"/>
            <w:vAlign w:val="bottom"/>
          </w:tcPr>
          <w:p>
            <w:pPr>
              <w:spacing w:after="0"/>
              <w:rPr>
                <w:sz w:val="21"/>
                <w:szCs w:val="21"/>
                <w:color w:val="auto"/>
              </w:rPr>
            </w:pPr>
          </w:p>
        </w:tc>
      </w:tr>
      <w:tr>
        <w:trPr>
          <w:trHeight w:val="257"/>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Safety</w:t>
            </w:r>
          </w:p>
        </w:tc>
        <w:tc>
          <w:tcPr>
            <w:tcW w:w="3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14,093</w:t>
            </w:r>
          </w:p>
        </w:tc>
        <w:tc>
          <w:tcPr>
            <w:tcW w:w="2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48,287</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159,673</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133,307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513,046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365,760</w:t>
            </w:r>
          </w:p>
        </w:tc>
        <w:tc>
          <w:tcPr>
            <w:tcW w:w="80" w:type="dxa"/>
            <w:vAlign w:val="bottom"/>
          </w:tcPr>
          <w:p>
            <w:pPr>
              <w:spacing w:after="0"/>
              <w:rPr>
                <w:sz w:val="21"/>
                <w:szCs w:val="21"/>
                <w:color w:val="auto"/>
              </w:rPr>
            </w:pPr>
          </w:p>
        </w:tc>
      </w:tr>
      <w:tr>
        <w:trPr>
          <w:trHeight w:val="20"/>
        </w:trPr>
        <w:tc>
          <w:tcPr>
            <w:tcW w:w="3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-193675</wp:posOffset>
            </wp:positionV>
            <wp:extent cx="13716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-193675</wp:posOffset>
            </wp:positionV>
            <wp:extent cx="12890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200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For the thirty-nine weeks ended</w:t>
            </w:r>
          </w:p>
        </w:tc>
        <w:tc>
          <w:tcPr>
            <w:tcW w:w="80" w:type="dxa"/>
            <w:vAlign w:val="bottom"/>
          </w:tcPr>
          <w:p>
            <w:pPr>
              <w:spacing w:after="0"/>
              <w:rPr>
                <w:sz w:val="19"/>
                <w:szCs w:val="19"/>
                <w:color w:val="auto"/>
              </w:rPr>
            </w:pPr>
          </w:p>
        </w:tc>
      </w:tr>
      <w:tr>
        <w:trPr>
          <w:trHeight w:val="250"/>
        </w:trPr>
        <w:tc>
          <w:tcPr>
            <w:tcW w:w="3520" w:type="dxa"/>
            <w:vAlign w:val="bottom"/>
          </w:tcPr>
          <w:p>
            <w:pPr>
              <w:spacing w:after="0"/>
              <w:rPr>
                <w:sz w:val="21"/>
                <w:szCs w:val="21"/>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September 26, 2021</w:t>
            </w:r>
          </w:p>
        </w:tc>
        <w:tc>
          <w:tcPr>
            <w:tcW w:w="2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September 27, 2020</w:t>
            </w:r>
          </w:p>
        </w:tc>
        <w:tc>
          <w:tcPr>
            <w:tcW w:w="180" w:type="dxa"/>
            <w:vAlign w:val="bottom"/>
          </w:tcPr>
          <w:p>
            <w:pPr>
              <w:spacing w:after="0"/>
              <w:rPr>
                <w:sz w:val="21"/>
                <w:szCs w:val="21"/>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26, 2021</w:t>
            </w:r>
          </w:p>
        </w:tc>
        <w:tc>
          <w:tcPr>
            <w:tcW w:w="200" w:type="dxa"/>
            <w:vAlign w:val="bottom"/>
          </w:tcPr>
          <w:p>
            <w:pPr>
              <w:spacing w:after="0"/>
              <w:rPr>
                <w:sz w:val="21"/>
                <w:szCs w:val="21"/>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27, 2020</w:t>
            </w:r>
          </w:p>
        </w:tc>
        <w:tc>
          <w:tcPr>
            <w:tcW w:w="80" w:type="dxa"/>
            <w:vAlign w:val="bottom"/>
          </w:tcPr>
          <w:p>
            <w:pPr>
              <w:spacing w:after="0"/>
              <w:rPr>
                <w:sz w:val="21"/>
                <w:szCs w:val="21"/>
                <w:color w:val="auto"/>
              </w:rPr>
            </w:pPr>
          </w:p>
        </w:tc>
      </w:tr>
      <w:tr>
        <w:trPr>
          <w:trHeight w:val="257"/>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155,626</w:t>
            </w:r>
          </w:p>
        </w:tc>
        <w:tc>
          <w:tcPr>
            <w:tcW w:w="7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133,307</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501,196</w:t>
            </w:r>
          </w:p>
        </w:tc>
        <w:tc>
          <w:tcPr>
            <w:tcW w:w="7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365,760</w:t>
            </w:r>
          </w:p>
        </w:tc>
        <w:tc>
          <w:tcPr>
            <w:tcW w:w="80" w:type="dxa"/>
            <w:vAlign w:val="bottom"/>
            <w:shd w:val="clear" w:color="auto" w:fill="CFF0FC"/>
          </w:tcPr>
          <w:p>
            <w:pPr>
              <w:spacing w:after="0"/>
              <w:rPr>
                <w:sz w:val="22"/>
                <w:szCs w:val="22"/>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Italy</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2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w:t>
            </w:r>
          </w:p>
        </w:tc>
        <w:tc>
          <w:tcPr>
            <w:tcW w:w="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sales</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159,673</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133,307</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513,046</w:t>
            </w:r>
          </w:p>
        </w:tc>
        <w:tc>
          <w:tcPr>
            <w:tcW w:w="2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365,760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-25400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200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6"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30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25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For the thirteen weeks ended</w:t>
            </w:r>
          </w:p>
        </w:tc>
        <w:tc>
          <w:tcPr>
            <w:tcW w:w="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For the thirty-nine weeks ended</w:t>
            </w:r>
          </w:p>
        </w:tc>
        <w:tc>
          <w:tcPr>
            <w:tcW w:w="280" w:type="dxa"/>
            <w:vAlign w:val="bottom"/>
          </w:tcPr>
          <w:p>
            <w:pPr>
              <w:spacing w:after="0"/>
              <w:rPr>
                <w:sz w:val="19"/>
                <w:szCs w:val="19"/>
                <w:color w:val="auto"/>
              </w:rPr>
            </w:pPr>
          </w:p>
        </w:tc>
      </w:tr>
      <w:tr>
        <w:trPr>
          <w:trHeight w:val="243"/>
        </w:trPr>
        <w:tc>
          <w:tcPr>
            <w:tcW w:w="2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September 27,</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September 27,</w:t>
            </w:r>
          </w:p>
        </w:tc>
      </w:tr>
      <w:tr>
        <w:trPr>
          <w:trHeight w:val="237"/>
        </w:trPr>
        <w:tc>
          <w:tcPr>
            <w:tcW w:w="2500" w:type="dxa"/>
            <w:vAlign w:val="bottom"/>
          </w:tcPr>
          <w:p>
            <w:pPr>
              <w:spacing w:after="0"/>
              <w:rPr>
                <w:sz w:val="20"/>
                <w:szCs w:val="20"/>
                <w:color w:val="auto"/>
              </w:rPr>
            </w:pPr>
          </w:p>
        </w:tc>
        <w:tc>
          <w:tcPr>
            <w:tcW w:w="1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September 26, 2021</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r>
      <w:tr>
        <w:trPr>
          <w:trHeight w:val="256"/>
        </w:trPr>
        <w:tc>
          <w:tcPr>
            <w:tcW w:w="2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(3,301 )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5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9,656</w:t>
            </w:r>
          </w:p>
        </w:tc>
        <w:tc>
          <w:tcPr>
            <w:tcW w:w="280" w:type="dxa"/>
            <w:vAlign w:val="bottom"/>
            <w:shd w:val="clear" w:color="auto" w:fill="CFF0FC"/>
          </w:tcPr>
          <w:p>
            <w:pPr>
              <w:spacing w:after="0"/>
              <w:rPr>
                <w:sz w:val="22"/>
                <w:szCs w:val="22"/>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Effective tax rates</w:t>
            </w:r>
          </w:p>
        </w:tc>
        <w:tc>
          <w:tcPr>
            <w:tcW w:w="46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21"/>
                <w:szCs w:val="21"/>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28.9 %</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23.8 %</w:t>
            </w:r>
          </w:p>
        </w:tc>
      </w:tr>
    </w:tbl>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For the 13-week periods ended September 26, 2021 and September 27, 2020, the Company’s effective tax rates of 9.9% and 28.9%, respectively differed from the 21% federal statutory rate primarily due to permanent differences.</w:t>
      </w:r>
    </w:p>
    <w:p>
      <w:pPr>
        <w:spacing w:after="0" w:line="211" w:lineRule="exact"/>
        <w:rPr>
          <w:sz w:val="20"/>
          <w:szCs w:val="20"/>
          <w:color w:val="auto"/>
        </w:rPr>
      </w:pPr>
    </w:p>
    <w:p>
      <w:pPr>
        <w:jc w:val="both"/>
        <w:ind w:left="300"/>
        <w:spacing w:after="0" w:line="269" w:lineRule="auto"/>
        <w:rPr>
          <w:sz w:val="20"/>
          <w:szCs w:val="20"/>
          <w:color w:val="auto"/>
        </w:rPr>
      </w:pPr>
      <w:r>
        <w:rPr>
          <w:rFonts w:ascii="Arial" w:cs="Arial" w:eastAsia="Arial" w:hAnsi="Arial"/>
          <w:sz w:val="18"/>
          <w:szCs w:val="18"/>
          <w:color w:val="auto"/>
        </w:rPr>
        <w:t>For the 39-week period ended September 26, 2021, the Company recognized tax expense on a net loss for the period due to permanent differences related to the Business Combination and the increase in the Simpson earn-out liability recognized during the thirteen weeks ended March 28, 2021. For the 39-week period ended September 27, 2020, the Company’s effective tax rate of 23.8% differed from the 21% federal statutory rate primarily due to permanent differences.</w:t>
      </w:r>
    </w:p>
    <w:p>
      <w:pPr>
        <w:spacing w:after="0" w:line="19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4"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For the thirteen weeks ended</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For the thirty-nine weeks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rPr>
              <w:t>September 26,</w:t>
            </w: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September 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2120" w:type="dxa"/>
            <w:vAlign w:val="bottom"/>
            <w:gridSpan w:val="3"/>
          </w:tcPr>
          <w:p>
            <w:pPr>
              <w:jc w:val="right"/>
              <w:ind w:right="400"/>
              <w:spacing w:after="0"/>
              <w:rPr>
                <w:sz w:val="20"/>
                <w:szCs w:val="20"/>
                <w:color w:val="auto"/>
              </w:rPr>
            </w:pPr>
            <w:r>
              <w:rPr>
                <w:rFonts w:ascii="Arial" w:cs="Arial" w:eastAsia="Arial" w:hAnsi="Arial"/>
                <w:sz w:val="18"/>
                <w:szCs w:val="18"/>
                <w:color w:val="auto"/>
              </w:rPr>
              <w:t>September 26, 2021</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w w:val="99"/>
              </w:rPr>
              <w:t>September 27, 2020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20" w:type="dxa"/>
            <w:vAlign w:val="bottom"/>
            <w:tcBorders>
              <w:top w:val="single" w:sz="8" w:color="auto"/>
            </w:tcBorders>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(30,200 )</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13,543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(9,158 )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30,904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Weighted average common</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160"/>
              <w:spacing w:after="0"/>
              <w:rPr>
                <w:sz w:val="20"/>
                <w:szCs w:val="20"/>
                <w:color w:val="auto"/>
              </w:rPr>
            </w:pPr>
            <w:r>
              <w:rPr>
                <w:rFonts w:ascii="Arial" w:cs="Arial" w:eastAsia="Arial" w:hAnsi="Arial"/>
                <w:sz w:val="18"/>
                <w:szCs w:val="18"/>
                <w:color w:val="auto"/>
              </w:rPr>
              <w:t>shares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106,285,072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67,673,884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80,735,661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67,673,884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potential common</w:t>
            </w:r>
          </w:p>
        </w:tc>
        <w:tc>
          <w:tcPr>
            <w:tcW w:w="420" w:type="dxa"/>
            <w:vAlign w:val="bottom"/>
            <w:shd w:val="clear" w:color="auto" w:fill="CFF0FC"/>
          </w:tcPr>
          <w:p>
            <w:pPr>
              <w:spacing w:after="0"/>
              <w:rPr>
                <w:sz w:val="21"/>
                <w:szCs w:val="21"/>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2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shares</w:t>
            </w:r>
          </w:p>
        </w:tc>
        <w:tc>
          <w:tcPr>
            <w:tcW w:w="420" w:type="dxa"/>
            <w:vAlign w:val="bottom"/>
            <w:shd w:val="clear" w:color="auto" w:fill="CFF0FC"/>
          </w:tcPr>
          <w:p>
            <w:pPr>
              <w:spacing w:after="0"/>
              <w:rPr>
                <w:sz w:val="9"/>
                <w:szCs w:val="9"/>
                <w:color w:val="auto"/>
              </w:rPr>
            </w:pPr>
          </w:p>
        </w:tc>
        <w:tc>
          <w:tcPr>
            <w:tcW w:w="140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2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40" w:type="dxa"/>
            <w:vAlign w:val="bottom"/>
            <w:tcBorders>
              <w:bottom w:val="single" w:sz="8" w:color="CFF0FC"/>
            </w:tcBorders>
            <w:vMerge w:val="continue"/>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148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48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Weighted average common</w:t>
            </w:r>
          </w:p>
        </w:tc>
        <w:tc>
          <w:tcPr>
            <w:tcW w:w="42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106,285,072</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67,673,884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80,735,661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67,673,884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60"/>
              <w:spacing w:after="0"/>
              <w:rPr>
                <w:sz w:val="20"/>
                <w:szCs w:val="20"/>
                <w:color w:val="auto"/>
              </w:rPr>
            </w:pPr>
            <w:r>
              <w:rPr>
                <w:rFonts w:ascii="Arial" w:cs="Arial" w:eastAsia="Arial" w:hAnsi="Arial"/>
                <w:sz w:val="18"/>
                <w:szCs w:val="18"/>
                <w:color w:val="auto"/>
              </w:rPr>
              <w:t>shares assuming dilution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4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(0.28 )</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(0.11 )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(0.28 )</w:t>
            </w:r>
          </w:p>
        </w:tc>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-802005</wp:posOffset>
            </wp:positionV>
            <wp:extent cx="18859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-802005</wp:posOffset>
            </wp:positionV>
            <wp:extent cx="15430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-802005</wp:posOffset>
            </wp:positionV>
            <wp:extent cx="1714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-802005</wp:posOffset>
            </wp:positionV>
            <wp:extent cx="596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jc w:val="both"/>
        <w:ind w:left="300" w:right="20"/>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460" w:type="dxa"/>
            <w:vAlign w:val="bottom"/>
          </w:tcPr>
          <w:p>
            <w:pPr>
              <w:spacing w:after="0"/>
              <w:rPr>
                <w:sz w:val="19"/>
                <w:szCs w:val="19"/>
                <w:color w:val="auto"/>
              </w:rPr>
            </w:pPr>
          </w:p>
        </w:tc>
        <w:tc>
          <w:tcPr>
            <w:tcW w:w="36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For the thirteen weeks ended</w:t>
            </w:r>
          </w:p>
        </w:tc>
        <w:tc>
          <w:tcPr>
            <w:tcW w:w="200" w:type="dxa"/>
            <w:vAlign w:val="bottom"/>
          </w:tcPr>
          <w:p>
            <w:pPr>
              <w:spacing w:after="0"/>
              <w:rPr>
                <w:sz w:val="19"/>
                <w:szCs w:val="19"/>
                <w:color w:val="auto"/>
              </w:rPr>
            </w:pPr>
          </w:p>
        </w:tc>
        <w:tc>
          <w:tcPr>
            <w:tcW w:w="35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For the thirty-nine weeks ended</w:t>
            </w:r>
          </w:p>
        </w:tc>
        <w:tc>
          <w:tcPr>
            <w:tcW w:w="100" w:type="dxa"/>
            <w:vAlign w:val="bottom"/>
          </w:tcPr>
          <w:p>
            <w:pPr>
              <w:spacing w:after="0"/>
              <w:rPr>
                <w:sz w:val="19"/>
                <w:szCs w:val="19"/>
                <w:color w:val="auto"/>
              </w:rPr>
            </w:pPr>
          </w:p>
        </w:tc>
      </w:tr>
      <w:tr>
        <w:trPr>
          <w:trHeight w:val="250"/>
        </w:trPr>
        <w:tc>
          <w:tcPr>
            <w:tcW w:w="346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September 26, 2021</w:t>
            </w:r>
          </w:p>
        </w:tc>
        <w:tc>
          <w:tcPr>
            <w:tcW w:w="26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September 27, 2020</w:t>
            </w:r>
          </w:p>
        </w:tc>
        <w:tc>
          <w:tcPr>
            <w:tcW w:w="20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September 26, 2021</w:t>
            </w:r>
          </w:p>
        </w:tc>
        <w:tc>
          <w:tcPr>
            <w:tcW w:w="22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September 27, 2020</w:t>
            </w:r>
          </w:p>
        </w:tc>
        <w:tc>
          <w:tcPr>
            <w:tcW w:w="100" w:type="dxa"/>
            <w:vAlign w:val="bottom"/>
          </w:tcPr>
          <w:p>
            <w:pPr>
              <w:spacing w:after="0"/>
              <w:rPr>
                <w:sz w:val="21"/>
                <w:szCs w:val="21"/>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shares excluded</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3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from calculation of diluted</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3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EPS: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460" w:type="dxa"/>
            <w:vAlign w:val="bottom"/>
          </w:tcPr>
          <w:p>
            <w:pPr>
              <w:ind w:left="280"/>
              <w:spacing w:after="0"/>
              <w:rPr>
                <w:sz w:val="20"/>
                <w:szCs w:val="20"/>
                <w:color w:val="auto"/>
              </w:rPr>
            </w:pPr>
            <w:r>
              <w:rPr>
                <w:rFonts w:ascii="Arial" w:cs="Arial" w:eastAsia="Arial" w:hAnsi="Arial"/>
                <w:sz w:val="18"/>
                <w:szCs w:val="18"/>
                <w:color w:val="auto"/>
              </w:rPr>
              <w:t>Warrants</w:t>
            </w:r>
          </w:p>
        </w:tc>
        <w:tc>
          <w:tcPr>
            <w:tcW w:w="1680" w:type="dxa"/>
            <w:vAlign w:val="bottom"/>
          </w:tcPr>
          <w:p>
            <w:pPr>
              <w:jc w:val="right"/>
              <w:spacing w:after="0"/>
              <w:rPr>
                <w:sz w:val="20"/>
                <w:szCs w:val="20"/>
                <w:color w:val="auto"/>
              </w:rPr>
            </w:pPr>
            <w:r>
              <w:rPr>
                <w:rFonts w:ascii="Arial" w:cs="Arial" w:eastAsia="Arial" w:hAnsi="Arial"/>
                <w:sz w:val="18"/>
                <w:szCs w:val="18"/>
                <w:color w:val="auto"/>
              </w:rPr>
              <w:t>14,666,644</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14,666,644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3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1,394,008</w:t>
            </w:r>
          </w:p>
        </w:tc>
        <w:tc>
          <w:tcPr>
            <w:tcW w:w="26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1,394,008</w:t>
            </w:r>
          </w:p>
        </w:tc>
        <w:tc>
          <w:tcPr>
            <w:tcW w:w="22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3460" w:type="dxa"/>
            <w:vAlign w:val="bottom"/>
          </w:tcPr>
          <w:p>
            <w:pPr>
              <w:ind w:left="28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658,891</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658,891</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3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Earn-out shares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2,187,500</w:t>
            </w:r>
          </w:p>
        </w:tc>
        <w:tc>
          <w:tcPr>
            <w:tcW w:w="26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2,187,500</w:t>
            </w:r>
          </w:p>
        </w:tc>
        <w:tc>
          <w:tcPr>
            <w:tcW w:w="2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Total anti-dilutive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18,907,043</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18,907,043</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-193675</wp:posOffset>
            </wp:positionV>
            <wp:extent cx="1543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1371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371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summarizes the components of net periodic benefit cost for the defined benefit pension plan:</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For the thirteen weeks ended</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For the thirty-nine weeks ended</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280" w:type="dxa"/>
            <w:vAlign w:val="bottom"/>
          </w:tcPr>
          <w:p>
            <w:pPr>
              <w:spacing w:after="0"/>
              <w:rPr>
                <w:sz w:val="21"/>
                <w:szCs w:val="21"/>
                <w:color w:val="auto"/>
              </w:rPr>
            </w:pP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September 26, 2021</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September 27, 2020</w:t>
            </w:r>
          </w:p>
        </w:tc>
        <w:tc>
          <w:tcPr>
            <w:tcW w:w="1920" w:type="dxa"/>
            <w:vAlign w:val="bottom"/>
            <w:gridSpan w:val="3"/>
          </w:tcPr>
          <w:p>
            <w:pPr>
              <w:ind w:left="40"/>
              <w:spacing w:after="0"/>
              <w:rPr>
                <w:sz w:val="20"/>
                <w:szCs w:val="20"/>
                <w:color w:val="auto"/>
              </w:rPr>
            </w:pPr>
            <w:r>
              <w:rPr>
                <w:rFonts w:ascii="Arial" w:cs="Arial" w:eastAsia="Arial" w:hAnsi="Arial"/>
                <w:sz w:val="18"/>
                <w:szCs w:val="18"/>
                <w:color w:val="auto"/>
              </w:rPr>
              <w:t>September 26, 2021</w:t>
            </w:r>
          </w:p>
        </w:tc>
        <w:tc>
          <w:tcPr>
            <w:tcW w:w="1800" w:type="dxa"/>
            <w:vAlign w:val="bottom"/>
            <w:gridSpan w:val="3"/>
          </w:tcPr>
          <w:p>
            <w:pPr>
              <w:ind w:left="20"/>
              <w:spacing w:after="0"/>
              <w:rPr>
                <w:sz w:val="20"/>
                <w:szCs w:val="20"/>
                <w:color w:val="auto"/>
              </w:rPr>
            </w:pPr>
            <w:r>
              <w:rPr>
                <w:rFonts w:ascii="Arial" w:cs="Arial" w:eastAsia="Arial" w:hAnsi="Arial"/>
                <w:sz w:val="18"/>
                <w:szCs w:val="18"/>
                <w:color w:val="auto"/>
              </w:rPr>
              <w:t>September 27, 2020</w:t>
            </w:r>
          </w:p>
        </w:tc>
      </w:tr>
      <w:tr>
        <w:trPr>
          <w:trHeight w:val="25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Expense:</w:t>
            </w:r>
          </w:p>
        </w:tc>
        <w:tc>
          <w:tcPr>
            <w:tcW w:w="380" w:type="dxa"/>
            <w:vAlign w:val="bottom"/>
            <w:tcBorders>
              <w:top w:val="single" w:sz="8" w:color="auto"/>
            </w:tcBorders>
            <w:shd w:val="clear" w:color="auto" w:fill="CFF0FC"/>
          </w:tcPr>
          <w:p>
            <w:pPr>
              <w:spacing w:after="0"/>
              <w:rPr>
                <w:sz w:val="22"/>
                <w:szCs w:val="22"/>
                <w:color w:val="auto"/>
              </w:rPr>
            </w:pPr>
          </w:p>
        </w:tc>
        <w:tc>
          <w:tcPr>
            <w:tcW w:w="13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22"/>
                <w:szCs w:val="22"/>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return on plan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280" w:type="dxa"/>
            <w:vAlign w:val="bottom"/>
          </w:tcPr>
          <w:p>
            <w:pPr>
              <w:ind w:left="160"/>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(58 )</w:t>
            </w:r>
          </w:p>
        </w:tc>
        <w:tc>
          <w:tcPr>
            <w:tcW w:w="12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(64 )</w:t>
            </w:r>
          </w:p>
        </w:tc>
        <w:tc>
          <w:tcPr>
            <w:tcW w:w="34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(180 )</w:t>
            </w:r>
          </w:p>
        </w:tc>
        <w:tc>
          <w:tcPr>
            <w:tcW w:w="1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(192 )</w:t>
            </w: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net loss</w:t>
            </w: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32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FF0FC"/>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tcBorders>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-193675</wp:posOffset>
            </wp:positionV>
            <wp:extent cx="1460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1460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-193675</wp:posOffset>
            </wp:positionV>
            <wp:extent cx="12890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ind w:left="300"/>
        <w:spacing w:after="0" w:line="271" w:lineRule="auto"/>
        <w:rPr>
          <w:sz w:val="20"/>
          <w:szCs w:val="20"/>
          <w:color w:val="auto"/>
        </w:rPr>
      </w:pPr>
      <w:r>
        <w:rPr>
          <w:rFonts w:ascii="Arial" w:cs="Arial" w:eastAsia="Arial" w:hAnsi="Arial"/>
          <w:sz w:val="18"/>
          <w:szCs w:val="18"/>
          <w:color w:val="auto"/>
        </w:rPr>
        <w:t>The Company made matching contributions totaling $1,019 and $757 to our 401(k) plan during the 13-week periods ended September 26, 2021 and September 27, 2020, respectively. The Company made matching contributions totaling $2,020 and $1,558 to our 401(k) plan during the 39-week periods ended September 26, 2021 and September 27, 2020, respectively.</w:t>
      </w:r>
    </w:p>
    <w:p>
      <w:pPr>
        <w:spacing w:after="0" w:line="217" w:lineRule="exact"/>
        <w:rPr>
          <w:sz w:val="20"/>
          <w:szCs w:val="20"/>
          <w:color w:val="auto"/>
        </w:rPr>
      </w:pPr>
    </w:p>
    <w:p>
      <w:pPr>
        <w:jc w:val="both"/>
        <w:ind w:left="300"/>
        <w:spacing w:after="0" w:line="271" w:lineRule="auto"/>
        <w:rPr>
          <w:sz w:val="20"/>
          <w:szCs w:val="20"/>
          <w:color w:val="auto"/>
        </w:rPr>
      </w:pPr>
      <w:r>
        <w:rPr>
          <w:rFonts w:ascii="Arial" w:cs="Arial" w:eastAsia="Arial" w:hAnsi="Arial"/>
          <w:sz w:val="18"/>
          <w:szCs w:val="18"/>
          <w:color w:val="auto"/>
        </w:rPr>
        <w:t>The Company made contributions of $300 and $294 to our defined benefit pension plan during the 13-week periods ended September 26, 2021 and September 27, 2020, respectively. The Company made contributions of $417 and $477 to our defined benefit pension plan during the 39-week periods ended September 26, 2021 and September 27,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 PLANS</w:t>
      </w:r>
    </w:p>
    <w:p>
      <w:pPr>
        <w:spacing w:after="0" w:line="220"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 based awards to employees, directors and non-employees. The 2021 Plan authorized 8,850,000 new shares of the Company’s common stock to be available for award grants. As of September 26, 2021, 6,797,101 shares of common stock remained available for future issuance under the 2021 Plan.</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Equity-based compensation expense included the following components: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2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For the thirteen weeks ended</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For the thirty-nine weeks ended</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2780" w:type="dxa"/>
            <w:vAlign w:val="bottom"/>
          </w:tcPr>
          <w:p>
            <w:pPr>
              <w:spacing w:after="0"/>
              <w:rPr>
                <w:sz w:val="21"/>
                <w:szCs w:val="21"/>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September 26, 2021</w:t>
            </w:r>
          </w:p>
        </w:tc>
        <w:tc>
          <w:tcPr>
            <w:tcW w:w="340" w:type="dxa"/>
            <w:vAlign w:val="bottom"/>
          </w:tcPr>
          <w:p>
            <w:pPr>
              <w:spacing w:after="0"/>
              <w:rPr>
                <w:sz w:val="21"/>
                <w:szCs w:val="21"/>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22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300" w:type="dxa"/>
            <w:vAlign w:val="bottom"/>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100" w:type="dxa"/>
            <w:vAlign w:val="bottom"/>
          </w:tcPr>
          <w:p>
            <w:pPr>
              <w:spacing w:after="0"/>
              <w:rPr>
                <w:sz w:val="21"/>
                <w:szCs w:val="21"/>
                <w:color w:val="auto"/>
              </w:rPr>
            </w:pPr>
          </w:p>
        </w:tc>
      </w:tr>
      <w:tr>
        <w:trPr>
          <w:trHeight w:val="257"/>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56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62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Profit interest units</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2,110</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2,372</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All equity-based compensation expense is recorded in selling, general and administrative costs in the condensed consolidated statements of comprehensive income.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jc w:val="both"/>
        <w:ind w:left="300"/>
        <w:spacing w:after="0" w:line="268"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at termination of service. On July 16, 2021, the Company granted 1,394,008 options to purchase shares of the Company’s common stock to key employees. These stock options had a weighted-average grant date fair value $3.88 per share and remain outstanding and unvested as of September 26, 2021. Compensation expense for stock options is recorded based on straight-line amortization of the grant date fair value over the requisite service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center"/>
        <w:ind w:right="280"/>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26, 2021, there was $5,033 of unrecognized compensation cost related to unvested stock options that is expected to be recognized over a remaining weighted-average period of 2.8 years.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granted on July 16, 2021 was estimated on the grant date using the Black-Scholes option pricing model with the following assumptions: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expected term</w:t>
            </w:r>
          </w:p>
        </w:tc>
        <w:tc>
          <w:tcPr>
            <w:tcW w:w="38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6.0</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40.3 %</w:t>
            </w: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w:t>
            </w:r>
          </w:p>
        </w:tc>
        <w:tc>
          <w:tcPr>
            <w:tcW w:w="384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0.94 %</w:t>
            </w:r>
          </w:p>
        </w:tc>
      </w:tr>
    </w:tbl>
    <w:p>
      <w:pPr>
        <w:spacing w:after="0" w:line="256"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publicly-traded peer companies since the Company has limited historical volatility.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3" w:lineRule="exact"/>
        <w:rPr>
          <w:sz w:val="20"/>
          <w:szCs w:val="20"/>
          <w:color w:val="auto"/>
        </w:rPr>
      </w:pPr>
    </w:p>
    <w:p>
      <w:pPr>
        <w:jc w:val="both"/>
        <w:ind w:left="20"/>
        <w:spacing w:after="0" w:line="268" w:lineRule="auto"/>
        <w:rPr>
          <w:sz w:val="20"/>
          <w:szCs w:val="20"/>
          <w:color w:val="auto"/>
        </w:rPr>
      </w:pPr>
      <w:r>
        <w:rPr>
          <w:rFonts w:ascii="Arial" w:cs="Arial" w:eastAsia="Arial" w:hAnsi="Arial"/>
          <w:sz w:val="18"/>
          <w:szCs w:val="18"/>
          <w:color w:val="auto"/>
        </w:rPr>
        <w:t>Restricted stock units (“RSUs”) vest ratably over one to three years from the anniversary of the Closing Date, or July 16, 2021, and expire ten years from the date of grant. The fair value of a RSU at the grant date is equal to the market price of the Company’s common stock on the grant date. On September 23, 2021, the Company granted 658,891 RSUs to key employees and directors. These RSUs had a weighted-average grant date fair value of $12.06 per unit and remain outstanding and unvested as of September 26, 2021. Compensation expense for RSUs is recorded based on amortization of the grant date fair market value over the period the restrictions lapse,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26, 2021, there was $7,946 of unrecognized compensation cost related to unvested RSUs that is expected to be recognized over a remaining weighted average period of 2.5 years.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Profit Interest Units</w:t>
      </w:r>
    </w:p>
    <w:p>
      <w:pPr>
        <w:spacing w:after="0" w:line="15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The Holley Stockholder made grants of 8,445 and 5,932 profit interest units (“PIUs”) to certain employees of the Company during the thirty-nine week periods ended September 26, 2021, and September 27, 2020, respectively. PIUs are a special type of limited liability company equity unit that allows the recipient to potentially participate in a future increase in the value of the Company. PIUs are issued for no consideration and generally provide for vesting over the requisite service period, subject to the recipient remaining an employee of the Company through each vesting date. The 2020 grants included 4,507 PIUs that contained certain performance vesting criteria related to the attainment of specified levels of return for certain other investors in Holley Stockholder. The weighted-average grant date fair value of these performance-based PIUs was $0.27 per unit. No expense has been recorded for the performance-based PIUs as meeting the necessary performance conditions for vesting is not considered probable.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2021, there were 36,045 unvested PIUs with a weighted average grant date fair value of $0.64.</w:t>
      </w:r>
    </w:p>
    <w:p>
      <w:pPr>
        <w:spacing w:after="0" w:line="200" w:lineRule="exact"/>
        <w:rPr>
          <w:sz w:val="20"/>
          <w:szCs w:val="20"/>
          <w:color w:val="auto"/>
        </w:rPr>
      </w:pPr>
    </w:p>
    <w:p>
      <w:pPr>
        <w:spacing w:after="0" w:line="28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p>
      <w:pPr>
        <w:jc w:val="both"/>
        <w:ind w:left="300"/>
        <w:spacing w:after="0" w:line="269" w:lineRule="auto"/>
        <w:rPr>
          <w:sz w:val="20"/>
          <w:szCs w:val="20"/>
          <w:color w:val="auto"/>
        </w:rPr>
      </w:pPr>
      <w:r>
        <w:rPr>
          <w:rFonts w:ascii="Arial" w:cs="Arial" w:eastAsia="Arial" w:hAnsi="Arial"/>
          <w:sz w:val="18"/>
          <w:szCs w:val="18"/>
          <w:color w:val="auto"/>
        </w:rPr>
        <w:t>During the 39-week periods ended September 26, 2021 and September 27, 2020, 2,169 and 1,228 PIUs were fully vested, respectively, with a total grant-date fair value of $2,110 and $356 in 2021 and 2020, respectively. As of September 26, 2021, there was $15,999 of total unrecognized compensation cost related to unvested time-based PIUs that is expected to be recognized over a remaining weighted-average period of 1.9 years.</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During the 39-week period ended September 26, 2021, 2,614 PIUs were forfeited.</w:t>
      </w:r>
    </w:p>
    <w:p>
      <w:pPr>
        <w:spacing w:after="0" w:line="200" w:lineRule="exact"/>
        <w:rPr>
          <w:sz w:val="20"/>
          <w:szCs w:val="20"/>
          <w:color w:val="auto"/>
        </w:rPr>
      </w:pPr>
    </w:p>
    <w:p>
      <w:pPr>
        <w:spacing w:after="0" w:line="21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74" w:lineRule="exact"/>
        <w:rPr>
          <w:rFonts w:ascii="Arial" w:cs="Arial" w:eastAsia="Arial" w:hAnsi="Arial"/>
          <w:sz w:val="18"/>
          <w:szCs w:val="18"/>
          <w:b w:val="1"/>
          <w:bCs w:val="1"/>
          <w:color w:val="auto"/>
        </w:rPr>
      </w:pPr>
    </w:p>
    <w:p>
      <w:pPr>
        <w:jc w:val="both"/>
        <w:ind w:lef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is obligated under various operating leases for manufacturing facilities, equipment and automobiles. Leases have a remaining term of one to ten years some of which have an option to renew. The aggregate future minimum fixed lease obligations under operating leases for the Company as of September 26, 2021, are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(excluding the thirty-nine weeks ended September 26, 2021)</w:t>
            </w:r>
          </w:p>
        </w:tc>
        <w:tc>
          <w:tcPr>
            <w:tcW w:w="25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1,705</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2022</w:t>
            </w:r>
          </w:p>
        </w:tc>
        <w:tc>
          <w:tcPr>
            <w:tcW w:w="2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6,485</w:t>
            </w:r>
          </w:p>
        </w:tc>
      </w:tr>
      <w:tr>
        <w:trPr>
          <w:trHeight w:val="26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5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5,036</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2024</w:t>
            </w:r>
          </w:p>
        </w:tc>
        <w:tc>
          <w:tcPr>
            <w:tcW w:w="2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3,679</w:t>
            </w:r>
          </w:p>
        </w:tc>
      </w:tr>
      <w:tr>
        <w:trPr>
          <w:trHeight w:val="26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5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2,752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11,045</w:t>
            </w:r>
          </w:p>
        </w:tc>
      </w:tr>
    </w:tbl>
    <w:p>
      <w:pPr>
        <w:spacing w:after="0" w:line="256" w:lineRule="exact"/>
        <w:rPr>
          <w:sz w:val="20"/>
          <w:szCs w:val="20"/>
          <w:color w:val="auto"/>
        </w:rPr>
      </w:pPr>
    </w:p>
    <w:p>
      <w:pPr>
        <w:jc w:val="both"/>
        <w:ind w:left="300"/>
        <w:spacing w:after="0" w:line="269" w:lineRule="auto"/>
        <w:rPr>
          <w:sz w:val="20"/>
          <w:szCs w:val="20"/>
          <w:color w:val="auto"/>
        </w:rPr>
      </w:pPr>
      <w:r>
        <w:rPr>
          <w:rFonts w:ascii="Arial" w:cs="Arial" w:eastAsia="Arial" w:hAnsi="Arial"/>
          <w:sz w:val="18"/>
          <w:szCs w:val="18"/>
          <w:color w:val="auto"/>
        </w:rPr>
        <w:t>For the 13-week periods ended September 26, 2021 and September 27, 2020, total rent expense under operating leases approximated $1,992 and $968, respectively. For the 39-week periods ended September 26, 2021 and September 27, 2020, total rent expense under operating leases approximated $5,665 and $3,337, respectively. Taxes, insurance and maintenance expenses relating to all leases are obligations of the Company.</w:t>
      </w:r>
    </w:p>
    <w:p>
      <w:pPr>
        <w:spacing w:after="0" w:line="346"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220"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acquisition, restructuring and management fee costs:</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3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For the thirteen weeks ended</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For the thirty-nine weeks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September 27,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September 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26, 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gridSpan w:val="2"/>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4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4"/>
                <w:szCs w:val="24"/>
                <w:color w:val="auto"/>
                <w:vertAlign w:val="superscript"/>
              </w:rPr>
              <w:t>(1)</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24"/>
                <w:szCs w:val="24"/>
                <w:color w:val="auto"/>
                <w:vertAlign w:val="superscript"/>
              </w:rPr>
              <w:t>(2)</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4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4"/>
                <w:szCs w:val="24"/>
                <w:color w:val="auto"/>
                <w:vertAlign w:val="superscript"/>
              </w:rPr>
              <w:t>(3)</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Earn out adjustment </w:t>
            </w:r>
            <w:r>
              <w:rPr>
                <w:rFonts w:ascii="Arial" w:cs="Arial" w:eastAsia="Arial" w:hAnsi="Arial"/>
                <w:sz w:val="24"/>
                <w:szCs w:val="24"/>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acquisition, restructuring</w:t>
            </w:r>
          </w:p>
        </w:tc>
        <w:tc>
          <w:tcPr>
            <w:tcW w:w="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23,618</w:t>
            </w:r>
          </w:p>
        </w:tc>
        <w:tc>
          <w:tcPr>
            <w:tcW w:w="260" w:type="dxa"/>
            <w:vAlign w:val="bottom"/>
            <w:vMerge w:val="restart"/>
            <w:shd w:val="clear" w:color="auto" w:fill="CFF0FC"/>
          </w:tcPr>
          <w:p>
            <w:pPr>
              <w:spacing w:after="0"/>
              <w:rPr>
                <w:sz w:val="20"/>
                <w:szCs w:val="2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220" w:type="dxa"/>
            <w:vAlign w:val="bottom"/>
            <w:vMerge w:val="restart"/>
            <w:shd w:val="clear" w:color="auto" w:fill="CFF0FC"/>
          </w:tcPr>
          <w:p>
            <w:pPr>
              <w:spacing w:after="0"/>
              <w:rPr>
                <w:sz w:val="20"/>
                <w:szCs w:val="20"/>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47,666</w:t>
            </w:r>
          </w:p>
        </w:tc>
        <w:tc>
          <w:tcPr>
            <w:tcW w:w="220" w:type="dxa"/>
            <w:vAlign w:val="bottom"/>
            <w:vMerge w:val="restart"/>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and management fees</w:t>
            </w: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4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4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-25400</wp:posOffset>
            </wp:positionV>
            <wp:extent cx="1543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1543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22" w:lineRule="exact"/>
        <w:rPr>
          <w:sz w:val="20"/>
          <w:szCs w:val="20"/>
          <w:color w:val="auto"/>
        </w:rPr>
      </w:pPr>
    </w:p>
    <w:p>
      <w:pPr>
        <w:ind w:left="740" w:right="20" w:hanging="448"/>
        <w:spacing w:after="0" w:line="266"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potential acquisitions.</w:t>
      </w:r>
    </w:p>
    <w:p>
      <w:pPr>
        <w:ind w:left="740" w:hanging="44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costs incurred as part of the restructuring of operations including professional and consulting services.</w:t>
      </w:r>
    </w:p>
    <w:p>
      <w:pPr>
        <w:spacing w:after="0" w:line="22" w:lineRule="exact"/>
        <w:rPr>
          <w:rFonts w:ascii="Arial" w:cs="Arial" w:eastAsia="Arial" w:hAnsi="Arial"/>
          <w:sz w:val="18"/>
          <w:szCs w:val="18"/>
          <w:color w:val="auto"/>
        </w:rPr>
      </w:pPr>
    </w:p>
    <w:p>
      <w:pPr>
        <w:ind w:left="740" w:hanging="448"/>
        <w:spacing w:after="0" w:line="266"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acquisition costs and management fees paid to Sentinel Capital Partners, including a fee of $23,275 paid in the 13-week period ended September 26, 2021 upon the Closing of the Business Combination.</w:t>
      </w:r>
    </w:p>
    <w:p>
      <w:pPr>
        <w:ind w:left="740" w:hanging="44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fair value adjustment to the contingent consideration payable from the Simpson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HOLLEY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4" w:lineRule="exact"/>
        <w:rPr>
          <w:rFonts w:ascii="Arial" w:cs="Arial" w:eastAsia="Arial" w:hAnsi="Arial"/>
          <w:sz w:val="18"/>
          <w:szCs w:val="18"/>
          <w:b w:val="1"/>
          <w:bCs w:val="1"/>
          <w:color w:val="auto"/>
        </w:rPr>
      </w:pPr>
    </w:p>
    <w:p>
      <w:pPr>
        <w:jc w:val="both"/>
        <w:ind w:lef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216" w:lineRule="exact"/>
        <w:rPr>
          <w:rFonts w:ascii="Arial" w:cs="Arial" w:eastAsia="Arial" w:hAnsi="Arial"/>
          <w:sz w:val="18"/>
          <w:szCs w:val="18"/>
          <w:b w:val="1"/>
          <w:bCs w:val="1"/>
          <w:color w:val="auto"/>
        </w:rPr>
      </w:pPr>
    </w:p>
    <w:p>
      <w:pPr>
        <w:ind w:lef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September 2021, the Company experienced a cybersecurity incident. For details regarding this incident, see Part II - Other Information, Item 1A - Risk Factors of this Form 10-Q.</w:t>
      </w:r>
    </w:p>
    <w:p>
      <w:pPr>
        <w:spacing w:after="0" w:line="210" w:lineRule="exact"/>
        <w:rPr>
          <w:rFonts w:ascii="Arial" w:cs="Arial" w:eastAsia="Arial" w:hAnsi="Arial"/>
          <w:sz w:val="18"/>
          <w:szCs w:val="18"/>
          <w:b w:val="1"/>
          <w:bCs w:val="1"/>
          <w:color w:val="auto"/>
        </w:rPr>
      </w:pPr>
    </w:p>
    <w:p>
      <w:pPr>
        <w:jc w:val="both"/>
        <w:ind w:lef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216" w:lineRule="exact"/>
        <w:rPr>
          <w:rFonts w:ascii="Arial" w:cs="Arial" w:eastAsia="Arial" w:hAnsi="Arial"/>
          <w:sz w:val="18"/>
          <w:szCs w:val="18"/>
          <w:b w:val="1"/>
          <w:bCs w:val="1"/>
          <w:color w:val="auto"/>
        </w:rPr>
      </w:pPr>
    </w:p>
    <w:p>
      <w:pPr>
        <w:ind w:lef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For the thirteen weeks ended</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For the thirty-nine weeks ended</w:t>
            </w:r>
          </w:p>
        </w:tc>
        <w:tc>
          <w:tcPr>
            <w:tcW w:w="10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September 27,</w:t>
            </w:r>
          </w:p>
        </w:tc>
      </w:tr>
      <w:tr>
        <w:trPr>
          <w:trHeight w:val="237"/>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26, 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240" w:type="dxa"/>
            <w:vAlign w:val="bottom"/>
          </w:tcPr>
          <w:p>
            <w:pPr>
              <w:spacing w:after="0"/>
              <w:rPr>
                <w:sz w:val="20"/>
                <w:szCs w:val="20"/>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September 26, 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56"/>
        </w:trPr>
        <w:tc>
          <w:tcPr>
            <w:tcW w:w="340" w:type="dxa"/>
            <w:vAlign w:val="bottom"/>
          </w:tcPr>
          <w:p>
            <w:pPr>
              <w:spacing w:after="0"/>
              <w:rPr>
                <w:sz w:val="22"/>
                <w:szCs w:val="22"/>
                <w:color w:val="auto"/>
              </w:rPr>
            </w:pPr>
          </w:p>
        </w:tc>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FF0FC"/>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Accrued for current year</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warranty claims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20"/>
                <w:szCs w:val="20"/>
                <w:color w:val="auto"/>
              </w:rPr>
            </w:pPr>
          </w:p>
        </w:tc>
      </w:tr>
      <w:tr>
        <w:trPr>
          <w:trHeight w:val="263"/>
        </w:trPr>
        <w:tc>
          <w:tcPr>
            <w:tcW w:w="340" w:type="dxa"/>
            <w:vAlign w:val="bottom"/>
          </w:tcPr>
          <w:p>
            <w:pPr>
              <w:spacing w:after="0"/>
              <w:rPr>
                <w:sz w:val="22"/>
                <w:szCs w:val="22"/>
                <w:color w:val="auto"/>
              </w:rPr>
            </w:pPr>
          </w:p>
        </w:tc>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warranty claims</w:t>
            </w:r>
          </w:p>
        </w:tc>
        <w:tc>
          <w:tcPr>
            <w:tcW w:w="3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(2,310 )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(3,176 )</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(6,806 )</w:t>
            </w:r>
          </w:p>
        </w:tc>
        <w:tc>
          <w:tcPr>
            <w:tcW w:w="16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(7,595 )</w:t>
            </w:r>
          </w:p>
        </w:tc>
      </w:tr>
      <w:tr>
        <w:trPr>
          <w:trHeight w:val="250"/>
        </w:trPr>
        <w:tc>
          <w:tcPr>
            <w:tcW w:w="340" w:type="dxa"/>
            <w:vAlign w:val="bottom"/>
          </w:tcPr>
          <w:p>
            <w:pPr>
              <w:spacing w:after="0"/>
              <w:rPr>
                <w:sz w:val="21"/>
                <w:szCs w:val="21"/>
                <w:color w:val="auto"/>
              </w:rPr>
            </w:pPr>
          </w:p>
        </w:tc>
        <w:tc>
          <w:tcPr>
            <w:tcW w:w="3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top w:val="single" w:sz="8" w:color="CFF0FC"/>
            </w:tcBorders>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w w:val="99"/>
              </w:rPr>
              <w:t>26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-716280</wp:posOffset>
            </wp:positionV>
            <wp:extent cx="15430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-716280</wp:posOffset>
            </wp:positionV>
            <wp:extent cx="15430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-716280</wp:posOffset>
            </wp:positionV>
            <wp:extent cx="1289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Unless the context requires otherwise, references to “Holley,” “we,” “us,” “our” and “the Company” in this section are to the business and operations of Holley Inc.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designer, marketer, and manufacturer of high 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The Company’s products are designed to enhance street, off-road, recreational and competitive vehicle performance and safety.</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Innovation is at the core of our business and growth strategy. Approximately 40%, 40% and 36%, of our annual sales for fiscal 2020, 2019 and 2018, respectively, were generated by products that we first introduced in the last five years.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 Between 2014 and 2020 we completed eight acquisitions, which, as of the end of 2020, generated a total of $35 million of cost saving synergies through reductions in product cost, elimination of headcount, facility costs and other SG&amp;A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those under the caption, “Risk Factors,” in our prospectus, as filed with the SEC on July 28, 2021, and those in our subsequent filings with the SEC.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8"/>
          <w:szCs w:val="18"/>
          <w:color w:val="auto"/>
        </w:rPr>
        <w:t>The Business Combination was accounted for as a reverse recapitalization. Holdings was deemed the accounting acquirer with Holley Inc. as the successor registrant. As such, Empower was treated as the acquired company for financial reporting purposes, and financial statements for periods prior to the Business Combination are those of Holdings.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 Company’s geographic presence, provide a highly synergistic opportunity and/or enhance Holley’s ability to provide a wide array of its products to its customers through its distribution network.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of these acquisitions impacting the comparability of our operating results were:</w:t>
      </w:r>
    </w:p>
    <w:p>
      <w:pPr>
        <w:spacing w:after="0" w:line="109"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i w:val="1"/>
          <w:iCs w:val="1"/>
          <w:color w:val="auto"/>
        </w:rPr>
        <w:t>AEM Performance Electronics</w:t>
      </w:r>
      <w:r>
        <w:rPr>
          <w:rFonts w:ascii="Arial" w:cs="Arial" w:eastAsia="Arial" w:hAnsi="Arial"/>
          <w:sz w:val="18"/>
          <w:szCs w:val="18"/>
          <w:color w:val="auto"/>
        </w:rPr>
        <w:t>: On April 14, 2021 Holley acquired AEM Performance Electronics (“AEM”), a developer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of electronic control and monitoring systems for performance automotive applications. This acquisition increases Holley’s penetration into the import and other sport compact cars submarket.</w:t>
      </w:r>
    </w:p>
    <w:p>
      <w:pPr>
        <w:spacing w:after="0" w:line="62" w:lineRule="exact"/>
        <w:rPr>
          <w:sz w:val="20"/>
          <w:szCs w:val="20"/>
          <w:color w:val="auto"/>
        </w:rPr>
      </w:pPr>
    </w:p>
    <w:p>
      <w:pPr>
        <w:jc w:val="both"/>
        <w:ind w:left="960"/>
        <w:spacing w:after="0" w:line="278" w:lineRule="auto"/>
        <w:rPr>
          <w:sz w:val="20"/>
          <w:szCs w:val="20"/>
          <w:color w:val="auto"/>
        </w:rPr>
      </w:pPr>
      <w:r>
        <w:rPr>
          <w:rFonts w:ascii="Arial" w:cs="Arial" w:eastAsia="Arial" w:hAnsi="Arial"/>
          <w:sz w:val="18"/>
          <w:szCs w:val="18"/>
          <w:b w:val="1"/>
          <w:bCs w:val="1"/>
          <w:i w:val="1"/>
          <w:iCs w:val="1"/>
          <w:color w:val="auto"/>
        </w:rPr>
        <w:t xml:space="preserve">Drake Automotive Group: </w:t>
      </w:r>
      <w:r>
        <w:rPr>
          <w:rFonts w:ascii="Arial" w:cs="Arial" w:eastAsia="Arial" w:hAnsi="Arial"/>
          <w:sz w:val="18"/>
          <w:szCs w:val="18"/>
          <w:color w:val="auto"/>
        </w:rPr>
        <w:t>On November 11, 2020 Holley acquired Drake Automotive Group LLC (“Drake”), a designer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 of automotive aftermarket appearance parts, wheels, chassis &amp; suspension products and accessories. This acquisition increases Holley’s penetration within the Ford/Mustang platform where it has historically been under indexed relative to the market.</w:t>
      </w:r>
    </w:p>
    <w:p>
      <w:pPr>
        <w:spacing w:after="0" w:line="67"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i w:val="1"/>
          <w:iCs w:val="1"/>
          <w:color w:val="auto"/>
        </w:rPr>
        <w:t xml:space="preserve">Simpson Performance Products: </w:t>
      </w:r>
      <w:r>
        <w:rPr>
          <w:rFonts w:ascii="Arial" w:cs="Arial" w:eastAsia="Arial" w:hAnsi="Arial"/>
          <w:sz w:val="18"/>
          <w:szCs w:val="18"/>
          <w:color w:val="auto"/>
        </w:rPr>
        <w:t>On November 16, 2020 Holley acquired Simpson Performance Products, Inc. (“Simpson”),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designer and seller of motorsport safety products including helmets head &amp; neck restraints, seat belts, firesuits and more. This acquisition extended Holley’s footprint into the safety and racing segment.</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acquisitions have all been accounted for in accordance with FASB ASC Topic 805, Business Combinations, and the operations of the acquired entities are included in our historical results for the periods following the closing of the acquisition. See Note 1, “Description of the Business, Basis of Presentation, and Summary of Significant Accounting Policies,” and Note 2, “Business Combination and Acquisitions,” in the Notes to the Condensed Consolidated Financial Statements included elsewhere in this quarterly report on Form 10-Q for additional information related to the Company’s acquisitions and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Holley’s operating results have fluctuated on a quarterly and annual basis in the past and can be expected to continue to fluctuate in the future as a result of a number of factors, some of which are beyond the Company’s control. Due to these factors and others, which may be unknown to the Company at this time, operating results in future periods can be expected to fluctuate. Accordingly, the Company’s historical results of operations may not be indicative of future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Geopolitical</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Geopolitical factors could adversely impact the U.S. and other economies, with specific impacts felt by the automotive sector. In particular, changes to international trade agreements, such as the United States-Mexico-Canada Agreement or other political pressures could affect the operations of the Company’s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2" w:name="page33"/>
    <w:bookmarkEnd w:id="32"/>
    <w:p>
      <w:pPr>
        <w:ind w:right="1080"/>
        <w:spacing w:after="0" w:line="430" w:lineRule="auto"/>
        <w:rPr>
          <w:sz w:val="20"/>
          <w:szCs w:val="20"/>
          <w:color w:val="auto"/>
        </w:rPr>
      </w:pPr>
      <w:r>
        <w:rPr>
          <w:rFonts w:ascii="Arial" w:cs="Arial" w:eastAsia="Arial" w:hAnsi="Arial"/>
          <w:sz w:val="18"/>
          <w:szCs w:val="18"/>
          <w:color w:val="auto"/>
        </w:rPr>
        <w:t xml:space="preserve">customers, resulting in reduced automotive production in certain regions or shifts in the mix of production to higher cost regions. </w:t>
      </w:r>
      <w:r>
        <w:rPr>
          <w:rFonts w:ascii="Arial" w:cs="Arial" w:eastAsia="Arial" w:hAnsi="Arial"/>
          <w:sz w:val="18"/>
          <w:szCs w:val="18"/>
          <w:b w:val="1"/>
          <w:bCs w:val="1"/>
          <w:i w:val="1"/>
          <w:iCs w:val="1"/>
          <w:color w:val="auto"/>
        </w:rPr>
        <w:t>Competition</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performance automotive industry is highly competitive. The principal factors on which industry participants compete include technical features, performance, product design, innovation, reliability and durability, brand, time to market, customer service, reliable order execution, and price. Existing competitors may expand their product offerings and sales strategies, and new competitors may enter the market. If Holley’s market share decreases due to increased competition, its revenue and ability to generate profits in the future may be impacted.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Holley is subject to federal, state and local regulations including consumer laws and regulations, tax laws and regulations, and engineering and environmental laws and regulations. Holley’s current business plan assumes no material change in these laws and regulations. In the event any such change occurs, compliance with new laws and regulations might significantly affect Holley’s operations and cost of doing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COVID-19 has adversely impacted global supply chain and general economic conditions. The Company has experienced disruptions and higher costs in manufacturing, supply chain, logistical operations, and shortages of certain Company products in distribution channels. The full extent of the impact of the COVID-19 pandemic on the Company's business and operational and financial performance and condition is currently uncertain and will depend on many factors outside the Company's control, including but not limited to the timing, extent, duration and effects of the virus and any of its mutations, the utilization and effectiveness of treatments and vaccines, the imposition of effective public safety and other protective measures, the further impact of COVID-19 on the global economy and demand for the Company's products and services. Should the COVID-19 pandemic, including variants such as Delta, not improve or worsen, or if the Company's attempt to mitigate its impact on its supply chain, operations and costs is not successful, the Company's business, results of operations, financial condition and prospects may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shipping and handling and inspection and repair costs are also included within costs of goods sold. Reductions in the cost of inventory to its net realizable value are also a component of cost of goods sold.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Gross profit consists of Holley’s net sales less its cost of goods sold. Gross margin is gross profit as a percentage of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pre-production and start-up costs are also included within selling, general, and administrative. The Company expects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consist of personnel expenses and other costs associated with the development and innovation of new products as well as the maintenance of existing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consists of amortization of definite-lived intangible assets over their respective useful lives.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Related party acquisition and management fee costs consist of fees paid to the Company’s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consist of foreign currency transaction gains and losses, gains and losses on the disposal of fixed asset and other miscellaneous items.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consists of Holley’s gross profit less selling, general and administrative expenses, amortization of intangibles, acquisition, restructuring and management fee costs and other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liability includes net gains and losses from the revaluation of the warrant liability. Warrants recorded as liabilities are remeasured at their fair value each reporting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earn-out liability includes net gains and losses from the revaluation of the Earn-Out Shares. Earn-Out Shares recorded as liabilities are remeasured at their fair value each reporting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the early extinguishment of debt is comprised of the write-off of certain deferred financing costs as a result of the early paydown on Holley's second-lien notes.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LIBOR or the prime rate, plus the applicable margin rate. As of September 26, 2021, $539.2 million was outstanding under the First Lien Credit Agreement and $45.0 million outstanding under our Second Lien Credit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Company’s current income tax expense less the deferred income tax benefit.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Adjustment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translation adjustment is based on the translation of assets and liabilities translated using period end exchange rates and revenue and expenses translated using average exchange rates.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September 26, 2021 Compared With 13-Week Period Ended September 27,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13-week periods ended September 26, 2021 and September 27, 2020:</w:t>
      </w: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4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For the thirteen weeks ended</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50"/>
        </w:trPr>
        <w:tc>
          <w:tcPr>
            <w:tcW w:w="4500" w:type="dxa"/>
            <w:vAlign w:val="bottom"/>
          </w:tcPr>
          <w:p>
            <w:pPr>
              <w:spacing w:after="0"/>
              <w:rPr>
                <w:sz w:val="21"/>
                <w:szCs w:val="21"/>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26, 2021</w:t>
            </w:r>
          </w:p>
        </w:tc>
        <w:tc>
          <w:tcPr>
            <w:tcW w:w="26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September 27, 2020</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r>
      <w:tr>
        <w:trPr>
          <w:trHeight w:val="257"/>
        </w:trPr>
        <w:tc>
          <w:tcPr>
            <w:tcW w:w="4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r>
      <w:tr>
        <w:trPr>
          <w:trHeight w:val="257"/>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159,673</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133,307</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26,366</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19.8 %</w:t>
            </w: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94,475</w:t>
            </w:r>
          </w:p>
        </w:tc>
        <w:tc>
          <w:tcPr>
            <w:tcW w:w="2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77,778</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21.5 %</w:t>
            </w: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65,198</w:t>
            </w:r>
          </w:p>
        </w:tc>
        <w:tc>
          <w:tcPr>
            <w:tcW w:w="2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55,529</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17.4 %</w:t>
            </w: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28,891</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17,303</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11,588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67.0 %</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19.2 %</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Amortization of intangible</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6"/>
        </w:trPr>
        <w:tc>
          <w:tcPr>
            <w:tcW w:w="4500" w:type="dxa"/>
            <w:vAlign w:val="bottom"/>
          </w:tcPr>
          <w:p>
            <w:pPr>
              <w:ind w:left="16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3,553</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31.6 %</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restructuring costs</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(724 )</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(66.3 %)</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Related party acquisition and</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6"/>
        </w:trPr>
        <w:tc>
          <w:tcPr>
            <w:tcW w:w="4500" w:type="dxa"/>
            <w:vAlign w:val="bottom"/>
          </w:tcPr>
          <w:p>
            <w:pPr>
              <w:ind w:left="160"/>
              <w:spacing w:after="0"/>
              <w:rPr>
                <w:sz w:val="20"/>
                <w:szCs w:val="20"/>
                <w:color w:val="auto"/>
              </w:rPr>
            </w:pPr>
            <w:r>
              <w:rPr>
                <w:rFonts w:ascii="Arial" w:cs="Arial" w:eastAsia="Arial" w:hAnsi="Arial"/>
                <w:sz w:val="18"/>
                <w:szCs w:val="18"/>
                <w:color w:val="auto"/>
              </w:rPr>
              <w:t>management fee costs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23,250</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22,356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2,501 %</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(821 )</w:t>
            </w: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n/a</w:t>
            </w:r>
          </w:p>
        </w:tc>
      </w:tr>
      <w:tr>
        <w:trPr>
          <w:trHeight w:val="20"/>
        </w:trPr>
        <w:tc>
          <w:tcPr>
            <w:tcW w:w="45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1,914</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28,380</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(26,466 )</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(93.3 %)</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n/a</w:t>
            </w: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6,866</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n/a</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2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5.6 %</w:t>
            </w: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(33,501 )</w:t>
            </w: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(52,556 )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(275.8 %)</w:t>
            </w: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(3,301 )</w:t>
            </w: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5,512</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(8,813 )</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(159.9 %)</w:t>
            </w:r>
          </w:p>
        </w:tc>
      </w:tr>
      <w:tr>
        <w:trPr>
          <w:trHeight w:val="20"/>
        </w:trPr>
        <w:tc>
          <w:tcPr>
            <w:tcW w:w="4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(30,200 )</w:t>
            </w: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(43,743 )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(323.0 %)</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c>
          <w:tcPr>
            <w:tcW w:w="560" w:type="dxa"/>
            <w:vAlign w:val="bottom"/>
          </w:tcPr>
          <w:p>
            <w:pPr>
              <w:spacing w:after="0"/>
              <w:rPr>
                <w:sz w:val="22"/>
                <w:szCs w:val="2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22"/>
                <w:szCs w:val="22"/>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r>
      <w:tr>
        <w:trPr>
          <w:trHeight w:val="20"/>
        </w:trPr>
        <w:tc>
          <w:tcPr>
            <w:tcW w:w="4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7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(30,231 )</w:t>
            </w: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38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(43,774 )</w:t>
            </w:r>
          </w:p>
        </w:tc>
        <w:tc>
          <w:tcPr>
            <w:tcW w:w="16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(323.2 %)</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-1685290</wp:posOffset>
            </wp:positionV>
            <wp:extent cx="16256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-1685290</wp:posOffset>
            </wp:positionV>
            <wp:extent cx="24003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-1685290</wp:posOffset>
            </wp:positionV>
            <wp:extent cx="2057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162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1625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2400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2400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2057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2057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Net sales for the 13-week period ended September 26, 2021 increased $26.4 million, or 19.8%, to $159.7 million, as compared to $133.3 million for the 13-week period ended September 27, 2020. Net sales during the 13-week period ended September 26, 2021 increased $29.8 million due to our recent business acquisitions. Additionally, we estimate that approximately $7 million of sales were deferred from third quarter into fourth quarter due to a cybersecurity incident near the end of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 of goods sold for 13-week period ended September 26, 2021 increased $16.7 million, or 21.5%, to $94.5 million, as compared to $77.8 million for the 13-week period ended September 27, 2020. The increase in cost of goods sold during the 13-week period ended September 26, 2021 was in line with a corresponding increase in product sales during such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Gross profit for the 13-week period ended September 26, 2021 increased $9.7 million, or 17.4%, to $65.2 million, as compared to $55.5 million for the 13-week period ended September 27, 2020. The increase in gross profit was driven by the increase in sales. Gross margin for the 13-week period ended September 26, 2021 was 40.8% compared to a gross margin of 41.7% for the 13-week period ended September 27,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decline in margin is attributable to increased inbound shipping costs, some component cost increases, and product mix.</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costs for the 13-week period ended September 26, 2021 increased $11.6 million, or 67.0%, to $28.9 million, as compared to $17.3 million for the 13-week period ended September 27, 2020. When expressed as a percentage of sales, selling, general and administrative costs increased to 18.1% of sales for the 13-week period ended September 26, 2021, as compared to 13.0% of sales in 2020. $5.4 million of the increase is related to selling, general and administrative costs of recent acquisitions. The increase in costs was also driven by a $2.4 million increase in compensation expense related to equity awards, a $1.2 million increase in outbound shipping costs related to higher sales and domestic supply chain pressure, and a $0.5 million increase in professional fees, primarily due to the Business Combination and as a result of becoming a public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costs for the 13-week period ended September 26, 2021 increased $1.1 million, or 19.2%, to $7.1 million, as compared to $6.0 million for the 13-week period ended September 27, 2020. The increase in research and development costs was primarily due to headcount investments as we continue to pursue product innovation and new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 assets for the 13-week period ended September 26, 2021 increased $0.8 million, or 31.6%, to $3.5 million, as compared to $2.7 million for the 13-week period ended September 27, 2020 due to recent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for the 13-week period ended September 26, 2021 decreased $0.7 million, to $0.4 million, as compared to $1.1 million for the 13-week period ended September 27, 2020, reflecting lower restructuring costs related to the businesses recently acquired.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Related party acquisition and management fees for the 13-week period ended September 26, 2021 were $23.3 million, which represents a fee paid upon the Closing of the Business Combination. Related party acquisition and management fee costs were $0.9 million for the 13-week period ended September 27,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operating income for the 13-week period ended September 26, 2021 decreased ($26.4) million, or (93.3%), to $1.9 million, as compared to $28.3 million for the 13-week period ended September 27,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the 13-week period ended September 26, 2021 we recognized a loss of $17.3 million from the change in fair value of the warrant liability.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the 13-week period ended September 26, 2021 we recognized a loss of $6.9 million from the change in fair value of the earn-out liability.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color w:val="auto"/>
        </w:rPr>
        <w:t>For the 13-week period ended September 26, 2021 we recognized a loss of $1.4 million from the write-off of unamortized debt issuance costs as we used a portion of the net proceeds from the Business Combination to repay $100 million of the outstanding principal of our second lien note.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for the 13-week period ended September 26, 2021 increased $0.5 million, or 5.6%, to $9.8 million as compared to $9.3 million for the 13-week period ended September 27, 2020, due to a higher effective interest rate which offset the favorable impact of the $100 million paydown on our second lien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income before income taxes for the 13-week period ended September 26, 2021 decreased $52.5 million to ($33.5) million, as compared to $19.0 million for the 13-week period ended September 27,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Income tax expense for the 13-week period ended September 26, 2021 decreased $8.8 million to ($3.3) million, as compared to $5.5 million for the 13-week period ended September 27, 2020. The decrease resulted primarily from the increased costs associated with the Business Combination. The effective tax rates were 9.9% and 28.9% for the 13-week periods ended September 26, 2021 and September 27,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net income for the 13-week period ended September 26, 2021 decreased $43.7 million to ($30.2) million, as compared to $13.5 million for the 13-week period ended September 27,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total comprehensive income for the 13-week period ended September 26, 2021 decreased $43.7 million to ($30.2) million, as compared to $13.5 million for the 13-week period ended September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39-Week Period Ended September 26, 2021 Compared With 39-Week Period Ended September 27,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39-week periods ended September 26, 2021 and September 27, 2020: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50"/>
        </w:trPr>
        <w:tc>
          <w:tcPr>
            <w:tcW w:w="468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September 26, 2021</w:t>
            </w:r>
          </w:p>
        </w:tc>
        <w:tc>
          <w:tcPr>
            <w:tcW w:w="36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September 27, 2020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r>
      <w:tr>
        <w:trPr>
          <w:trHeight w:val="257"/>
        </w:trPr>
        <w:tc>
          <w:tcPr>
            <w:tcW w:w="4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r>
      <w:tr>
        <w:trPr>
          <w:trHeight w:val="25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513,046</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365,760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147,286</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40.3 %</w:t>
            </w:r>
          </w:p>
        </w:tc>
      </w:tr>
      <w:tr>
        <w:trPr>
          <w:trHeight w:val="257"/>
        </w:trPr>
        <w:tc>
          <w:tcPr>
            <w:tcW w:w="4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300,969</w:t>
            </w:r>
          </w:p>
        </w:tc>
        <w:tc>
          <w:tcPr>
            <w:tcW w:w="3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212,070</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41.9 %</w:t>
            </w:r>
          </w:p>
        </w:tc>
      </w:tr>
      <w:tr>
        <w:trPr>
          <w:trHeight w:val="250"/>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212,077</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153,690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38.0 %</w:t>
            </w: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79,093</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48,790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30,303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62.1 %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20,167</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17.3 %</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Amortization of intangible</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4680" w:type="dxa"/>
            <w:vAlign w:val="bottom"/>
          </w:tcPr>
          <w:p>
            <w:pPr>
              <w:ind w:left="18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10,391</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28.3 %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restructuring costs</w:t>
            </w:r>
          </w:p>
        </w:tc>
        <w:tc>
          <w:tcPr>
            <w:tcW w:w="3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21,877</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16,253</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289.0 %</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Related party acquisition and</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6"/>
        </w:trPr>
        <w:tc>
          <w:tcPr>
            <w:tcW w:w="4680" w:type="dxa"/>
            <w:vAlign w:val="bottom"/>
          </w:tcPr>
          <w:p>
            <w:pPr>
              <w:ind w:left="180"/>
              <w:spacing w:after="0"/>
              <w:rPr>
                <w:sz w:val="20"/>
                <w:szCs w:val="20"/>
                <w:color w:val="auto"/>
              </w:rPr>
            </w:pPr>
            <w:r>
              <w:rPr>
                <w:rFonts w:ascii="Arial" w:cs="Arial" w:eastAsia="Arial" w:hAnsi="Arial"/>
                <w:sz w:val="18"/>
                <w:szCs w:val="18"/>
                <w:color w:val="auto"/>
              </w:rPr>
              <w:t>management fee costs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25,789</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867.7 %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(1,089 )</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n/a</w:t>
            </w:r>
          </w:p>
        </w:tc>
      </w:tr>
      <w:tr>
        <w:trPr>
          <w:trHeight w:val="20"/>
        </w:trPr>
        <w:tc>
          <w:tcPr>
            <w:tcW w:w="4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54,757</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72,403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(17,646 )</w:t>
            </w:r>
          </w:p>
        </w:tc>
        <w:tc>
          <w:tcPr>
            <w:tcW w:w="2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(24.4 %)</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n/a</w:t>
            </w: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6,866</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r>
      <w:tr>
        <w:trPr>
          <w:trHeight w:val="26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36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n/a</w:t>
            </w:r>
          </w:p>
        </w:tc>
      </w:tr>
      <w:tr>
        <w:trPr>
          <w:trHeight w:val="257"/>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31,096</w:t>
            </w: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31,843</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(747 )</w:t>
            </w:r>
          </w:p>
        </w:tc>
        <w:tc>
          <w:tcPr>
            <w:tcW w:w="2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r>
      <w:tr>
        <w:trPr>
          <w:trHeight w:val="20"/>
        </w:trPr>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50"/>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(1,903 )</w:t>
            </w: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(42,463 )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(104.7 %)</w:t>
            </w:r>
          </w:p>
        </w:tc>
      </w:tr>
      <w:tr>
        <w:trPr>
          <w:trHeight w:val="256"/>
        </w:trPr>
        <w:tc>
          <w:tcPr>
            <w:tcW w:w="46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7,255</w:t>
            </w: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9,656</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(2,401 )</w:t>
            </w:r>
          </w:p>
        </w:tc>
        <w:tc>
          <w:tcPr>
            <w:tcW w:w="2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(24.9 %)</w:t>
            </w:r>
          </w:p>
        </w:tc>
      </w:tr>
      <w:tr>
        <w:trPr>
          <w:trHeight w:val="20"/>
        </w:trPr>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50"/>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(9,158 )</w:t>
            </w: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(40,062 )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(129.6 %)</w:t>
            </w:r>
          </w:p>
        </w:tc>
      </w:tr>
      <w:tr>
        <w:trPr>
          <w:trHeight w:val="256"/>
        </w:trPr>
        <w:tc>
          <w:tcPr>
            <w:tcW w:w="4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2"/>
                <w:szCs w:val="22"/>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(12 )</w:t>
            </w:r>
          </w:p>
        </w:tc>
        <w:tc>
          <w:tcPr>
            <w:tcW w:w="5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22"/>
                <w:szCs w:val="22"/>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r>
      <w:tr>
        <w:trPr>
          <w:trHeight w:val="20"/>
        </w:trPr>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70"/>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(9,170 )</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30,904</w:t>
            </w: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(40,074 )</w:t>
            </w:r>
          </w:p>
        </w:tc>
        <w:tc>
          <w:tcPr>
            <w:tcW w:w="24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(129.7 %)</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-1685290</wp:posOffset>
            </wp:positionV>
            <wp:extent cx="22288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-1685290</wp:posOffset>
            </wp:positionV>
            <wp:extent cx="14605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-1685290</wp:posOffset>
            </wp:positionV>
            <wp:extent cx="1371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2228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222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1460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1460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137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39-week period ended September 26, 2021 increased $147.2 million, or 40.3%, to $513.0 million, as compared to $365.8 million for the 39-week period ended September 27, 2020. Net sales during the 39-week period ended September 26, 2021 increased $93.0 million due to our recent business acquisitions. In addition, our electronic products increased $32.6 million, or 16.5%, and our exhaust products increased $6.3 million, or 11.9%, primarily due higher sales volume reflecting the continued success of our new product introductions.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 of goods sold for the 39-week period ended September 26, 2021 increased $88.9 million, or 41.9%, to $301.0 million, as compared to $212.1 million for the 39-week period ended September 27, 2020. The increase in cost of goods sold during the 39-week period ended September 26, 2021 was in line with a corresponding increase in product sales during such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Gross profit for the 39-week period ended September 26, 2021 increased $58.3 million, or 38.0%, to $212.0 million, as compared to $153.7 million for the 39-week period ended September 27, 2020. The increase in gross profit was driven by the increase in sales. Gross margin for the 39-week period ended September 26, 2021 was 41.3% compared to a gross margin of 42.0% for the 39-week period ended September 27, 2020. The decline in margin is attributable to increased inbound shipping costs, some component cost increases, and product mix.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costs for the 39-week period ended September 26, 2021 increased $30.3 million, or 62.1%, to $79.1 million, as compared to $48.8 million for the 39-week period ended September 27, 2020. When expressed as a percentage of sales, selling, general and administrative costs increased to 15.4% of sales for the 39-week period ended September 26, 2021, as compared to 13.3% of sales in 2020. $14.4 million of the increase is related to selling, general and administrative costs of recent acquisitions. The increase in costs was driven by a $4.5 million increase in shipping and handling costs related to higher sales, a $4.0 million increase in professional fees, primarily due to the Business Combination and as a result of becoming a public company, and a $2.4 million increase in compensation expense related to equity awards.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costs for the 39-week period ended September 26, 2021 increased $2.9 million, or 17.3%, to $20.1 million, as compared to $17.2 million for the 39-week period ended September 27, 2020. The increase in research and development costs were primarily due to headcount investments as we continue to pursue product innovation and new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 assets for the 39-week period ended September 26, 2021 increased $2.3 million, or 28.3%, to $10.4 million, as compared to $8.1 million for the 39-week period ended September 27, 2020 due to recent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for the 39-week period ended September 26, 2021 increased $16.3 million, or 289.0%, to $21.9 million, as compared to $5.6 million for the 39-week period ended September 27, 2020. The increase was primarily due to an increase of $17.2 million to the contingent consideration payable from the Simpson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Related party acquisition and management fee costs for the 39-week period ended September 26, 2021 were $25.8 million, which includes a fee of $23.3 million paid upon the Closing of the Business Combination. Related party acquisition and management fee costs for the 39-week period ended September 27, 2020 were $2.7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operating income for the 39-week period ended September 26, 2021 increased ($17.7) million, or (24.4%), to $54.7 million, as compared to $72.4 million for the 39-week period ended September 27,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39-week period ended September 26, 2021 we recognized a loss of $17.3 million from the change in fair value of the warrant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the39-week period ended September 26, 2021 we recognized a loss of $6.8 million from the change in fair value of the earn-out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39-week period ended September 26, 2021 we recognized a loss of $1.4 million from the write-off of unamortized debt issuance costs as we used a portion of the net proceeds from the Business Combination to repay $100 million of the outstanding principal of our second lien note.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39-week period ended September 26, 2021 decreased ($0.7) million, or (2.3%), to $31.1 million, as compared to $31.8 million for the thirty-nine weeks ended September 27, 2020. The decrease was primarily due to a lower effective interest 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income before income taxes for the 39-week period ended September 26, 2021 decreased $42.5 million, or (104.7%), to ($1.9) million, as compared to $40.6 million for the 39-week period ended September 27,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Income tax expense for the 39-week period ended September 26, 2021 decreased $2.4 million to $7.3 million, as compared to $9.7 million for the 39-week period ended September 27, 2020. We recognized tax expense on a net loss for the 39-week period ended September 26, 2021 due to permanent differences resulting from the Business Combination and the adjustment to the Simpson earnout during the period. The effective tax rate for the 39-week period ended September 27, 2020 was 23.8%.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net income for the 39-week period ended September 26, 2021 decreased $40.1 million to ($9.2) million, as compared to $30.9 million for the 39-week period ended September 27,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factors described above, total comprehensive income for the 39-week period ended September 26, 2021 decreased $40.1 million to ($9.2) million, as compared to $30.9 million for the 39-week period ended September 27,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Holley defines EBITDA as earnings before (a) interest expense, (b) income taxes and (c) depreciation and amortization. Holley defines Adjusted EBITDA as EBITDA plus (i) notable items that in 2021 consist primarily of the amortization of the fair market value increase in inventory and in 2020 consist primarily of the amortization of the fair market value increase in inventory and a legal settlement, (ii) compensation expense related to equity awards (iii) acquisition and restructuring costs, which for the 39-week period ended September 26, 2021 includes a $17.2 million adjustment due to a change in the fair value of the Simpson acquisition contingent consideration payable, (iv) changes in the fair value of the warrant liability, (v) changes in the fair value of the earn-out liability, (vi) losses from the early extinguishment of debt, (vii) related party acquisition and management fee costs, and (viii) other expenses, which includes losses from disposal of fixed assets and foreign currency transactions. We have included within the definition of Adjusted EBITDA the changes in the fair value of the warrant liability, changes in the fair value of the earn-out liability and losses from the early extinguishment of debt, as management believes such matters, when they occur, do not directly reflect the performance of the underlying business.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 EBITDA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13-week and 39-week periods ended September 26, 2021 and September 27,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For the thirteen weeks ended</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For the thirty-nine weeks ended</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26, 2021</w:t>
            </w:r>
          </w:p>
        </w:tc>
        <w:tc>
          <w:tcPr>
            <w:tcW w:w="240" w:type="dxa"/>
            <w:vAlign w:val="bottom"/>
          </w:tcPr>
          <w:p>
            <w:pPr>
              <w:spacing w:after="0"/>
              <w:rPr>
                <w:sz w:val="21"/>
                <w:szCs w:val="21"/>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September 27, 2020</w:t>
            </w:r>
          </w:p>
        </w:tc>
        <w:tc>
          <w:tcPr>
            <w:tcW w:w="260" w:type="dxa"/>
            <w:vAlign w:val="bottom"/>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26, 2021</w:t>
            </w:r>
          </w:p>
        </w:tc>
        <w:tc>
          <w:tcPr>
            <w:tcW w:w="22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27, 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(30,200 )</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(9,158 )</w:t>
            </w:r>
          </w:p>
        </w:tc>
        <w:tc>
          <w:tcPr>
            <w:tcW w:w="118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30,904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Amortization of intangible</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420"/>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3,553</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9,325</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31,843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(3,301 )</w:t>
            </w:r>
          </w:p>
        </w:tc>
        <w:tc>
          <w:tcPr>
            <w:tcW w:w="10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5,512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7,255</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420"/>
              <w:spacing w:after="0"/>
              <w:rPr>
                <w:sz w:val="20"/>
                <w:szCs w:val="20"/>
                <w:color w:val="auto"/>
              </w:rPr>
            </w:pPr>
            <w:r>
              <w:rPr>
                <w:rFonts w:ascii="Arial" w:cs="Arial" w:eastAsia="Arial" w:hAnsi="Arial"/>
                <w:sz w:val="18"/>
                <w:szCs w:val="18"/>
                <w:color w:val="auto"/>
              </w:rPr>
              <w:t>(benefit)</w:t>
            </w:r>
          </w:p>
        </w:tc>
        <w:tc>
          <w:tcPr>
            <w:tcW w:w="3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(17,222 )</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46,912</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86,541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80"/>
              <w:spacing w:after="0"/>
              <w:rPr>
                <w:sz w:val="20"/>
                <w:szCs w:val="20"/>
                <w:color w:val="auto"/>
              </w:rPr>
            </w:pPr>
            <w:r>
              <w:rPr>
                <w:rFonts w:ascii="Arial" w:cs="Arial" w:eastAsia="Arial" w:hAnsi="Arial"/>
                <w:sz w:val="18"/>
                <w:szCs w:val="18"/>
                <w:color w:val="auto"/>
              </w:rPr>
              <w:t>Notable items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10,513</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expense</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Acquisition and restructuring</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4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21,877</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warrant liability</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Change in fair value of earn-</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420"/>
              <w:spacing w:after="0"/>
              <w:rPr>
                <w:sz w:val="20"/>
                <w:szCs w:val="20"/>
                <w:color w:val="auto"/>
              </w:rPr>
            </w:pPr>
            <w:r>
              <w:rPr>
                <w:rFonts w:ascii="Arial" w:cs="Arial" w:eastAsia="Arial" w:hAnsi="Arial"/>
                <w:sz w:val="18"/>
                <w:szCs w:val="18"/>
                <w:color w:val="auto"/>
              </w:rPr>
              <w:t>out liability</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6,866</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6,866</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early</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extinguishment of debt</w:t>
            </w: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Related party acquisition</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20"/>
              <w:spacing w:after="0"/>
              <w:rPr>
                <w:sz w:val="20"/>
                <w:szCs w:val="20"/>
                <w:color w:val="auto"/>
              </w:rPr>
            </w:pPr>
            <w:r>
              <w:rPr>
                <w:rFonts w:ascii="Arial" w:cs="Arial" w:eastAsia="Arial" w:hAnsi="Arial"/>
                <w:sz w:val="18"/>
                <w:szCs w:val="18"/>
                <w:color w:val="auto"/>
              </w:rPr>
              <w:t>and management fee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4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23,250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25,789</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(821 )</w:t>
            </w:r>
          </w:p>
        </w:tc>
        <w:tc>
          <w:tcPr>
            <w:tcW w:w="3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(1,089 )</w:t>
            </w:r>
          </w:p>
        </w:tc>
        <w:tc>
          <w:tcPr>
            <w:tcW w:w="0" w:type="dxa"/>
            <w:vAlign w:val="bottom"/>
          </w:tcPr>
          <w:p>
            <w:pPr>
              <w:spacing w:after="0"/>
              <w:rPr>
                <w:sz w:val="1"/>
                <w:szCs w:val="1"/>
                <w:color w:val="auto"/>
              </w:rPr>
            </w:pPr>
          </w:p>
        </w:tc>
      </w:tr>
      <w:tr>
        <w:trPr>
          <w:trHeight w:val="250"/>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35,473</w:t>
            </w:r>
          </w:p>
        </w:tc>
        <w:tc>
          <w:tcPr>
            <w:tcW w:w="240" w:type="dxa"/>
            <w:vAlign w:val="bottom"/>
            <w:tcBorders>
              <w:top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34,596</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133,406</w:t>
            </w:r>
          </w:p>
        </w:tc>
        <w:tc>
          <w:tcPr>
            <w:tcW w:w="220" w:type="dxa"/>
            <w:vAlign w:val="bottom"/>
            <w:tcBorders>
              <w:top w:val="single" w:sz="8" w:color="CFF0FC"/>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95,740</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-193675</wp:posOffset>
            </wp:positionV>
            <wp:extent cx="1543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-193675</wp:posOffset>
            </wp:positionV>
            <wp:extent cx="1543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-193675</wp:posOffset>
            </wp:positionV>
            <wp:extent cx="13716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believes that its cash on hand, cash from operations and borrowings available under its revolving credit facility will be sufficient to satisfy its liquidity needs and capital expenditure requirements for at least the next twelve months. As of September 26, 2021, the Company had $48.8 million available to be drawn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September 26, 2021 Compared With 39-Week Period Ended September 27, 2020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For the thirty-nine weeks ended</w:t>
            </w:r>
          </w:p>
        </w:tc>
        <w:tc>
          <w:tcPr>
            <w:tcW w:w="100" w:type="dxa"/>
            <w:vAlign w:val="bottom"/>
          </w:tcPr>
          <w:p>
            <w:pPr>
              <w:spacing w:after="0"/>
              <w:rPr>
                <w:sz w:val="19"/>
                <w:szCs w:val="19"/>
                <w:color w:val="auto"/>
              </w:rPr>
            </w:pPr>
          </w:p>
        </w:tc>
      </w:tr>
      <w:tr>
        <w:trPr>
          <w:trHeight w:val="250"/>
        </w:trPr>
        <w:tc>
          <w:tcPr>
            <w:tcW w:w="6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60" w:type="dxa"/>
            <w:vAlign w:val="bottom"/>
            <w:gridSpan w:val="2"/>
          </w:tcPr>
          <w:p>
            <w:pPr>
              <w:jc w:val="right"/>
              <w:ind w:right="580"/>
              <w:spacing w:after="0"/>
              <w:rPr>
                <w:sz w:val="20"/>
                <w:szCs w:val="20"/>
                <w:color w:val="auto"/>
              </w:rPr>
            </w:pPr>
            <w:r>
              <w:rPr>
                <w:rFonts w:ascii="Arial" w:cs="Arial" w:eastAsia="Arial" w:hAnsi="Arial"/>
                <w:sz w:val="18"/>
                <w:szCs w:val="18"/>
                <w:color w:val="auto"/>
              </w:rPr>
              <w:t>September 26, 2021</w:t>
            </w:r>
          </w:p>
        </w:tc>
        <w:tc>
          <w:tcPr>
            <w:tcW w:w="180" w:type="dxa"/>
            <w:vAlign w:val="bottom"/>
          </w:tcPr>
          <w:p>
            <w:pPr>
              <w:spacing w:after="0"/>
              <w:rPr>
                <w:sz w:val="21"/>
                <w:szCs w:val="21"/>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September 27, 2020</w:t>
            </w:r>
          </w:p>
        </w:tc>
      </w:tr>
      <w:tr>
        <w:trPr>
          <w:trHeight w:val="25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24,917</w:t>
            </w:r>
          </w:p>
        </w:tc>
        <w:tc>
          <w:tcPr>
            <w:tcW w:w="3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75,604</w:t>
            </w:r>
          </w:p>
        </w:tc>
        <w:tc>
          <w:tcPr>
            <w:tcW w:w="100" w:type="dxa"/>
            <w:vAlign w:val="bottom"/>
            <w:shd w:val="clear" w:color="auto" w:fill="CFF0FC"/>
          </w:tcPr>
          <w:p>
            <w:pPr>
              <w:spacing w:after="0"/>
              <w:rPr>
                <w:sz w:val="22"/>
                <w:szCs w:val="22"/>
                <w:color w:val="auto"/>
              </w:rPr>
            </w:pP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21"/>
                <w:szCs w:val="21"/>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(71,931 )</w:t>
            </w:r>
          </w:p>
        </w:tc>
        <w:tc>
          <w:tcPr>
            <w:tcW w:w="180" w:type="dxa"/>
            <w:vAlign w:val="bottom"/>
          </w:tcPr>
          <w:p>
            <w:pPr>
              <w:spacing w:after="0"/>
              <w:rPr>
                <w:sz w:val="21"/>
                <w:szCs w:val="21"/>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(6,703 )</w:t>
            </w:r>
          </w:p>
        </w:tc>
      </w:tr>
      <w:tr>
        <w:trPr>
          <w:trHeight w:val="26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from financing activities</w:t>
            </w:r>
          </w:p>
        </w:tc>
        <w:tc>
          <w:tcPr>
            <w:tcW w:w="180" w:type="dxa"/>
            <w:vAlign w:val="bottom"/>
            <w:shd w:val="clear" w:color="auto" w:fill="CFF0FC"/>
          </w:tcPr>
          <w:p>
            <w:pPr>
              <w:spacing w:after="0"/>
              <w:rPr>
                <w:sz w:val="22"/>
                <w:szCs w:val="22"/>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29,267</w:t>
            </w:r>
          </w:p>
        </w:tc>
        <w:tc>
          <w:tcPr>
            <w:tcW w:w="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(22,500 )</w:t>
            </w:r>
          </w:p>
        </w:tc>
      </w:tr>
      <w:tr>
        <w:trPr>
          <w:trHeight w:val="20"/>
        </w:trPr>
        <w:tc>
          <w:tcPr>
            <w:tcW w:w="66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(17,747 )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46,401</w:t>
            </w:r>
          </w:p>
        </w:tc>
        <w:tc>
          <w:tcPr>
            <w:tcW w:w="10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-193675</wp:posOffset>
            </wp:positionV>
            <wp:extent cx="22288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39-week period ended September 26, 2021 was $24.9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of $75.6 million during the 39-week period ended September 27, 2020. Cash provided by accounts receivable and accounts payable increased by $10.5 million and $7.9 million, respectively. Offsetting these increases were decreases in cash provided by inventory, accrued liabilities, and prepaids and other current assets of $59.2 million, $14.1 million, and $6.0 million, respectively. The changes in accrued liabilities, accounts receivable, inventory and accounts payable reflect the growth in the business in 2021.</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39-week period ended September 26, 2021 was $71.9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$61.8 million relating to acquisitions and $10.5 million relating to capital expenditures. During the 39-week period ended September 27, 2020, cash used in investing activities was $6.7 million, primarily relating to capital expenditures.</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provided by financing activities for the 39-week period ended September 26, 2021 was $29.3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$132.3 million in cash received due to the recapitalization and $103.0 million in principal payments on long-term debt. Cash used in financing activities for the 39-week period ended September 27, 2020 primarily reflected principal payments on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have any off-balance sheet financing arrangements at September 26, 2021, September 27, 2020, or December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We believe that the assumptions, judgements and estimates associated with the following have the greatest potential impact on, and are critical to the understanding of, our results of operations: revenue recognition, accounts receivable and allowance for credit losses, inventory, goodwill and intangible assets, income taxes, business combinations and purchase accounting. For further information see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elsewhere in this quarterly report on Form 10-Q.</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recognizes revenue with customers when control of the promised goods transfers to the customer. This generally occurs when the product is delivered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not occur in the future. Sales incentives and allowances are recognized as a reduction to revenue at the time of the related sale. Revenue is recorded net of sales tax. Shipping and handling fees billed to customers are included in net sales, while costs of shipping and handling are included in selling, general and administrative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 worthiness, current economic trends and changes in customer payment patterns. Accounts are written off when management determines the account is uncollectable. Interest is not charged on past due accounts.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monitor inventory quantities on hand and on order and record write-downs for excess and obsolete inventories based on our estimate of the demand for our products, potential obsolescence of technology, product life cycles, and when 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is not subject to amortization and is tested for impairment annually, or more frequently if events or changes in circumstances indicate that the asset may be impaired. Goodwill represents the excess of the purchase price paid over the fair value of its identifiable net assets acquired. If the carrying amount of the goodwill exceeds the fair value, then an impairment loss will be recognized in the amount equal to the excess. After an impairment loss is recognized, the adjusted carrying amount of goodwill is its new accounting basis. Accounting guidance on the testing of goodwill for impairment allows entities testing goodwill for impairment, the option of performing a qualitative assessment to determine the likelihood of goodwill impairment and whether it is necessary to perform such impairment test.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4" w:name="page45"/>
    <w:bookmarkEnd w:id="44"/>
    <w:p>
      <w:pPr>
        <w:jc w:val="both"/>
        <w:spacing w:after="0" w:line="274" w:lineRule="auto"/>
        <w:rPr>
          <w:sz w:val="20"/>
          <w:szCs w:val="20"/>
          <w:color w:val="auto"/>
        </w:rPr>
      </w:pPr>
      <w:r>
        <w:rPr>
          <w:rFonts w:ascii="Arial" w:cs="Arial" w:eastAsia="Arial" w:hAnsi="Arial"/>
          <w:sz w:val="18"/>
          <w:szCs w:val="18"/>
          <w:color w:val="auto"/>
        </w:rPr>
        <w:t xml:space="preserve">Under Accounting Standards Update (“ASU”) No.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Simplifying the Test for Goodwill Impairment, step 2 of the goodwill impairment test has been eliminated. Step 2 of the goodwill impairment test required companies to determine the implied fair value of the reporting unit’s goodwill. Under the new standard, an entity recognizes an impairment charge for the amount by which the carrying amount exceeds the reporting unit’s fair value; however, the loss recognized should not exceed the total amount of goodwill allocated to that reporting unit.</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Intangible assets include trade names, customer relationships and developed technology obtained through business acquisitions. Intangible assets acquired in a business combination are recognized at fair value using generally accepted valuation methods deemed appropriate for the type of intangible assets acquired. Intangible assets with finite lives are amortized over their estimated useful life and are reported net of accumulated amortization, separately from goodwill. Indefinite life intangibles are not amortized but are subject to testing for impairment annually.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income taxes in the U.S. (federal and state) and foreign jurisdictions. We compute our provision for income taxes using the asset and liability method, under which deferred tax assets and liabilities are recognized for the expected future tax consequences of temporary differences between the financial reporting and tax bases of assets and liabilities. Deferred tax assets and liabilities are measured using the currently enacted tax rates that are expected to apply to taxable income for the years in which those tax assets and liabilities are expected to be realized or settled. The income tax effects of these differences are classified as long-term deferred tax assets and liabilities in our condensed consolidated balance sheets.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judgments are required in order to determine the realizability of these deferred tax assets. In assessing the need for a valuation allowance, we evaluate all significant available positive and negative evidence, including but not limited to, historical operating results, forecasted earnings, estimates of future taxable income of a character necessary to realize the deferred asset, relative proportions of revenue and pre-tax income in the various domestic and jurisdictions in which we operate, and the existence of prudent and feasible tax planning strategies. Changes in the expectations regarding the realization of deferred tax assets could materially impact income tax expense in future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Purchase Accounting</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Business combinations are accounted for using the acquisition method of accounting, and accordingly, the assets and liabilities of the acquired business are recorded at their respective fair values. The excess of the purchase price over the estimated fair value is recorded as goodwill. Assigning fair market values to the assets acquired and liabilities assumed at the date of an acquisition requires knowledge of current market values and the values of assets in use, and often requires the application of judgment regarding estimates and assumptions. While the ultimate responsibility resides with management, for certain acquisitions the Company retains the services of certified valuation specialists to assist with assigning estimated values to certain acquired assets and assumed liabilities, including intangible assets and tangible long-lived assets.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quarterly report on 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The Company had $588.5 million of debt outstanding as of September 26, 2021. A hypothetical 100 basis point increase or decrease in interest rates would result in an approximately $5.9 million change to Holley’s annual interest expense.</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26, 2021, the majority the Company’s cash and cash equivalents consisted of 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September 26, 2021, the Company is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September 26, 2021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During the 13-week period ended September 26, 2021, we completed the Business Combination and the internal controls of Holley Intermediate became our internal controls. Management has added resources and implemented a number of process changes to improve the design and implementation of our internal control over financial reporting, as such term is defined in Rules 13a-15(f) and 15d-15(f) of the Exchange Act, in a manner commensurate with the scale of our operations subsequent to the Business Combination.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detailed below, those under the caption “Risk Factors” included in our prospectus, as filed with the SEC on July 28, 2021, and those in our subsequent filings with the SEC.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in our risk factors since our prospectus, as filed with the SEC on July 28, 2021.</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i w:val="1"/>
          <w:iCs w:val="1"/>
          <w:color w:val="auto"/>
        </w:rPr>
        <w:t>The Company relies on complex information systems for management of its manufacturing, distribution, sales and other functions. If the Company’s information systems fail to perform these functions adequately or if the Company experiences an interruption in their operation, including a breach in cyber security, its business, sales, financial condition and results of operations could suffer.</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major operations, including manufacturing, distribution, sales and accounting, are dependent upon the Company’s complex information systems. The Company’s information systems are vulnerable to damage or interruption from:</w:t>
      </w:r>
    </w:p>
    <w:p>
      <w:pPr>
        <w:spacing w:after="0" w:line="211" w:lineRule="exact"/>
        <w:rPr>
          <w:sz w:val="20"/>
          <w:szCs w:val="20"/>
          <w:color w:val="auto"/>
        </w:rPr>
      </w:pPr>
    </w:p>
    <w:p>
      <w:pPr>
        <w:ind w:left="1020" w:hanging="580"/>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earthquake, fire, flood, hurricane and other natural disasters;</w:t>
      </w:r>
    </w:p>
    <w:p>
      <w:pPr>
        <w:spacing w:after="0" w:line="265" w:lineRule="exact"/>
        <w:rPr>
          <w:rFonts w:ascii="Arial" w:cs="Arial" w:eastAsia="Arial" w:hAnsi="Arial"/>
          <w:sz w:val="18"/>
          <w:szCs w:val="18"/>
          <w:color w:val="auto"/>
        </w:rPr>
      </w:pPr>
    </w:p>
    <w:p>
      <w:pPr>
        <w:ind w:left="1040" w:hanging="587"/>
        <w:spacing w:after="0"/>
        <w:tabs>
          <w:tab w:leader="none" w:pos="10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power loss, computer systems failure, Internet and telecommunications or data network failure;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0" w:hanging="57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hackers, computer viruses, software bugs or glitches.</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damage or significant disruption in the operation of such systems, the failure of the Company’s information systems to perform as expected, the failure to successfully integrate the information technology systems of the businesses that the Company has recently acquired or any security breach to the information systems (including financial or credit/payment frauds) would disrupt the Company’s business, which may result in decreased sales, increased overhead costs, excess inventory and product shortages and otherwise adversely affect the Company’s reputation, operations, financial performance and condition.</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information systems are subject to security threats and sophisticated cyber-based attacks, including, but not limited to, denial-of-service attacks, hacking, “phishing” attacks, computer viruses, ransomware, malware, employee or insider error, malfeasance, social engineering, or physical breaches, that can cause deliberate or unintentional damage, create system disruptions, unauthorized acquisition of our or customer information, or destruction or misuse, manipulation, denial of access to or disclosure of confidential or important information. We have experienced, and expect to continue to confront, efforts by hackers and other third parties to gain unauthorized access or deny access to, or otherwise disrupt, our information systems. For example, we were the target of an external cyber-attack in third quarter 2021, which resulted in a temporary suspension of services to our customers. To date these incidents have not had a material impact on the Company’s reputation, operations, financial performance and condition; however, there is no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8"/>
          <w:szCs w:val="18"/>
          <w:color w:val="auto"/>
        </w:rPr>
        <w:t>assurance that such impacts will not be material in the future, and such incidents have in the past and may in the future have the impacts discussed below. Any future successful cyber-attack or catastrophic natural disaster could significantly affect our operating and financial systems and could temporarily disrupt our ability to provide services to our customers, impact our ability to manage our operations and perform vital financial processes, any of which could have a materially adverse effect on our business.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Moreover, the threat of cyber-attacks is constantly evolving, thereby increasing the difficulty of successfully defending against them or implementing adequate preventative measures and we cannot ensure that we will be able to identify, prevent or contain the effects of future cyber-attacks or other cybersecurity risks that bypass our security measures or disrupt our information technology systems or business. While we have security technologies, processes and procedures in place to protect against cybersecurity risks and security breaches, the hardware, software or applications we develop or procure from third parties may contain defects in design, manufacturer defects or other problems that could unexpectedly compromise information security. In addition, because the techniques used to obtain unauthorized access, disable or degrade service or sabotage systems change frequently, are becoming increasingly sophisticated, and may not immediately produce signs of intrusion, we may be unable to anticipate these techniques, timely discover or counter them or implement adequate preventative measures.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any such incidents, we could be subject to litigation and regulatory risk, civil and criminal penalties, additional costs and diversion of management attention due to investigation, remediation efforts and engagement of third party consultants and legal counsel in connection with such incidents, payment of “ransoms” to regain access to our systems and information, loss of customers, damage to customer relationships, reduced revenue and profits, refunds of customer charges and damage to our reputation, any of which could have a material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previously disclosed in a Current Report on Form 8-K, no unregistered sales of the Company’s equity securities were made during the 13-week period ended September 26,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October 2021, the Nominating and Governance Committee of the Company’s Board of Directors established procedures for stockholders of the Company to recommend director nominees. Under such procedures, any stockholder who wishes to propose director nominees for consideration by the Company’s Nominating and Governance Committee, but does not wish to present such proposal at an annual meeting of stockholders, may do so at any time by sending each proposed nominee’s name and a description of his or her qualifications for board membership to the chair of the Nominating and Governance Committee in writing to, c/o Chief Financial Officer, at Holley Inc., 1801 Russellville Road, Bowling Green, KY 42101. The recommendation should contain all of the information regarding the nominee required under the “advance notice” provisions of the Company’s bylaws. The Nominating and Governance Committee evaluates nominee recommendations submitted by stockholders in the same manner in which it evaluates other director nominees.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9860" w:type="dxa"/>
            <w:vAlign w:val="bottom"/>
            <w:gridSpan w:val="33"/>
          </w:tcPr>
          <w:p>
            <w:pPr>
              <w:spacing w:after="0"/>
              <w:rPr>
                <w:sz w:val="20"/>
                <w:szCs w:val="20"/>
                <w:color w:val="auto"/>
              </w:rPr>
            </w:pPr>
            <w:r>
              <w:rPr>
                <w:rFonts w:ascii="Arial" w:cs="Arial" w:eastAsia="Arial" w:hAnsi="Arial"/>
                <w:sz w:val="18"/>
                <w:szCs w:val="18"/>
                <w:color w:val="auto"/>
              </w:rPr>
              <w:t>Description</w:t>
            </w:r>
          </w:p>
        </w:tc>
      </w:tr>
      <w:tr>
        <w:trPr>
          <w:trHeight w:val="203"/>
        </w:trPr>
        <w:tc>
          <w:tcPr>
            <w:tcW w:w="1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9540" w:type="dxa"/>
            <w:vAlign w:val="bottom"/>
            <w:tcBorders>
              <w:top w:val="single" w:sz="8" w:color="auto"/>
              <w:bottom w:val="single" w:sz="8" w:color="0000FF"/>
            </w:tcBorders>
            <w:gridSpan w:val="24"/>
          </w:tcPr>
          <w:p>
            <w:pPr>
              <w:spacing w:after="0" w:line="202" w:lineRule="exact"/>
              <w:rPr>
                <w:rFonts w:ascii="Arial" w:cs="Arial" w:eastAsia="Arial" w:hAnsi="Arial"/>
                <w:sz w:val="18"/>
                <w:szCs w:val="18"/>
                <w:color w:val="0000FF"/>
              </w:rPr>
            </w:pPr>
            <w:hyperlink r:id="rId243">
              <w:r>
                <w:rPr>
                  <w:rFonts w:ascii="Arial" w:cs="Arial" w:eastAsia="Arial" w:hAnsi="Arial"/>
                  <w:sz w:val="18"/>
                  <w:szCs w:val="18"/>
                  <w:color w:val="0000FF"/>
                </w:rPr>
                <w:t>Agreement and Plan of Merger, dated as of March 11, 2021, by and among Empower Ltd., Empower Merger Sub I Inc.,</w:t>
              </w:r>
            </w:hyperlink>
          </w:p>
        </w:tc>
        <w:tc>
          <w:tcPr>
            <w:tcW w:w="320" w:type="dxa"/>
            <w:vAlign w:val="bottom"/>
            <w:tcBorders>
              <w:top w:val="single" w:sz="8" w:color="auto"/>
            </w:tcBorders>
            <w:gridSpan w:val="9"/>
          </w:tcPr>
          <w:p>
            <w:pPr>
              <w:spacing w:after="0"/>
              <w:rPr>
                <w:sz w:val="17"/>
                <w:szCs w:val="17"/>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80" w:type="dxa"/>
            <w:vAlign w:val="bottom"/>
            <w:tcBorders>
              <w:bottom w:val="single" w:sz="8" w:color="0000FF"/>
            </w:tcBorders>
            <w:gridSpan w:val="18"/>
          </w:tcPr>
          <w:p>
            <w:pPr>
              <w:spacing w:after="0"/>
              <w:rPr>
                <w:rFonts w:ascii="Arial" w:cs="Arial" w:eastAsia="Arial" w:hAnsi="Arial"/>
                <w:sz w:val="18"/>
                <w:szCs w:val="18"/>
                <w:color w:val="0000FF"/>
              </w:rPr>
            </w:pPr>
            <w:hyperlink r:id="rId243">
              <w:r>
                <w:rPr>
                  <w:rFonts w:ascii="Arial" w:cs="Arial" w:eastAsia="Arial" w:hAnsi="Arial"/>
                  <w:sz w:val="18"/>
                  <w:szCs w:val="18"/>
                  <w:color w:val="0000FF"/>
                </w:rPr>
                <w:t>Empower Merger Sub II LLC and Holley Intermediate Holdings, Inc. (incorporated by reference to Exhibit 2.1 to the</w:t>
              </w:r>
            </w:hyperlink>
          </w:p>
        </w:tc>
        <w:tc>
          <w:tcPr>
            <w:tcW w:w="680" w:type="dxa"/>
            <w:vAlign w:val="bottom"/>
            <w:gridSpan w:val="15"/>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Borders>
              <w:bottom w:val="single" w:sz="8" w:color="0000FF"/>
            </w:tcBorders>
            <w:gridSpan w:val="12"/>
          </w:tcPr>
          <w:p>
            <w:pPr>
              <w:spacing w:after="0"/>
              <w:rPr>
                <w:rFonts w:ascii="Arial" w:cs="Arial" w:eastAsia="Arial" w:hAnsi="Arial"/>
                <w:sz w:val="18"/>
                <w:szCs w:val="18"/>
                <w:color w:val="0000FF"/>
                <w:w w:val="99"/>
              </w:rPr>
            </w:pPr>
            <w:hyperlink r:id="rId243">
              <w:r>
                <w:rPr>
                  <w:rFonts w:ascii="Arial" w:cs="Arial" w:eastAsia="Arial" w:hAnsi="Arial"/>
                  <w:sz w:val="18"/>
                  <w:szCs w:val="18"/>
                  <w:color w:val="0000FF"/>
                  <w:w w:val="99"/>
                </w:rPr>
                <w:t>Company’s Current Report on Form 8-K, filed with the SEC on March 12, 2021).</w:t>
              </w:r>
            </w:hyperlink>
          </w:p>
        </w:tc>
        <w:tc>
          <w:tcPr>
            <w:tcW w:w="20" w:type="dxa"/>
            <w:vAlign w:val="bottom"/>
            <w:tcBorders>
              <w:bottom w:val="single" w:sz="8" w:color="0000EE"/>
            </w:tcBorders>
          </w:tcPr>
          <w:p>
            <w:pPr>
              <w:spacing w:after="0"/>
              <w:rPr>
                <w:sz w:val="18"/>
                <w:szCs w:val="18"/>
                <w:color w:val="auto"/>
              </w:rPr>
            </w:pPr>
          </w:p>
        </w:tc>
        <w:tc>
          <w:tcPr>
            <w:tcW w:w="3460" w:type="dxa"/>
            <w:vAlign w:val="bottom"/>
            <w:gridSpan w:val="20"/>
          </w:tcPr>
          <w:p>
            <w:pPr>
              <w:spacing w:after="0"/>
              <w:rPr>
                <w:sz w:val="18"/>
                <w:szCs w:val="18"/>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9840" w:type="dxa"/>
            <w:vAlign w:val="bottom"/>
            <w:tcBorders>
              <w:bottom w:val="single" w:sz="8" w:color="0000FF"/>
            </w:tcBorders>
            <w:gridSpan w:val="32"/>
          </w:tcPr>
          <w:p>
            <w:pPr>
              <w:spacing w:after="0"/>
              <w:rPr>
                <w:rFonts w:ascii="Arial" w:cs="Arial" w:eastAsia="Arial" w:hAnsi="Arial"/>
                <w:sz w:val="18"/>
                <w:szCs w:val="18"/>
                <w:color w:val="0000FF"/>
              </w:rPr>
            </w:pPr>
            <w:hyperlink r:id="rId244">
              <w:r>
                <w:rPr>
                  <w:rFonts w:ascii="Arial" w:cs="Arial" w:eastAsia="Arial" w:hAnsi="Arial"/>
                  <w:sz w:val="18"/>
                  <w:szCs w:val="18"/>
                  <w:color w:val="0000FF"/>
                </w:rPr>
                <w:t>Certificate of Incorporation of the Company, dated July 16, 2021 (incorporated by reference to Exhibit 3.1 of the Company’s</w:t>
              </w:r>
            </w:hyperlink>
          </w:p>
        </w:tc>
        <w:tc>
          <w:tcPr>
            <w:tcW w:w="20" w:type="dxa"/>
            <w:vAlign w:val="bottom"/>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44">
              <w:r>
                <w:rPr>
                  <w:rFonts w:ascii="Arial" w:cs="Arial" w:eastAsia="Arial" w:hAnsi="Arial"/>
                  <w:sz w:val="18"/>
                  <w:szCs w:val="18"/>
                  <w:color w:val="0000FF"/>
                </w:rPr>
                <w:t>Current Report on Form 8-K, filed 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9800" w:type="dxa"/>
            <w:vAlign w:val="bottom"/>
            <w:tcBorders>
              <w:bottom w:val="single" w:sz="8" w:color="0000FF"/>
            </w:tcBorders>
            <w:gridSpan w:val="31"/>
          </w:tcPr>
          <w:p>
            <w:pPr>
              <w:spacing w:after="0"/>
              <w:rPr>
                <w:rFonts w:ascii="Arial" w:cs="Arial" w:eastAsia="Arial" w:hAnsi="Arial"/>
                <w:sz w:val="18"/>
                <w:szCs w:val="18"/>
                <w:color w:val="0000FF"/>
              </w:rPr>
            </w:pPr>
            <w:hyperlink r:id="rId245">
              <w:r>
                <w:rPr>
                  <w:rFonts w:ascii="Arial" w:cs="Arial" w:eastAsia="Arial" w:hAnsi="Arial"/>
                  <w:sz w:val="18"/>
                  <w:szCs w:val="18"/>
                  <w:color w:val="0000FF"/>
                </w:rPr>
                <w:t>Bylaws of the Company, dated July 16, 2021 (incorporated by reference to Exhibit 3.2 of the Company’s Current Report on</w:t>
              </w:r>
            </w:hyperlink>
          </w:p>
        </w:tc>
        <w:tc>
          <w:tcPr>
            <w:tcW w:w="60" w:type="dxa"/>
            <w:vAlign w:val="bottom"/>
            <w:gridSpan w:val="2"/>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0000FF"/>
            </w:tcBorders>
            <w:gridSpan w:val="4"/>
          </w:tcPr>
          <w:p>
            <w:pPr>
              <w:spacing w:after="0"/>
              <w:rPr>
                <w:rFonts w:ascii="Arial" w:cs="Arial" w:eastAsia="Arial" w:hAnsi="Arial"/>
                <w:sz w:val="18"/>
                <w:szCs w:val="18"/>
                <w:color w:val="0000FF"/>
                <w:w w:val="99"/>
              </w:rPr>
            </w:pPr>
            <w:hyperlink r:id="rId245">
              <w:r>
                <w:rPr>
                  <w:rFonts w:ascii="Arial" w:cs="Arial" w:eastAsia="Arial" w:hAnsi="Arial"/>
                  <w:sz w:val="18"/>
                  <w:szCs w:val="18"/>
                  <w:color w:val="0000FF"/>
                  <w:w w:val="99"/>
                </w:rPr>
                <w:t>Form 8-K, filed with the SEC on July 21, 2021).</w:t>
              </w:r>
            </w:hyperlink>
          </w:p>
        </w:tc>
        <w:tc>
          <w:tcPr>
            <w:tcW w:w="20" w:type="dxa"/>
            <w:vAlign w:val="bottom"/>
            <w:tcBorders>
              <w:bottom w:val="single" w:sz="8" w:color="0000EE"/>
            </w:tcBorders>
          </w:tcPr>
          <w:p>
            <w:pPr>
              <w:spacing w:after="0"/>
              <w:rPr>
                <w:sz w:val="18"/>
                <w:szCs w:val="18"/>
                <w:color w:val="auto"/>
              </w:rPr>
            </w:pPr>
          </w:p>
        </w:tc>
        <w:tc>
          <w:tcPr>
            <w:tcW w:w="6080" w:type="dxa"/>
            <w:vAlign w:val="bottom"/>
            <w:gridSpan w:val="28"/>
          </w:tcPr>
          <w:p>
            <w:pPr>
              <w:spacing w:after="0"/>
              <w:rPr>
                <w:sz w:val="18"/>
                <w:szCs w:val="18"/>
                <w:color w:val="auto"/>
              </w:rPr>
            </w:pPr>
          </w:p>
        </w:tc>
      </w:tr>
      <w:tr>
        <w:trPr>
          <w:trHeight w:val="236"/>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320" w:type="dxa"/>
            <w:vAlign w:val="bottom"/>
            <w:tcBorders>
              <w:bottom w:val="single" w:sz="8" w:color="0000FF"/>
            </w:tcBorders>
            <w:gridSpan w:val="20"/>
          </w:tcPr>
          <w:p>
            <w:pPr>
              <w:spacing w:after="0"/>
              <w:rPr>
                <w:rFonts w:ascii="Arial" w:cs="Arial" w:eastAsia="Arial" w:hAnsi="Arial"/>
                <w:sz w:val="18"/>
                <w:szCs w:val="18"/>
                <w:color w:val="0000FF"/>
              </w:rPr>
            </w:pPr>
            <w:hyperlink r:id="rId246">
              <w:r>
                <w:rPr>
                  <w:rFonts w:ascii="Arial" w:cs="Arial" w:eastAsia="Arial" w:hAnsi="Arial"/>
                  <w:sz w:val="18"/>
                  <w:szCs w:val="18"/>
                  <w:color w:val="0000FF"/>
                </w:rPr>
                <w:t>Amended and Restated Registration Rights Agreement, dated as of July 16, 2021, by and among Empower Sponsor</w:t>
              </w:r>
            </w:hyperlink>
          </w:p>
        </w:tc>
        <w:tc>
          <w:tcPr>
            <w:tcW w:w="540" w:type="dxa"/>
            <w:vAlign w:val="bottom"/>
            <w:gridSpan w:val="13"/>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tcBorders>
              <w:bottom w:val="single" w:sz="8" w:color="0000FF"/>
            </w:tcBorders>
            <w:gridSpan w:val="22"/>
          </w:tcPr>
          <w:p>
            <w:pPr>
              <w:spacing w:after="0"/>
              <w:rPr>
                <w:rFonts w:ascii="Arial" w:cs="Arial" w:eastAsia="Arial" w:hAnsi="Arial"/>
                <w:sz w:val="18"/>
                <w:szCs w:val="18"/>
                <w:color w:val="0000FF"/>
              </w:rPr>
            </w:pPr>
            <w:hyperlink r:id="rId246">
              <w:r>
                <w:rPr>
                  <w:rFonts w:ascii="Arial" w:cs="Arial" w:eastAsia="Arial" w:hAnsi="Arial"/>
                  <w:sz w:val="18"/>
                  <w:szCs w:val="18"/>
                  <w:color w:val="0000FF"/>
                </w:rPr>
                <w:t>Holdings LLC, Holley Parent Holdings LLC and Holley Inc. (incorporated by reference to Exhibit 10.5 of the Company’s</w:t>
              </w:r>
            </w:hyperlink>
          </w:p>
        </w:tc>
        <w:tc>
          <w:tcPr>
            <w:tcW w:w="380" w:type="dxa"/>
            <w:vAlign w:val="bottom"/>
            <w:gridSpan w:val="11"/>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46">
              <w:r>
                <w:rPr>
                  <w:rFonts w:ascii="Arial" w:cs="Arial" w:eastAsia="Arial" w:hAnsi="Arial"/>
                  <w:sz w:val="18"/>
                  <w:szCs w:val="18"/>
                  <w:color w:val="0000FF"/>
                </w:rPr>
                <w:t>Current Report on Form 8-K, filed 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9060" w:type="dxa"/>
            <w:vAlign w:val="bottom"/>
            <w:tcBorders>
              <w:bottom w:val="single" w:sz="8" w:color="0000FF"/>
            </w:tcBorders>
            <w:gridSpan w:val="17"/>
          </w:tcPr>
          <w:p>
            <w:pPr>
              <w:spacing w:after="0"/>
              <w:rPr>
                <w:rFonts w:ascii="Arial" w:cs="Arial" w:eastAsia="Arial" w:hAnsi="Arial"/>
                <w:sz w:val="18"/>
                <w:szCs w:val="18"/>
                <w:color w:val="0000FF"/>
              </w:rPr>
            </w:pPr>
            <w:hyperlink r:id="rId247">
              <w:r>
                <w:rPr>
                  <w:rFonts w:ascii="Arial" w:cs="Arial" w:eastAsia="Arial" w:hAnsi="Arial"/>
                  <w:sz w:val="18"/>
                  <w:szCs w:val="18"/>
                  <w:color w:val="0000FF"/>
                </w:rPr>
                <w:t>Stockholders’ Agreement, dated as of July 16, 2021, by and among Holley Inc., Empower Sponsor Holdings LLC,</w:t>
              </w:r>
            </w:hyperlink>
          </w:p>
        </w:tc>
        <w:tc>
          <w:tcPr>
            <w:tcW w:w="800" w:type="dxa"/>
            <w:vAlign w:val="bottom"/>
            <w:gridSpan w:val="16"/>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w w:val="99"/>
              </w:rPr>
            </w:pPr>
            <w:hyperlink r:id="rId247">
              <w:r>
                <w:rPr>
                  <w:rFonts w:ascii="Arial" w:cs="Arial" w:eastAsia="Arial" w:hAnsi="Arial"/>
                  <w:sz w:val="18"/>
                  <w:szCs w:val="18"/>
                  <w:color w:val="0000FF"/>
                  <w:w w:val="99"/>
                </w:rPr>
                <w:t>MidOcean Partners V, L.P., MidOcean Partners V Executive, L.P., Holley Parent Holdings, LLC, Sentinel Capital Partners V,</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Borders>
              <w:bottom w:val="single" w:sz="8" w:color="0000FF"/>
            </w:tcBorders>
            <w:gridSpan w:val="30"/>
          </w:tcPr>
          <w:p>
            <w:pPr>
              <w:spacing w:after="0"/>
              <w:rPr>
                <w:rFonts w:ascii="Arial" w:cs="Arial" w:eastAsia="Arial" w:hAnsi="Arial"/>
                <w:sz w:val="18"/>
                <w:szCs w:val="18"/>
                <w:color w:val="0000FF"/>
                <w:w w:val="99"/>
              </w:rPr>
            </w:pPr>
            <w:hyperlink r:id="rId247">
              <w:r>
                <w:rPr>
                  <w:rFonts w:ascii="Arial" w:cs="Arial" w:eastAsia="Arial" w:hAnsi="Arial"/>
                  <w:sz w:val="18"/>
                  <w:szCs w:val="18"/>
                  <w:color w:val="0000FF"/>
                  <w:w w:val="99"/>
                </w:rPr>
                <w:t>L.P., Sentinel Capital Partners V-A, L.P., and Sentinel Capital Investors V, L.P. (incorporated by reference to Exhibit 10.6 of</w:t>
              </w:r>
            </w:hyperlink>
          </w:p>
        </w:tc>
        <w:tc>
          <w:tcPr>
            <w:tcW w:w="80" w:type="dxa"/>
            <w:vAlign w:val="bottom"/>
            <w:gridSpan w:val="3"/>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Borders>
              <w:bottom w:val="single" w:sz="8" w:color="0000FF"/>
            </w:tcBorders>
            <w:gridSpan w:val="14"/>
          </w:tcPr>
          <w:p>
            <w:pPr>
              <w:spacing w:after="0"/>
              <w:rPr>
                <w:rFonts w:ascii="Arial" w:cs="Arial" w:eastAsia="Arial" w:hAnsi="Arial"/>
                <w:sz w:val="18"/>
                <w:szCs w:val="18"/>
                <w:color w:val="0000FF"/>
                <w:w w:val="99"/>
              </w:rPr>
            </w:pPr>
            <w:hyperlink r:id="rId247">
              <w:r>
                <w:rPr>
                  <w:rFonts w:ascii="Arial" w:cs="Arial" w:eastAsia="Arial" w:hAnsi="Arial"/>
                  <w:sz w:val="18"/>
                  <w:szCs w:val="18"/>
                  <w:color w:val="0000FF"/>
                  <w:w w:val="99"/>
                </w:rPr>
                <w:t>the Company’s Current Report on Form 8-K, filed with the SEC on July 21, 2021).</w:t>
              </w:r>
            </w:hyperlink>
          </w:p>
        </w:tc>
        <w:tc>
          <w:tcPr>
            <w:tcW w:w="20" w:type="dxa"/>
            <w:vAlign w:val="bottom"/>
            <w:tcBorders>
              <w:bottom w:val="single" w:sz="8" w:color="0000EE"/>
            </w:tcBorders>
          </w:tcPr>
          <w:p>
            <w:pPr>
              <w:spacing w:after="0"/>
              <w:rPr>
                <w:sz w:val="18"/>
                <w:szCs w:val="18"/>
                <w:color w:val="auto"/>
              </w:rPr>
            </w:pPr>
          </w:p>
        </w:tc>
        <w:tc>
          <w:tcPr>
            <w:tcW w:w="3340" w:type="dxa"/>
            <w:vAlign w:val="bottom"/>
            <w:gridSpan w:val="18"/>
          </w:tcPr>
          <w:p>
            <w:pPr>
              <w:spacing w:after="0"/>
              <w:rPr>
                <w:sz w:val="18"/>
                <w:szCs w:val="18"/>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9340" w:type="dxa"/>
            <w:vAlign w:val="bottom"/>
            <w:tcBorders>
              <w:bottom w:val="single" w:sz="8" w:color="0000FF"/>
            </w:tcBorders>
            <w:gridSpan w:val="21"/>
          </w:tcPr>
          <w:p>
            <w:pPr>
              <w:spacing w:after="0"/>
              <w:rPr>
                <w:rFonts w:ascii="Arial" w:cs="Arial" w:eastAsia="Arial" w:hAnsi="Arial"/>
                <w:sz w:val="18"/>
                <w:szCs w:val="18"/>
                <w:color w:val="0000FF"/>
              </w:rPr>
            </w:pPr>
            <w:hyperlink r:id="rId248">
              <w:r>
                <w:rPr>
                  <w:rFonts w:ascii="Arial" w:cs="Arial" w:eastAsia="Arial" w:hAnsi="Arial"/>
                  <w:sz w:val="18"/>
                  <w:szCs w:val="18"/>
                  <w:color w:val="0000FF"/>
                </w:rPr>
                <w:t>Holley 2021 Stock Incentive Plan (incorporated by reference to Exhibit 10.12 of Amendment No. 1 to the Company’s</w:t>
              </w:r>
            </w:hyperlink>
          </w:p>
        </w:tc>
        <w:tc>
          <w:tcPr>
            <w:tcW w:w="520" w:type="dxa"/>
            <w:vAlign w:val="bottom"/>
            <w:gridSpan w:val="12"/>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80" w:type="dxa"/>
            <w:vAlign w:val="bottom"/>
            <w:tcBorders>
              <w:bottom w:val="single" w:sz="8" w:color="0000FF"/>
            </w:tcBorders>
            <w:gridSpan w:val="10"/>
          </w:tcPr>
          <w:p>
            <w:pPr>
              <w:spacing w:after="0"/>
              <w:rPr>
                <w:rFonts w:ascii="Arial" w:cs="Arial" w:eastAsia="Arial" w:hAnsi="Arial"/>
                <w:sz w:val="18"/>
                <w:szCs w:val="18"/>
                <w:color w:val="0000FF"/>
                <w:w w:val="99"/>
              </w:rPr>
            </w:pPr>
            <w:hyperlink r:id="rId248">
              <w:r>
                <w:rPr>
                  <w:rFonts w:ascii="Arial" w:cs="Arial" w:eastAsia="Arial" w:hAnsi="Arial"/>
                  <w:sz w:val="18"/>
                  <w:szCs w:val="18"/>
                  <w:color w:val="0000FF"/>
                  <w:w w:val="99"/>
                </w:rPr>
                <w:t>Registration Statement on Form S-4/A, filed with the SEC on May 25, 2021).</w:t>
              </w:r>
            </w:hyperlink>
          </w:p>
        </w:tc>
        <w:tc>
          <w:tcPr>
            <w:tcW w:w="20" w:type="dxa"/>
            <w:vAlign w:val="bottom"/>
            <w:tcBorders>
              <w:bottom w:val="single" w:sz="8" w:color="0000EE"/>
            </w:tcBorders>
          </w:tcPr>
          <w:p>
            <w:pPr>
              <w:spacing w:after="0"/>
              <w:rPr>
                <w:sz w:val="18"/>
                <w:szCs w:val="18"/>
                <w:color w:val="auto"/>
              </w:rPr>
            </w:pPr>
          </w:p>
        </w:tc>
        <w:tc>
          <w:tcPr>
            <w:tcW w:w="3760" w:type="dxa"/>
            <w:vAlign w:val="bottom"/>
            <w:gridSpan w:val="22"/>
          </w:tcPr>
          <w:p>
            <w:pPr>
              <w:spacing w:after="0"/>
              <w:rPr>
                <w:sz w:val="18"/>
                <w:szCs w:val="18"/>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300" w:type="dxa"/>
            <w:vAlign w:val="bottom"/>
            <w:tcBorders>
              <w:bottom w:val="single" w:sz="8" w:color="0000FF"/>
            </w:tcBorders>
            <w:gridSpan w:val="19"/>
          </w:tcPr>
          <w:p>
            <w:pPr>
              <w:spacing w:after="0"/>
              <w:rPr>
                <w:rFonts w:ascii="Arial" w:cs="Arial" w:eastAsia="Arial" w:hAnsi="Arial"/>
                <w:sz w:val="18"/>
                <w:szCs w:val="18"/>
                <w:color w:val="0000FF"/>
              </w:rPr>
            </w:pPr>
            <w:hyperlink r:id="rId249">
              <w:r>
                <w:rPr>
                  <w:rFonts w:ascii="Arial" w:cs="Arial" w:eastAsia="Arial" w:hAnsi="Arial"/>
                  <w:sz w:val="18"/>
                  <w:szCs w:val="18"/>
                  <w:color w:val="0000FF"/>
                </w:rPr>
                <w:t>New Executive Agreement, effective July 16, 2021, by and among Holley Intermediate Holdings Inc. and Thomas W.</w:t>
              </w:r>
            </w:hyperlink>
          </w:p>
        </w:tc>
        <w:tc>
          <w:tcPr>
            <w:tcW w:w="560" w:type="dxa"/>
            <w:vAlign w:val="bottom"/>
            <w:gridSpan w:val="14"/>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Borders>
              <w:bottom w:val="single" w:sz="8" w:color="0000FF"/>
            </w:tcBorders>
            <w:gridSpan w:val="32"/>
          </w:tcPr>
          <w:p>
            <w:pPr>
              <w:spacing w:after="0"/>
              <w:rPr>
                <w:rFonts w:ascii="Arial" w:cs="Arial" w:eastAsia="Arial" w:hAnsi="Arial"/>
                <w:sz w:val="18"/>
                <w:szCs w:val="18"/>
                <w:color w:val="0000FF"/>
              </w:rPr>
            </w:pPr>
            <w:hyperlink r:id="rId249">
              <w:r>
                <w:rPr>
                  <w:rFonts w:ascii="Arial" w:cs="Arial" w:eastAsia="Arial" w:hAnsi="Arial"/>
                  <w:sz w:val="18"/>
                  <w:szCs w:val="18"/>
                  <w:color w:val="0000FF"/>
                </w:rPr>
                <w:t>Tomlinson (as assigned to Holley Inc.) (incorporated by reference to Exhibit 10.9 of the Company’s Current Report on Form</w:t>
              </w:r>
            </w:hyperlink>
          </w:p>
        </w:tc>
        <w:tc>
          <w:tcPr>
            <w:tcW w:w="2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49">
              <w:r>
                <w:rPr>
                  <w:rFonts w:ascii="Arial" w:cs="Arial" w:eastAsia="Arial" w:hAnsi="Arial"/>
                  <w:sz w:val="18"/>
                  <w:szCs w:val="18"/>
                  <w:color w:val="0000FF"/>
                </w:rPr>
                <w:t>8-K, filed 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9660" w:type="dxa"/>
            <w:vAlign w:val="bottom"/>
            <w:tcBorders>
              <w:bottom w:val="single" w:sz="8" w:color="0000FF"/>
            </w:tcBorders>
            <w:gridSpan w:val="26"/>
          </w:tcPr>
          <w:p>
            <w:pPr>
              <w:spacing w:after="0"/>
              <w:rPr>
                <w:rFonts w:ascii="Arial" w:cs="Arial" w:eastAsia="Arial" w:hAnsi="Arial"/>
                <w:sz w:val="18"/>
                <w:szCs w:val="18"/>
                <w:color w:val="0000FF"/>
              </w:rPr>
            </w:pPr>
            <w:hyperlink r:id="rId250">
              <w:r>
                <w:rPr>
                  <w:rFonts w:ascii="Arial" w:cs="Arial" w:eastAsia="Arial" w:hAnsi="Arial"/>
                  <w:sz w:val="18"/>
                  <w:szCs w:val="18"/>
                  <w:color w:val="0000FF"/>
                </w:rPr>
                <w:t>New Executive Agreement, effective July 16, 2021, by and among Holley Intermediate Holdings Inc. and Dominic Bardos</w:t>
              </w:r>
            </w:hyperlink>
          </w:p>
        </w:tc>
        <w:tc>
          <w:tcPr>
            <w:tcW w:w="200" w:type="dxa"/>
            <w:vAlign w:val="bottom"/>
            <w:gridSpan w:val="7"/>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Borders>
              <w:bottom w:val="single" w:sz="8" w:color="0000FF"/>
            </w:tcBorders>
            <w:gridSpan w:val="32"/>
          </w:tcPr>
          <w:p>
            <w:pPr>
              <w:spacing w:after="0"/>
              <w:rPr>
                <w:rFonts w:ascii="Arial" w:cs="Arial" w:eastAsia="Arial" w:hAnsi="Arial"/>
                <w:sz w:val="18"/>
                <w:szCs w:val="18"/>
                <w:color w:val="0000FF"/>
              </w:rPr>
            </w:pPr>
            <w:hyperlink r:id="rId250">
              <w:r>
                <w:rPr>
                  <w:rFonts w:ascii="Arial" w:cs="Arial" w:eastAsia="Arial" w:hAnsi="Arial"/>
                  <w:sz w:val="18"/>
                  <w:szCs w:val="18"/>
                  <w:color w:val="0000FF"/>
                </w:rPr>
                <w:t>(as assigned to Holley Inc.) (incorporated by reference to Exhibit 10.10 of the Company’s Current Report on Form 8-K, filed</w:t>
              </w:r>
            </w:hyperlink>
          </w:p>
        </w:tc>
        <w:tc>
          <w:tcPr>
            <w:tcW w:w="2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0">
              <w:r>
                <w:rPr>
                  <w:rFonts w:ascii="Arial" w:cs="Arial" w:eastAsia="Arial" w:hAnsi="Arial"/>
                  <w:sz w:val="18"/>
                  <w:szCs w:val="18"/>
                  <w:color w:val="0000FF"/>
                </w:rPr>
                <w:t>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w w:val="99"/>
              </w:rPr>
            </w:pPr>
            <w:hyperlink r:id="rId251">
              <w:r>
                <w:rPr>
                  <w:rFonts w:ascii="Arial" w:cs="Arial" w:eastAsia="Arial" w:hAnsi="Arial"/>
                  <w:sz w:val="18"/>
                  <w:szCs w:val="18"/>
                  <w:color w:val="0000FF"/>
                  <w:w w:val="99"/>
                </w:rPr>
                <w:t>New Executive Agreement, effective July 16, 2021, by and among Holley Intermediate Holdings Inc. and Sean Crawford (as</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tcBorders>
              <w:bottom w:val="single" w:sz="8" w:color="0000FF"/>
            </w:tcBorders>
            <w:gridSpan w:val="24"/>
          </w:tcPr>
          <w:p>
            <w:pPr>
              <w:spacing w:after="0"/>
              <w:rPr>
                <w:rFonts w:ascii="Arial" w:cs="Arial" w:eastAsia="Arial" w:hAnsi="Arial"/>
                <w:sz w:val="18"/>
                <w:szCs w:val="18"/>
                <w:color w:val="0000FF"/>
              </w:rPr>
            </w:pPr>
            <w:hyperlink r:id="rId251">
              <w:r>
                <w:rPr>
                  <w:rFonts w:ascii="Arial" w:cs="Arial" w:eastAsia="Arial" w:hAnsi="Arial"/>
                  <w:sz w:val="18"/>
                  <w:szCs w:val="18"/>
                  <w:color w:val="0000FF"/>
                </w:rPr>
                <w:t>assigned to Holley Inc.) (incorporated by reference to Exhibit 10.11 of the Company’s Current Report on Form 8-K, filed</w:t>
              </w:r>
            </w:hyperlink>
          </w:p>
        </w:tc>
        <w:tc>
          <w:tcPr>
            <w:tcW w:w="320" w:type="dxa"/>
            <w:vAlign w:val="bottom"/>
            <w:gridSpan w:val="9"/>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1">
              <w:r>
                <w:rPr>
                  <w:rFonts w:ascii="Arial" w:cs="Arial" w:eastAsia="Arial" w:hAnsi="Arial"/>
                  <w:sz w:val="18"/>
                  <w:szCs w:val="18"/>
                  <w:color w:val="0000FF"/>
                </w:rPr>
                <w:t>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6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New Executive Agreement, effective July 16, 2021, by and among Holley Intermediate Holdings Inc. and Terrill M. Rutledge</w:t>
              </w:r>
            </w:hyperlink>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Borders>
              <w:bottom w:val="single" w:sz="8" w:color="0000FF"/>
            </w:tcBorders>
            <w:gridSpan w:val="32"/>
          </w:tcPr>
          <w:p>
            <w:pPr>
              <w:spacing w:after="0"/>
              <w:rPr>
                <w:rFonts w:ascii="Arial" w:cs="Arial" w:eastAsia="Arial" w:hAnsi="Arial"/>
                <w:sz w:val="18"/>
                <w:szCs w:val="18"/>
                <w:color w:val="0000FF"/>
              </w:rPr>
            </w:pPr>
            <w:hyperlink r:id="rId252">
              <w:r>
                <w:rPr>
                  <w:rFonts w:ascii="Arial" w:cs="Arial" w:eastAsia="Arial" w:hAnsi="Arial"/>
                  <w:sz w:val="18"/>
                  <w:szCs w:val="18"/>
                  <w:color w:val="0000FF"/>
                </w:rPr>
                <w:t>(as assigned to Holley Inc.) (incorporated by reference to Exhibit 10.12 of the Company’s Current Report on Form 8-K, filed</w:t>
              </w:r>
            </w:hyperlink>
          </w:p>
        </w:tc>
        <w:tc>
          <w:tcPr>
            <w:tcW w:w="2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with the SEC on July 21, 2021)</w:t>
              </w:r>
              <w:r>
                <w:rPr>
                  <w:rFonts w:ascii="Arial" w:cs="Arial" w:eastAsia="Arial" w:hAnsi="Arial"/>
                  <w:sz w:val="18"/>
                  <w:szCs w:val="18"/>
                  <w:color w:val="000000"/>
                </w:rPr>
                <w: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36"/>
        </w:trPr>
        <w:tc>
          <w:tcPr>
            <w:tcW w:w="126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8840" w:type="dxa"/>
            <w:vAlign w:val="bottom"/>
            <w:tcBorders>
              <w:bottom w:val="single" w:sz="8" w:color="0000FF"/>
            </w:tcBorders>
            <w:gridSpan w:val="16"/>
          </w:tcPr>
          <w:p>
            <w:pPr>
              <w:spacing w:after="0"/>
              <w:rPr>
                <w:rFonts w:ascii="Arial" w:cs="Arial" w:eastAsia="Arial" w:hAnsi="Arial"/>
                <w:sz w:val="18"/>
                <w:szCs w:val="18"/>
                <w:color w:val="0000FF"/>
              </w:rPr>
            </w:pPr>
            <w:hyperlink r:id="rId253">
              <w:r>
                <w:rPr>
                  <w:rFonts w:ascii="Arial" w:cs="Arial" w:eastAsia="Arial" w:hAnsi="Arial"/>
                  <w:sz w:val="18"/>
                  <w:szCs w:val="18"/>
                  <w:color w:val="0000FF"/>
                </w:rPr>
                <w:t>New Executive Agreement, effective July 16, 2021, by and among Holley Intermediate Holdings Inc. and Vinod</w:t>
              </w:r>
            </w:hyperlink>
          </w:p>
        </w:tc>
        <w:tc>
          <w:tcPr>
            <w:tcW w:w="1020" w:type="dxa"/>
            <w:vAlign w:val="bottom"/>
            <w:gridSpan w:val="17"/>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tcBorders>
              <w:bottom w:val="single" w:sz="8" w:color="0000FF"/>
            </w:tcBorders>
            <w:gridSpan w:val="29"/>
          </w:tcPr>
          <w:p>
            <w:pPr>
              <w:spacing w:after="0"/>
              <w:rPr>
                <w:rFonts w:ascii="Arial" w:cs="Arial" w:eastAsia="Arial" w:hAnsi="Arial"/>
                <w:sz w:val="18"/>
                <w:szCs w:val="18"/>
                <w:color w:val="0000FF"/>
              </w:rPr>
            </w:pPr>
            <w:hyperlink r:id="rId253">
              <w:r>
                <w:rPr>
                  <w:rFonts w:ascii="Arial" w:cs="Arial" w:eastAsia="Arial" w:hAnsi="Arial"/>
                  <w:sz w:val="18"/>
                  <w:szCs w:val="18"/>
                  <w:color w:val="0000FF"/>
                </w:rPr>
                <w:t>Nimmagadda (as assigned to Holley Inc.) (incorporated by reference to Exhibit 10.13 of the Company’s Current Report on</w:t>
              </w:r>
            </w:hyperlink>
          </w:p>
        </w:tc>
        <w:tc>
          <w:tcPr>
            <w:tcW w:w="100" w:type="dxa"/>
            <w:vAlign w:val="bottom"/>
            <w:gridSpan w:val="4"/>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0000FF"/>
            </w:tcBorders>
            <w:gridSpan w:val="4"/>
          </w:tcPr>
          <w:p>
            <w:pPr>
              <w:spacing w:after="0"/>
              <w:rPr>
                <w:rFonts w:ascii="Arial" w:cs="Arial" w:eastAsia="Arial" w:hAnsi="Arial"/>
                <w:sz w:val="18"/>
                <w:szCs w:val="18"/>
                <w:color w:val="0000FF"/>
                <w:w w:val="99"/>
              </w:rPr>
            </w:pPr>
            <w:hyperlink r:id="rId253">
              <w:r>
                <w:rPr>
                  <w:rFonts w:ascii="Arial" w:cs="Arial" w:eastAsia="Arial" w:hAnsi="Arial"/>
                  <w:sz w:val="18"/>
                  <w:szCs w:val="18"/>
                  <w:color w:val="0000FF"/>
                  <w:w w:val="99"/>
                </w:rPr>
                <w:t>Form 8-K, filed with the SEC on July 21, 2021).</w:t>
              </w:r>
            </w:hyperlink>
          </w:p>
        </w:tc>
        <w:tc>
          <w:tcPr>
            <w:tcW w:w="20" w:type="dxa"/>
            <w:vAlign w:val="bottom"/>
            <w:tcBorders>
              <w:bottom w:val="single" w:sz="8" w:color="0000EE"/>
            </w:tcBorders>
          </w:tcPr>
          <w:p>
            <w:pPr>
              <w:spacing w:after="0"/>
              <w:rPr>
                <w:sz w:val="18"/>
                <w:szCs w:val="18"/>
                <w:color w:val="auto"/>
              </w:rPr>
            </w:pPr>
          </w:p>
        </w:tc>
        <w:tc>
          <w:tcPr>
            <w:tcW w:w="6080" w:type="dxa"/>
            <w:vAlign w:val="bottom"/>
            <w:gridSpan w:val="28"/>
          </w:tcPr>
          <w:p>
            <w:pPr>
              <w:spacing w:after="0"/>
              <w:rPr>
                <w:sz w:val="18"/>
                <w:szCs w:val="18"/>
                <w:color w:val="auto"/>
              </w:rPr>
            </w:pPr>
          </w:p>
        </w:tc>
      </w:tr>
      <w:tr>
        <w:trPr>
          <w:trHeight w:val="236"/>
        </w:trPr>
        <w:tc>
          <w:tcPr>
            <w:tcW w:w="126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9500" w:type="dxa"/>
            <w:vAlign w:val="bottom"/>
            <w:tcBorders>
              <w:bottom w:val="single" w:sz="8" w:color="0000FF"/>
            </w:tcBorders>
            <w:gridSpan w:val="23"/>
          </w:tcPr>
          <w:p>
            <w:pPr>
              <w:spacing w:after="0"/>
              <w:rPr>
                <w:rFonts w:ascii="Arial" w:cs="Arial" w:eastAsia="Arial" w:hAnsi="Arial"/>
                <w:sz w:val="18"/>
                <w:szCs w:val="18"/>
                <w:color w:val="0000FF"/>
              </w:rPr>
            </w:pPr>
            <w:hyperlink r:id="rId254">
              <w:r>
                <w:rPr>
                  <w:rFonts w:ascii="Arial" w:cs="Arial" w:eastAsia="Arial" w:hAnsi="Arial"/>
                  <w:sz w:val="18"/>
                  <w:szCs w:val="18"/>
                  <w:color w:val="0000FF"/>
                </w:rPr>
                <w:t>Form of Indemnification Agreement of Holley Inc. (incorporated by reference to Exhibit 10.14 of the Company’s Current</w:t>
              </w:r>
            </w:hyperlink>
          </w:p>
        </w:tc>
        <w:tc>
          <w:tcPr>
            <w:tcW w:w="360" w:type="dxa"/>
            <w:vAlign w:val="bottom"/>
            <w:gridSpan w:val="10"/>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Borders>
              <w:bottom w:val="single" w:sz="8" w:color="0000FF"/>
            </w:tcBorders>
            <w:gridSpan w:val="7"/>
          </w:tcPr>
          <w:p>
            <w:pPr>
              <w:spacing w:after="0"/>
              <w:rPr>
                <w:rFonts w:ascii="Arial" w:cs="Arial" w:eastAsia="Arial" w:hAnsi="Arial"/>
                <w:sz w:val="18"/>
                <w:szCs w:val="18"/>
                <w:color w:val="0000FF"/>
                <w:w w:val="99"/>
              </w:rPr>
            </w:pPr>
            <w:hyperlink r:id="rId254">
              <w:r>
                <w:rPr>
                  <w:rFonts w:ascii="Arial" w:cs="Arial" w:eastAsia="Arial" w:hAnsi="Arial"/>
                  <w:sz w:val="18"/>
                  <w:szCs w:val="18"/>
                  <w:color w:val="0000FF"/>
                  <w:w w:val="99"/>
                </w:rPr>
                <w:t>Report on Form 8-K, filed with the SEC on July 21, 2021).</w:t>
              </w:r>
            </w:hyperlink>
          </w:p>
        </w:tc>
        <w:tc>
          <w:tcPr>
            <w:tcW w:w="20" w:type="dxa"/>
            <w:vAlign w:val="bottom"/>
            <w:tcBorders>
              <w:bottom w:val="single" w:sz="8" w:color="0000EE"/>
            </w:tcBorders>
          </w:tcPr>
          <w:p>
            <w:pPr>
              <w:spacing w:after="0"/>
              <w:rPr>
                <w:sz w:val="18"/>
                <w:szCs w:val="18"/>
                <w:color w:val="auto"/>
              </w:rPr>
            </w:pPr>
          </w:p>
        </w:tc>
        <w:tc>
          <w:tcPr>
            <w:tcW w:w="5240" w:type="dxa"/>
            <w:vAlign w:val="bottom"/>
            <w:gridSpan w:val="25"/>
          </w:tcPr>
          <w:p>
            <w:pPr>
              <w:spacing w:after="0"/>
              <w:rPr>
                <w:sz w:val="18"/>
                <w:szCs w:val="18"/>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9760" w:type="dxa"/>
            <w:vAlign w:val="bottom"/>
            <w:tcBorders>
              <w:bottom w:val="single" w:sz="8" w:color="0000FF"/>
            </w:tcBorders>
            <w:gridSpan w:val="29"/>
          </w:tcPr>
          <w:p>
            <w:pPr>
              <w:spacing w:after="0"/>
              <w:rPr>
                <w:rFonts w:ascii="Arial" w:cs="Arial" w:eastAsia="Arial" w:hAnsi="Arial"/>
                <w:sz w:val="18"/>
                <w:szCs w:val="18"/>
                <w:color w:val="0000FF"/>
              </w:rPr>
            </w:pPr>
            <w:hyperlink r:id="rId255">
              <w:r>
                <w:rPr>
                  <w:rFonts w:ascii="Arial" w:cs="Arial" w:eastAsia="Arial" w:hAnsi="Arial"/>
                  <w:sz w:val="18"/>
                  <w:szCs w:val="18"/>
                  <w:color w:val="0000FF"/>
                </w:rPr>
                <w:t>Form of Option Grant Notice and Agreement (incorporated by reference to Exhibit 10.22 of the Company’s Current Report</w:t>
              </w:r>
            </w:hyperlink>
          </w:p>
        </w:tc>
        <w:tc>
          <w:tcPr>
            <w:tcW w:w="100" w:type="dxa"/>
            <w:vAlign w:val="bottom"/>
            <w:gridSpan w:val="4"/>
          </w:tcPr>
          <w:p>
            <w:pPr>
              <w:spacing w:after="0"/>
              <w:rPr>
                <w:sz w:val="20"/>
                <w:szCs w:val="20"/>
                <w:color w:val="auto"/>
              </w:rPr>
            </w:pPr>
          </w:p>
        </w:tc>
      </w:tr>
      <w:tr>
        <w:trPr>
          <w:trHeight w:val="209"/>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5">
              <w:r>
                <w:rPr>
                  <w:rFonts w:ascii="Arial" w:cs="Arial" w:eastAsia="Arial" w:hAnsi="Arial"/>
                  <w:sz w:val="18"/>
                  <w:szCs w:val="18"/>
                  <w:color w:val="0000FF"/>
                </w:rPr>
                <w:t>on Form 8-K, filed 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EE"/>
            </w:tcBorders>
            <w:gridSpan w:val="4"/>
            <w:shd w:val="clear" w:color="auto" w:fill="0000FF"/>
          </w:tcPr>
          <w:p>
            <w:pPr>
              <w:spacing w:after="0" w:line="20" w:lineRule="exact"/>
              <w:rPr>
                <w:sz w:val="1"/>
                <w:szCs w:val="1"/>
                <w:color w:val="auto"/>
              </w:rPr>
            </w:pPr>
          </w:p>
        </w:tc>
        <w:tc>
          <w:tcPr>
            <w:tcW w:w="5620" w:type="dxa"/>
            <w:vAlign w:val="bottom"/>
            <w:gridSpan w:val="1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9640" w:type="dxa"/>
            <w:vAlign w:val="bottom"/>
            <w:tcBorders>
              <w:bottom w:val="single" w:sz="8" w:color="0000FF"/>
            </w:tcBorders>
            <w:gridSpan w:val="25"/>
          </w:tcPr>
          <w:p>
            <w:pPr>
              <w:spacing w:after="0"/>
              <w:rPr>
                <w:rFonts w:ascii="Arial" w:cs="Arial" w:eastAsia="Arial" w:hAnsi="Arial"/>
                <w:sz w:val="18"/>
                <w:szCs w:val="18"/>
                <w:color w:val="0000FF"/>
              </w:rPr>
            </w:pPr>
            <w:hyperlink r:id="rId256">
              <w:r>
                <w:rPr>
                  <w:rFonts w:ascii="Arial" w:cs="Arial" w:eastAsia="Arial" w:hAnsi="Arial"/>
                  <w:sz w:val="18"/>
                  <w:szCs w:val="18"/>
                  <w:color w:val="0000FF"/>
                </w:rPr>
                <w:t>Form of Restricted Stock Unit Grant Notice and Agreement (incorporated by reference to Exhibit 10.23 of the Company’s</w:t>
              </w:r>
            </w:hyperlink>
          </w:p>
        </w:tc>
        <w:tc>
          <w:tcPr>
            <w:tcW w:w="220" w:type="dxa"/>
            <w:vAlign w:val="bottom"/>
            <w:gridSpan w:val="8"/>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6">
              <w:r>
                <w:rPr>
                  <w:rFonts w:ascii="Arial" w:cs="Arial" w:eastAsia="Arial" w:hAnsi="Arial"/>
                  <w:sz w:val="18"/>
                  <w:szCs w:val="18"/>
                  <w:color w:val="0000FF"/>
                </w:rPr>
                <w:t>Current Report on Form 8-K, filed with the SEC on July 21, 2021).</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500" w:type="dxa"/>
            <w:vAlign w:val="bottom"/>
            <w:tcBorders>
              <w:right w:val="single" w:sz="8" w:color="0000EE"/>
            </w:tcBorders>
            <w:gridSpan w:val="7"/>
            <w:shd w:val="clear" w:color="auto" w:fill="0000FF"/>
          </w:tcPr>
          <w:p>
            <w:pPr>
              <w:spacing w:after="0" w:line="20" w:lineRule="exact"/>
              <w:rPr>
                <w:sz w:val="1"/>
                <w:szCs w:val="1"/>
                <w:color w:val="auto"/>
              </w:rPr>
            </w:pPr>
          </w:p>
        </w:tc>
        <w:tc>
          <w:tcPr>
            <w:tcW w:w="444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36"/>
        </w:trPr>
        <w:tc>
          <w:tcPr>
            <w:tcW w:w="126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9700" w:type="dxa"/>
            <w:vAlign w:val="bottom"/>
            <w:tcBorders>
              <w:bottom w:val="single" w:sz="8" w:color="0000FF"/>
            </w:tcBorders>
            <w:gridSpan w:val="27"/>
          </w:tcPr>
          <w:p>
            <w:pPr>
              <w:spacing w:after="0"/>
              <w:rPr>
                <w:rFonts w:ascii="Arial" w:cs="Arial" w:eastAsia="Arial" w:hAnsi="Arial"/>
                <w:sz w:val="18"/>
                <w:szCs w:val="18"/>
                <w:color w:val="0000FF"/>
              </w:rPr>
            </w:pPr>
            <w:hyperlink r:id="rId257">
              <w:r>
                <w:rPr>
                  <w:rFonts w:ascii="Arial" w:cs="Arial" w:eastAsia="Arial" w:hAnsi="Arial"/>
                  <w:sz w:val="18"/>
                  <w:szCs w:val="18"/>
                  <w:color w:val="0000FF"/>
                </w:rPr>
                <w:t>Non-Disclosure Agreement, dated as of August 10, 2021, between the Company, Sentinel Capital Partners, L.L.C., Owen</w:t>
              </w:r>
            </w:hyperlink>
          </w:p>
        </w:tc>
        <w:tc>
          <w:tcPr>
            <w:tcW w:w="160" w:type="dxa"/>
            <w:vAlign w:val="bottom"/>
            <w:gridSpan w:val="6"/>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tcBorders>
              <w:bottom w:val="single" w:sz="8" w:color="0000FF"/>
            </w:tcBorders>
            <w:gridSpan w:val="28"/>
          </w:tcPr>
          <w:p>
            <w:pPr>
              <w:spacing w:after="0"/>
              <w:rPr>
                <w:rFonts w:ascii="Arial" w:cs="Arial" w:eastAsia="Arial" w:hAnsi="Arial"/>
                <w:sz w:val="18"/>
                <w:szCs w:val="18"/>
                <w:color w:val="0000FF"/>
              </w:rPr>
            </w:pPr>
            <w:hyperlink r:id="rId257">
              <w:r>
                <w:rPr>
                  <w:rFonts w:ascii="Arial" w:cs="Arial" w:eastAsia="Arial" w:hAnsi="Arial"/>
                  <w:sz w:val="18"/>
                  <w:szCs w:val="18"/>
                  <w:color w:val="0000FF"/>
                </w:rPr>
                <w:t>Basham and James Coady (incorporated by reference to Exhibit 10.1 of the Company’s Current Report on Form 8-K, filed</w:t>
              </w:r>
            </w:hyperlink>
          </w:p>
        </w:tc>
        <w:tc>
          <w:tcPr>
            <w:tcW w:w="120" w:type="dxa"/>
            <w:vAlign w:val="bottom"/>
            <w:gridSpan w:val="5"/>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33"/>
          </w:tcPr>
          <w:p>
            <w:pPr>
              <w:spacing w:after="0"/>
              <w:rPr>
                <w:rFonts w:ascii="Arial" w:cs="Arial" w:eastAsia="Arial" w:hAnsi="Arial"/>
                <w:sz w:val="18"/>
                <w:szCs w:val="18"/>
                <w:color w:val="0000FF"/>
              </w:rPr>
            </w:pPr>
            <w:hyperlink r:id="rId257">
              <w:r>
                <w:rPr>
                  <w:rFonts w:ascii="Arial" w:cs="Arial" w:eastAsia="Arial" w:hAnsi="Arial"/>
                  <w:sz w:val="18"/>
                  <w:szCs w:val="18"/>
                  <w:color w:val="0000FF"/>
                </w:rPr>
                <w:t>with the SEC on August 12, 2021).</w:t>
              </w:r>
            </w:hyperlink>
          </w:p>
        </w:tc>
      </w:tr>
      <w:tr>
        <w:trPr>
          <w:trHeight w:val="72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Borders>
              <w:top w:val="single" w:sz="8" w:color="0000FF"/>
            </w:tcBorders>
            <w:gridSpan w:val="2"/>
          </w:tcPr>
          <w:p>
            <w:pPr>
              <w:spacing w:after="0"/>
              <w:rPr>
                <w:sz w:val="24"/>
                <w:szCs w:val="24"/>
                <w:color w:val="auto"/>
              </w:rPr>
            </w:pPr>
          </w:p>
        </w:tc>
        <w:tc>
          <w:tcPr>
            <w:tcW w:w="1840" w:type="dxa"/>
            <w:vAlign w:val="bottom"/>
            <w:gridSpan w:val="5"/>
          </w:tcPr>
          <w:p>
            <w:pPr>
              <w:jc w:val="right"/>
              <w:ind w:right="26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380" w:type="dxa"/>
            <w:vAlign w:val="bottom"/>
            <w:tcBorders>
              <w:bottom w:val="single" w:sz="8" w:color="0000FF"/>
            </w:tcBorders>
            <w:gridSpan w:val="5"/>
          </w:tcPr>
          <w:p>
            <w:pPr>
              <w:spacing w:after="0"/>
              <w:rPr>
                <w:rFonts w:ascii="Arial" w:cs="Arial" w:eastAsia="Arial" w:hAnsi="Arial"/>
                <w:sz w:val="18"/>
                <w:szCs w:val="18"/>
                <w:color w:val="0000FF"/>
                <w:w w:val="99"/>
              </w:rPr>
            </w:pPr>
            <w:hyperlink r:id="rId260">
              <w:r>
                <w:rPr>
                  <w:rFonts w:ascii="Arial" w:cs="Arial" w:eastAsia="Arial" w:hAnsi="Arial"/>
                  <w:sz w:val="18"/>
                  <w:szCs w:val="18"/>
                  <w:color w:val="0000FF"/>
                  <w:w w:val="99"/>
                </w:rPr>
                <w:t>Non-Disclosure Agreement, dated as of August 10, 2021, between the Company, MidOcean US Advisor, LP, Matthew</w:t>
              </w:r>
            </w:hyperlink>
          </w:p>
        </w:tc>
        <w:tc>
          <w:tcPr>
            <w:tcW w:w="200" w:type="dxa"/>
            <w:vAlign w:val="bottom"/>
            <w:gridSpan w:val="3"/>
          </w:tcPr>
          <w:p>
            <w:pPr>
              <w:spacing w:after="0"/>
              <w:rPr>
                <w:sz w:val="17"/>
                <w:szCs w:val="17"/>
                <w:color w:val="auto"/>
              </w:rPr>
            </w:pPr>
          </w:p>
        </w:tc>
      </w:tr>
      <w:tr>
        <w:trPr>
          <w:trHeight w:val="209"/>
        </w:trPr>
        <w:tc>
          <w:tcPr>
            <w:tcW w:w="1360" w:type="dxa"/>
            <w:vAlign w:val="bottom"/>
          </w:tcPr>
          <w:p>
            <w:pPr>
              <w:spacing w:after="0"/>
              <w:rPr>
                <w:sz w:val="18"/>
                <w:szCs w:val="18"/>
                <w:color w:val="auto"/>
              </w:rPr>
            </w:pPr>
          </w:p>
        </w:tc>
        <w:tc>
          <w:tcPr>
            <w:tcW w:w="9580" w:type="dxa"/>
            <w:vAlign w:val="bottom"/>
            <w:tcBorders>
              <w:bottom w:val="single" w:sz="8" w:color="0000FF"/>
            </w:tcBorders>
            <w:gridSpan w:val="8"/>
          </w:tcPr>
          <w:p>
            <w:pPr>
              <w:spacing w:after="0"/>
              <w:rPr>
                <w:rFonts w:ascii="Arial" w:cs="Arial" w:eastAsia="Arial" w:hAnsi="Arial"/>
                <w:sz w:val="18"/>
                <w:szCs w:val="18"/>
                <w:color w:val="0000FF"/>
              </w:rPr>
            </w:pPr>
            <w:hyperlink r:id="rId260">
              <w:r>
                <w:rPr>
                  <w:rFonts w:ascii="Arial" w:cs="Arial" w:eastAsia="Arial" w:hAnsi="Arial"/>
                  <w:sz w:val="18"/>
                  <w:szCs w:val="18"/>
                  <w:color w:val="0000FF"/>
                </w:rPr>
                <w:t>Rubel and Graham Clempson (incorporated by reference to Exhibit 10.2 of the Company’s Current Report on Form 8-K,</w:t>
              </w:r>
            </w:hyperlink>
          </w:p>
        </w:tc>
      </w:tr>
      <w:tr>
        <w:trPr>
          <w:trHeight w:val="210"/>
        </w:trPr>
        <w:tc>
          <w:tcPr>
            <w:tcW w:w="1360" w:type="dxa"/>
            <w:vAlign w:val="bottom"/>
          </w:tcPr>
          <w:p>
            <w:pPr>
              <w:spacing w:after="0"/>
              <w:rPr>
                <w:sz w:val="18"/>
                <w:szCs w:val="18"/>
                <w:color w:val="auto"/>
              </w:rPr>
            </w:pPr>
          </w:p>
        </w:tc>
        <w:tc>
          <w:tcPr>
            <w:tcW w:w="9580" w:type="dxa"/>
            <w:vAlign w:val="bottom"/>
            <w:gridSpan w:val="8"/>
          </w:tcPr>
          <w:p>
            <w:pPr>
              <w:spacing w:after="0"/>
              <w:rPr>
                <w:rFonts w:ascii="Arial" w:cs="Arial" w:eastAsia="Arial" w:hAnsi="Arial"/>
                <w:sz w:val="18"/>
                <w:szCs w:val="18"/>
                <w:color w:val="0000FF"/>
              </w:rPr>
            </w:pPr>
            <w:hyperlink r:id="rId260">
              <w:r>
                <w:rPr>
                  <w:rFonts w:ascii="Arial" w:cs="Arial" w:eastAsia="Arial" w:hAnsi="Arial"/>
                  <w:sz w:val="18"/>
                  <w:szCs w:val="18"/>
                  <w:color w:val="0000FF"/>
                </w:rPr>
                <w:t>filed with the SEC on August 12, 2021).</w:t>
              </w:r>
            </w:hyperlink>
          </w:p>
        </w:tc>
      </w:tr>
      <w:tr>
        <w:trPr>
          <w:trHeight w:val="20"/>
        </w:trPr>
        <w:tc>
          <w:tcPr>
            <w:tcW w:w="136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580" w:type="dxa"/>
            <w:vAlign w:val="bottom"/>
            <w:gridSpan w:val="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of Chief Executive Officer pursuant to Rules 13a-14(a) and 15d-14(a) of the Exchange Act</w:t>
              </w:r>
            </w:hyperlink>
          </w:p>
        </w:tc>
      </w:tr>
      <w:tr>
        <w:trPr>
          <w:trHeight w:val="493"/>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8160" w:type="dxa"/>
            <w:vAlign w:val="bottom"/>
            <w:tcBorders>
              <w:top w:val="single" w:sz="8" w:color="0000FF"/>
            </w:tcBorders>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of Chief Financial Officer Pursuant to Rules 13a-14(a) and 15d-14(a) of the Exchange Act</w:t>
              </w:r>
            </w:hyperlink>
          </w:p>
        </w:tc>
        <w:tc>
          <w:tcPr>
            <w:tcW w:w="1420" w:type="dxa"/>
            <w:vAlign w:val="bottom"/>
            <w:gridSpan w:val="4"/>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472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FF"/>
            </w:tcBorders>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Chief Executive Officer pursuant to Rule 13a-14(b) of the Exchange Act and 18 U.S.C. 1350, as adopted</w:t>
              </w:r>
            </w:hyperlink>
          </w:p>
        </w:tc>
        <w:tc>
          <w:tcPr>
            <w:tcW w:w="20" w:type="dxa"/>
            <w:vAlign w:val="bottom"/>
          </w:tcPr>
          <w:p>
            <w:pPr>
              <w:spacing w:after="0"/>
              <w:rPr>
                <w:sz w:val="24"/>
                <w:szCs w:val="24"/>
                <w:color w:val="auto"/>
              </w:rPr>
            </w:pPr>
          </w:p>
        </w:tc>
      </w:tr>
      <w:tr>
        <w:trPr>
          <w:trHeight w:val="209"/>
        </w:trPr>
        <w:tc>
          <w:tcPr>
            <w:tcW w:w="1360" w:type="dxa"/>
            <w:vAlign w:val="bottom"/>
          </w:tcPr>
          <w:p>
            <w:pPr>
              <w:spacing w:after="0"/>
              <w:rPr>
                <w:sz w:val="18"/>
                <w:szCs w:val="18"/>
                <w:color w:val="auto"/>
              </w:rPr>
            </w:pPr>
          </w:p>
        </w:tc>
        <w:tc>
          <w:tcPr>
            <w:tcW w:w="9580" w:type="dxa"/>
            <w:vAlign w:val="bottom"/>
            <w:gridSpan w:val="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pursuant to Section 906 of the Sarbanes-Oxley Act of 2002</w:t>
              </w:r>
            </w:hyperlink>
          </w:p>
        </w:tc>
      </w:tr>
      <w:tr>
        <w:trPr>
          <w:trHeight w:val="20"/>
        </w:trPr>
        <w:tc>
          <w:tcPr>
            <w:tcW w:w="1360" w:type="dxa"/>
            <w:vAlign w:val="bottom"/>
          </w:tcPr>
          <w:p>
            <w:pPr>
              <w:spacing w:after="0" w:line="20" w:lineRule="exact"/>
              <w:rPr>
                <w:sz w:val="1"/>
                <w:szCs w:val="1"/>
                <w:color w:val="auto"/>
              </w:rPr>
            </w:pPr>
          </w:p>
        </w:tc>
        <w:tc>
          <w:tcPr>
            <w:tcW w:w="4720" w:type="dxa"/>
            <w:vAlign w:val="bottom"/>
            <w:tcBorders>
              <w:right w:val="single" w:sz="8" w:color="0000EE"/>
            </w:tcBorders>
            <w:gridSpan w:val="2"/>
            <w:shd w:val="clear" w:color="auto" w:fill="0000FF"/>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93"/>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500" w:type="dxa"/>
            <w:vAlign w:val="bottom"/>
            <w:tcBorders>
              <w:bottom w:val="single" w:sz="8" w:color="0000FF"/>
            </w:tcBorders>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Chief Financial Officer pursuant to Rule 13a-14(b) of the Exchange Act and 18 U.S.C. 1350, as adopted</w:t>
              </w:r>
            </w:hyperlink>
          </w:p>
        </w:tc>
        <w:tc>
          <w:tcPr>
            <w:tcW w:w="80" w:type="dxa"/>
            <w:vAlign w:val="bottom"/>
            <w:gridSpan w:val="2"/>
          </w:tcPr>
          <w:p>
            <w:pPr>
              <w:spacing w:after="0"/>
              <w:rPr>
                <w:sz w:val="24"/>
                <w:szCs w:val="24"/>
                <w:color w:val="auto"/>
              </w:rPr>
            </w:pPr>
          </w:p>
        </w:tc>
      </w:tr>
      <w:tr>
        <w:trPr>
          <w:trHeight w:val="210"/>
        </w:trPr>
        <w:tc>
          <w:tcPr>
            <w:tcW w:w="1360" w:type="dxa"/>
            <w:vAlign w:val="bottom"/>
          </w:tcPr>
          <w:p>
            <w:pPr>
              <w:spacing w:after="0"/>
              <w:rPr>
                <w:sz w:val="18"/>
                <w:szCs w:val="18"/>
                <w:color w:val="auto"/>
              </w:rPr>
            </w:pPr>
          </w:p>
        </w:tc>
        <w:tc>
          <w:tcPr>
            <w:tcW w:w="9580" w:type="dxa"/>
            <w:vAlign w:val="bottom"/>
            <w:gridSpan w:val="8"/>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pursuant to Section 906 of the Sarbanes-Oxley Act of 2002</w:t>
              </w:r>
            </w:hyperlink>
          </w:p>
        </w:tc>
      </w:tr>
      <w:tr>
        <w:trPr>
          <w:trHeight w:val="533"/>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4860" w:type="dxa"/>
            <w:vAlign w:val="bottom"/>
            <w:gridSpan w:val="6"/>
          </w:tcPr>
          <w:p>
            <w:pPr>
              <w:spacing w:after="0"/>
              <w:rPr>
                <w:sz w:val="24"/>
                <w:szCs w:val="24"/>
                <w:color w:val="auto"/>
              </w:rPr>
            </w:pP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13"/>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96" w:lineRule="exact"/>
        <w:rPr>
          <w:sz w:val="20"/>
          <w:szCs w:val="20"/>
          <w:color w:val="auto"/>
        </w:rPr>
      </w:pPr>
    </w:p>
    <w:p>
      <w:pPr>
        <w:ind w:left="5500" w:right="2500" w:hanging="5499"/>
        <w:spacing w:after="0" w:line="590" w:lineRule="auto"/>
        <w:tabs>
          <w:tab w:leader="none" w:pos="13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-134620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365" w:right="6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Holley Inc.</w:t>
      </w:r>
    </w:p>
    <w:p>
      <w:pPr>
        <w:spacing w:after="0" w:line="2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0600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Dominic Bardos</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(Duly Authorized Officer)</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Tom Tomlinson, certify that:</w:t>
      </w:r>
    </w:p>
    <w:p>
      <w:pPr>
        <w:spacing w:after="0" w:line="18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84" w:lineRule="exact"/>
        <w:rPr>
          <w:rFonts w:ascii="Arial" w:cs="Arial" w:eastAsia="Arial" w:hAnsi="Arial"/>
          <w:sz w:val="18"/>
          <w:szCs w:val="18"/>
          <w:color w:val="auto"/>
        </w:rPr>
      </w:pPr>
    </w:p>
    <w:p>
      <w:pPr>
        <w:jc w:val="both"/>
        <w:ind w:firstLine="8"/>
        <w:spacing w:after="0" w:line="271"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firstLine="8"/>
        <w:spacing w:after="0" w:line="277" w:lineRule="auto"/>
        <w:tabs>
          <w:tab w:leader="none" w:pos="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71" w:lineRule="auto"/>
        <w:tabs>
          <w:tab w:leader="none" w:pos="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line="271" w:lineRule="auto"/>
        <w:tabs>
          <w:tab w:leader="none" w:pos="2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firstLine="8"/>
        <w:spacing w:after="0" w:line="271" w:lineRule="auto"/>
        <w:tabs>
          <w:tab w:leader="none" w:pos="2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71" w:lineRule="auto"/>
        <w:tabs>
          <w:tab w:leader="none" w:pos="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71"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77" w:lineRule="auto"/>
        <w:tabs>
          <w:tab w:leader="none" w:pos="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right="20" w:firstLine="8"/>
        <w:spacing w:after="0" w:line="277" w:lineRule="auto"/>
        <w:tabs>
          <w:tab w:leader="none" w:pos="2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0600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Dominic Bardos, certify that:</w:t>
      </w:r>
    </w:p>
    <w:p>
      <w:pPr>
        <w:spacing w:after="0" w:line="18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84" w:lineRule="exact"/>
        <w:rPr>
          <w:rFonts w:ascii="Arial" w:cs="Arial" w:eastAsia="Arial" w:hAnsi="Arial"/>
          <w:sz w:val="18"/>
          <w:szCs w:val="18"/>
          <w:color w:val="auto"/>
        </w:rPr>
      </w:pPr>
    </w:p>
    <w:p>
      <w:pPr>
        <w:jc w:val="both"/>
        <w:ind w:firstLine="8"/>
        <w:spacing w:after="0" w:line="271"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8"/>
          <w:szCs w:val="18"/>
          <w:color w:val="auto"/>
        </w:rPr>
      </w:pPr>
    </w:p>
    <w:p>
      <w:pPr>
        <w:ind w:firstLine="8"/>
        <w:spacing w:after="0" w:line="277" w:lineRule="auto"/>
        <w:tabs>
          <w:tab w:leader="none" w:pos="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8"/>
        <w:spacing w:after="0" w:line="271" w:lineRule="auto"/>
        <w:tabs>
          <w:tab w:leader="none" w:pos="2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line="271" w:lineRule="auto"/>
        <w:tabs>
          <w:tab w:leader="none" w:pos="2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jc w:val="both"/>
        <w:ind w:firstLine="8"/>
        <w:spacing w:after="0" w:line="271" w:lineRule="auto"/>
        <w:tabs>
          <w:tab w:leader="none" w:pos="2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8"/>
        <w:spacing w:after="0" w:line="271" w:lineRule="auto"/>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71"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77"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right="20" w:firstLine="8"/>
        <w:spacing w:after="0" w:line="277" w:lineRule="auto"/>
        <w:tabs>
          <w:tab w:leader="none" w:pos="2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32061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5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September 26, 2021, as filed with the Securities and Exchange Commission (the “Report”), Tom Tomlinson, Director and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0" w:firstLine="8"/>
        <w:spacing w:after="0" w:line="277"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Tom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0600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Tom Tomlinson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 and Chief Executive Officer</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10, 2021</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September 26, 2021, as filed with the Securities and Exchange Commission (the “Report”), Dominic Bardos, Chief Financial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0" w:firstLine="8"/>
        <w:spacing w:after="0" w:line="277"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3206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Dominic Bardos</w:t>
      </w:r>
    </w:p>
    <w:p>
      <w:pPr>
        <w:spacing w:after="0" w:line="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Chief Financial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November 10, 2021</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0"/>
    </w:lvl>
  </w:abstractNum>
  <w:abstractNum w:abstractNumId="7">
    <w:nsid w:val="6B68079A"/>
    <w:multiLevelType w:val="hybridMultilevel"/>
    <w:lvl w:ilvl="0">
      <w:lvlJc w:val="left"/>
      <w:lvlText w:val="%1."/>
      <w:numFmt w:val="decimal"/>
      <w:start w:val="11"/>
    </w:lvl>
  </w:abstractNum>
  <w:abstractNum w:abstractNumId="8">
    <w:nsid w:val="4E6AFB66"/>
    <w:multiLevelType w:val="hybridMultilevel"/>
    <w:lvl w:ilvl="0">
      <w:lvlJc w:val="left"/>
      <w:lvlText w:val="%1."/>
      <w:numFmt w:val="decimal"/>
      <w:start w:val="14"/>
    </w:lvl>
  </w:abstractNum>
  <w:abstractNum w:abstractNumId="9">
    <w:nsid w:val="25E45D32"/>
    <w:multiLevelType w:val="hybridMultilevel"/>
    <w:lvl w:ilvl="0">
      <w:lvlJc w:val="left"/>
      <w:lvlText w:val="%1."/>
      <w:numFmt w:val="decimal"/>
      <w:start w:val="15"/>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6"/>
    </w:lvl>
  </w:abstractNum>
  <w:abstractNum w:abstractNumId="12">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7C83E458"/>
    <w:multiLevelType w:val="hybridMultilevel"/>
    <w:lvl w:ilvl="0">
      <w:lvlJc w:val="left"/>
      <w:lvlText w:val="%1"/>
      <w:numFmt w:val="decimal"/>
      <w:start w:val="104"/>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43" Type="http://schemas.openxmlformats.org/officeDocument/2006/relationships/hyperlink" Target="https://www.sec.gov/Archives/edgar/data/1822928/000121390021015000/ea137482ex2_1empower.htm" TargetMode="External"/><Relationship Id="rId244" Type="http://schemas.openxmlformats.org/officeDocument/2006/relationships/hyperlink" Target="https://www.sec.gov/Archives/edgar/data/1822928/000119312521220722/d185405dex31.htm" TargetMode="External"/><Relationship Id="rId245" Type="http://schemas.openxmlformats.org/officeDocument/2006/relationships/hyperlink" Target="https://www.sec.gov/Archives/edgar/data/1822928/000119312521220722/d185405dex32.htm" TargetMode="External"/><Relationship Id="rId246" Type="http://schemas.openxmlformats.org/officeDocument/2006/relationships/hyperlink" Target="https://www.sec.gov/Archives/edgar/data/1822928/000119312521220722/d185405dex105.htm" TargetMode="External"/><Relationship Id="rId247" Type="http://schemas.openxmlformats.org/officeDocument/2006/relationships/hyperlink" Target="https://www.sec.gov/Archives/edgar/data/1822928/000119312521220722/d185405dex106.htm" TargetMode="External"/><Relationship Id="rId248" Type="http://schemas.openxmlformats.org/officeDocument/2006/relationships/hyperlink" Target="https://www.sec.gov/Archives/edgar/data/1822928/000119312521171422/d147763ds4a.htm#anxi" TargetMode="External"/><Relationship Id="rId249" Type="http://schemas.openxmlformats.org/officeDocument/2006/relationships/hyperlink" Target="https://www.sec.gov/Archives/edgar/data/1822928/000119312521220722/d185405dex109.htm" TargetMode="External"/><Relationship Id="rId250" Type="http://schemas.openxmlformats.org/officeDocument/2006/relationships/hyperlink" Target="https://www.sec.gov/Archives/edgar/data/1822928/000119312521220722/d185405dex1010.htm" TargetMode="External"/><Relationship Id="rId251" Type="http://schemas.openxmlformats.org/officeDocument/2006/relationships/hyperlink" Target="https://www.sec.gov/Archives/edgar/data/1822928/000119312521220722/d185405dex1011.htm" TargetMode="External"/><Relationship Id="rId252" Type="http://schemas.openxmlformats.org/officeDocument/2006/relationships/hyperlink" Target="https://www.sec.gov/Archives/edgar/data/1822928/000119312521220722/d185405dex1012.htm" TargetMode="External"/><Relationship Id="rId253" Type="http://schemas.openxmlformats.org/officeDocument/2006/relationships/hyperlink" Target="https://www.sec.gov/Archives/edgar/data/1822928/000119312521220722/d185405dex1013.htm" TargetMode="External"/><Relationship Id="rId254" Type="http://schemas.openxmlformats.org/officeDocument/2006/relationships/hyperlink" Target="https://www.sec.gov/Archives/edgar/data/1822928/000119312521220722/d185405dex1014.htm" TargetMode="External"/><Relationship Id="rId255" Type="http://schemas.openxmlformats.org/officeDocument/2006/relationships/hyperlink" Target="https://www.sec.gov/Archives/edgar/data/1822928/000119312521220722/d185405dex1022.htm" TargetMode="External"/><Relationship Id="rId256" Type="http://schemas.openxmlformats.org/officeDocument/2006/relationships/hyperlink" Target="https://www.sec.gov/Archives/edgar/data/1822928/000119312521220722/d185405dex1023.htm" TargetMode="External"/><Relationship Id="rId257" Type="http://schemas.openxmlformats.org/officeDocument/2006/relationships/hyperlink" Target="https://www.sec.gov/Archives/edgar/data/1822928/000119312521243736/d171134dex101.htm" TargetMode="External"/><Relationship Id="rId260" Type="http://schemas.openxmlformats.org/officeDocument/2006/relationships/hyperlink" Target="https://www.sec.gov/Archives/edgar/data/1822928/000119312521243736/d1711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2021-11-10T06:37:31Z</dcterms:created>
  <dcterms:modified xsi:type="dcterms:W3CDTF">2021-11-10T06:37:31Z</dcterms:modified>
</cp:coreProperties>
</file>