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980" w:right="2380" w:hanging="3972"/>
        <w:spacing w:after="0" w:line="566" w:lineRule="auto"/>
        <w:tabs>
          <w:tab w:leader="none" w:pos="57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July 2, 2023</w:t>
      </w:r>
    </w:p>
    <w:p>
      <w:pPr>
        <w:spacing w:after="0" w:line="266" w:lineRule="exact"/>
        <w:rPr>
          <w:sz w:val="24"/>
          <w:szCs w:val="24"/>
          <w:color w:val="auto"/>
        </w:rPr>
      </w:pPr>
    </w:p>
    <w:p>
      <w:pPr>
        <w:ind w:left="3480" w:right="2380" w:hanging="3472"/>
        <w:spacing w:after="0" w:line="510" w:lineRule="auto"/>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spacing w:after="0" w:line="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476" w:right="339" w:bottom="1440" w:gutter="0" w:footer="0" w:header="0"/>
        </w:sectPr>
      </w:pPr>
    </w:p>
    <w:p>
      <w:pPr>
        <w:spacing w:after="0" w:line="188"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9" w:lineRule="exact"/>
        <w:rPr>
          <w:sz w:val="24"/>
          <w:szCs w:val="24"/>
          <w:color w:val="auto"/>
        </w:rPr>
      </w:pPr>
    </w:p>
    <w:p>
      <w:pPr>
        <w:sectPr>
          <w:pgSz w:w="11900" w:h="16838" w:orient="portrait"/>
          <w:cols w:equalWidth="0" w:num="2">
            <w:col w:w="7280" w:space="720"/>
            <w:col w:w="3240"/>
          </w:cols>
          <w:pgMar w:left="320" w:top="476"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5" w:lineRule="exact"/>
        <w:rPr>
          <w:sz w:val="24"/>
          <w:szCs w:val="24"/>
          <w:color w:val="auto"/>
        </w:rPr>
      </w:pPr>
    </w:p>
    <w:p>
      <w:pPr>
        <w:sectPr>
          <w:pgSz w:w="11900" w:h="16838" w:orient="portrait"/>
          <w:cols w:equalWidth="0" w:num="2">
            <w:col w:w="6680" w:space="720"/>
            <w:col w:w="3840"/>
          </w:cols>
          <w:pgMar w:left="320" w:top="47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1801 Russellville Road, Bowling Green, KY 42101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10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72"/>
        </w:trPr>
        <w:tc>
          <w:tcPr>
            <w:tcW w:w="3720" w:type="dxa"/>
            <w:vAlign w:val="bottom"/>
          </w:tcPr>
          <w:p>
            <w:pPr>
              <w:jc w:val="center"/>
              <w:spacing w:after="0" w:line="172" w:lineRule="exact"/>
              <w:rPr>
                <w:sz w:val="20"/>
                <w:szCs w:val="20"/>
                <w:color w:val="auto"/>
              </w:rPr>
            </w:pPr>
            <w:r>
              <w:rPr>
                <w:rFonts w:ascii="Arial" w:cs="Arial" w:eastAsia="Arial" w:hAnsi="Arial"/>
                <w:sz w:val="16"/>
                <w:szCs w:val="16"/>
                <w:color w:val="auto"/>
              </w:rPr>
              <w:t>Common Stock, par value $0.0001</w:t>
            </w:r>
          </w:p>
        </w:tc>
        <w:tc>
          <w:tcPr>
            <w:tcW w:w="100" w:type="dxa"/>
            <w:vAlign w:val="bottom"/>
          </w:tcPr>
          <w:p>
            <w:pPr>
              <w:spacing w:after="0"/>
              <w:rPr>
                <w:sz w:val="14"/>
                <w:szCs w:val="14"/>
                <w:color w:val="auto"/>
              </w:rPr>
            </w:pPr>
          </w:p>
        </w:tc>
        <w:tc>
          <w:tcPr>
            <w:tcW w:w="3600" w:type="dxa"/>
            <w:vAlign w:val="bottom"/>
          </w:tcPr>
          <w:p>
            <w:pPr>
              <w:jc w:val="center"/>
              <w:spacing w:after="0" w:line="172"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20" w:type="dxa"/>
            <w:vAlign w:val="bottom"/>
          </w:tcPr>
          <w:p>
            <w:pPr>
              <w:jc w:val="center"/>
              <w:spacing w:after="0" w:line="172" w:lineRule="exact"/>
              <w:rPr>
                <w:sz w:val="20"/>
                <w:szCs w:val="20"/>
                <w:color w:val="auto"/>
              </w:rPr>
            </w:pPr>
            <w:r>
              <w:rPr>
                <w:rFonts w:ascii="Arial" w:cs="Arial" w:eastAsia="Arial" w:hAnsi="Arial"/>
                <w:sz w:val="16"/>
                <w:szCs w:val="16"/>
                <w:color w:val="auto"/>
              </w:rPr>
              <w:t>New York Stock Exchange</w:t>
            </w:r>
          </w:p>
        </w:tc>
      </w:tr>
      <w:tr>
        <w:trPr>
          <w:trHeight w:val="207"/>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85"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34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9"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There were 118,343,604 shares of Common Stock, including 1,093,750 restricted earn-out shares, par value $0.0001 per share, issued and outstanding as of August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720" w:type="dxa"/>
            <w:vAlign w:val="bottom"/>
            <w:gridSpan w:val="15"/>
          </w:tcPr>
          <w:p>
            <w:pPr>
              <w:spacing w:after="0"/>
              <w:rPr>
                <w:sz w:val="20"/>
                <w:szCs w:val="20"/>
                <w:color w:val="auto"/>
              </w:rPr>
            </w:pPr>
            <w:r>
              <w:rPr>
                <w:rFonts w:ascii="Arial" w:cs="Arial" w:eastAsia="Arial" w:hAnsi="Arial"/>
                <w:sz w:val="18"/>
                <w:szCs w:val="18"/>
                <w:color w:val="0000EE"/>
              </w:rPr>
              <w:t>Table of Contents</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3"/>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8"/>
              </w:rPr>
              <w:t>TABLE OF CONTENTS</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PART I – FINANCIAL INFORMATION</w:t>
            </w:r>
          </w:p>
        </w:tc>
        <w:tc>
          <w:tcPr>
            <w:tcW w:w="4720" w:type="dxa"/>
            <w:vAlign w:val="bottom"/>
            <w:gridSpan w:val="4"/>
          </w:tcPr>
          <w:p>
            <w:pPr>
              <w:spacing w:after="0"/>
              <w:rPr>
                <w:sz w:val="24"/>
                <w:szCs w:val="24"/>
                <w:color w:val="auto"/>
              </w:rPr>
            </w:pPr>
          </w:p>
        </w:tc>
        <w:tc>
          <w:tcPr>
            <w:tcW w:w="3240" w:type="dxa"/>
            <w:vAlign w:val="bottom"/>
            <w:gridSpan w:val="2"/>
            <w:vMerge w:val="restart"/>
          </w:tcPr>
          <w:p>
            <w:pPr>
              <w:ind w:left="3140"/>
              <w:spacing w:after="0"/>
              <w:rPr>
                <w:sz w:val="20"/>
                <w:szCs w:val="20"/>
                <w:color w:val="auto"/>
              </w:rPr>
            </w:pPr>
            <w:r>
              <w:rPr>
                <w:rFonts w:ascii="Arial" w:cs="Arial" w:eastAsia="Arial" w:hAnsi="Arial"/>
                <w:sz w:val="18"/>
                <w:szCs w:val="18"/>
                <w:color w:val="0000EE"/>
                <w:w w:val="79"/>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gridSpan w:val="8"/>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5380" w:type="dxa"/>
            <w:vAlign w:val="bottom"/>
            <w:gridSpan w:val="7"/>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360" w:type="dxa"/>
            <w:vAlign w:val="bottom"/>
            <w:gridSpan w:val="13"/>
          </w:tcPr>
          <w:p>
            <w:pPr>
              <w:spacing w:after="0"/>
              <w:rPr>
                <w:sz w:val="20"/>
                <w:szCs w:val="20"/>
                <w:color w:val="auto"/>
              </w:rPr>
            </w:pPr>
            <w:r>
              <w:rPr>
                <w:rFonts w:ascii="Arial" w:cs="Arial" w:eastAsia="Arial" w:hAnsi="Arial"/>
                <w:sz w:val="18"/>
                <w:szCs w:val="18"/>
                <w:color w:val="0000EE"/>
                <w:w w:val="99"/>
              </w:rPr>
              <w:t>Item 3. Quantitative and Qualitative Disclosures About Market Risk.</w:t>
            </w:r>
          </w:p>
        </w:tc>
        <w:tc>
          <w:tcPr>
            <w:tcW w:w="2360" w:type="dxa"/>
            <w:vAlign w:val="bottom"/>
            <w:gridSpan w:val="2"/>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40" w:type="dxa"/>
            <w:vAlign w:val="bottom"/>
            <w:gridSpan w:val="9"/>
          </w:tcPr>
          <w:p>
            <w:pPr>
              <w:spacing w:after="0"/>
              <w:rPr>
                <w:sz w:val="20"/>
                <w:szCs w:val="20"/>
                <w:color w:val="auto"/>
              </w:rPr>
            </w:pPr>
            <w:r>
              <w:rPr>
                <w:rFonts w:ascii="Arial" w:cs="Arial" w:eastAsia="Arial" w:hAnsi="Arial"/>
                <w:sz w:val="18"/>
                <w:szCs w:val="18"/>
                <w:color w:val="0000EE"/>
                <w:w w:val="96"/>
              </w:rPr>
              <w:t>Item 4. Controls and Procedures</w:t>
            </w:r>
          </w:p>
        </w:tc>
        <w:tc>
          <w:tcPr>
            <w:tcW w:w="2820" w:type="dxa"/>
            <w:vAlign w:val="bottom"/>
            <w:gridSpan w:val="4"/>
          </w:tcPr>
          <w:p>
            <w:pPr>
              <w:spacing w:after="0"/>
              <w:rPr>
                <w:sz w:val="24"/>
                <w:szCs w:val="24"/>
                <w:color w:val="auto"/>
              </w:rPr>
            </w:pPr>
          </w:p>
        </w:tc>
        <w:tc>
          <w:tcPr>
            <w:tcW w:w="2360" w:type="dxa"/>
            <w:vAlign w:val="bottom"/>
            <w:gridSpan w:val="2"/>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720" w:type="dxa"/>
            <w:vAlign w:val="bottom"/>
            <w:gridSpan w:val="15"/>
          </w:tcPr>
          <w:p>
            <w:pPr>
              <w:spacing w:after="0"/>
              <w:rPr>
                <w:sz w:val="20"/>
                <w:szCs w:val="20"/>
                <w:color w:val="auto"/>
              </w:rPr>
            </w:pPr>
            <w:r>
              <w:rPr>
                <w:rFonts w:ascii="Arial" w:cs="Arial" w:eastAsia="Arial" w:hAnsi="Arial"/>
                <w:sz w:val="18"/>
                <w:szCs w:val="18"/>
                <w:color w:val="0000EE"/>
              </w:rPr>
              <w:t>PART II – OTHER INFORMATION</w:t>
            </w:r>
          </w:p>
        </w:tc>
        <w:tc>
          <w:tcPr>
            <w:tcW w:w="3340" w:type="dxa"/>
            <w:vAlign w:val="bottom"/>
            <w:gridSpan w:val="3"/>
            <w:vMerge w:val="restart"/>
          </w:tcPr>
          <w:p>
            <w:pPr>
              <w:ind w:left="3140"/>
              <w:spacing w:after="0"/>
              <w:rPr>
                <w:sz w:val="20"/>
                <w:szCs w:val="20"/>
                <w:color w:val="auto"/>
              </w:rPr>
            </w:pPr>
            <w:r>
              <w:rPr>
                <w:rFonts w:ascii="Arial" w:cs="Arial" w:eastAsia="Arial" w:hAnsi="Arial"/>
                <w:sz w:val="18"/>
                <w:szCs w:val="18"/>
                <w:color w:val="0000EE"/>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 Legal Proceedings.</w:t>
            </w:r>
          </w:p>
        </w:tc>
        <w:tc>
          <w:tcPr>
            <w:tcW w:w="4980" w:type="dxa"/>
            <w:vAlign w:val="bottom"/>
            <w:gridSpan w:val="5"/>
          </w:tcPr>
          <w:p>
            <w:pPr>
              <w:spacing w:after="0"/>
              <w:rPr>
                <w:sz w:val="15"/>
                <w:szCs w:val="15"/>
                <w:color w:val="auto"/>
              </w:rPr>
            </w:pPr>
          </w:p>
        </w:tc>
        <w:tc>
          <w:tcPr>
            <w:tcW w:w="33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80" w:type="dxa"/>
            <w:vAlign w:val="bottom"/>
            <w:gridSpan w:val="5"/>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gridSpan w:val="2"/>
          </w:tcPr>
          <w:p>
            <w:pPr>
              <w:spacing w:after="0"/>
              <w:rPr>
                <w:sz w:val="24"/>
                <w:szCs w:val="24"/>
                <w:color w:val="auto"/>
              </w:rPr>
            </w:pPr>
          </w:p>
        </w:tc>
        <w:tc>
          <w:tcPr>
            <w:tcW w:w="5580" w:type="dxa"/>
            <w:vAlign w:val="bottom"/>
            <w:gridSpan w:val="8"/>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20" w:type="dxa"/>
            <w:vAlign w:val="bottom"/>
            <w:gridSpan w:val="15"/>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3.</w:t>
            </w:r>
          </w:p>
        </w:tc>
        <w:tc>
          <w:tcPr>
            <w:tcW w:w="4920" w:type="dxa"/>
            <w:vAlign w:val="bottom"/>
            <w:gridSpan w:val="13"/>
          </w:tcPr>
          <w:p>
            <w:pPr>
              <w:ind w:left="20"/>
              <w:spacing w:after="0"/>
              <w:rPr>
                <w:sz w:val="20"/>
                <w:szCs w:val="20"/>
                <w:color w:val="auto"/>
              </w:rPr>
            </w:pPr>
            <w:r>
              <w:rPr>
                <w:rFonts w:ascii="Arial" w:cs="Arial" w:eastAsia="Arial" w:hAnsi="Arial"/>
                <w:sz w:val="18"/>
                <w:szCs w:val="18"/>
                <w:color w:val="0000EE"/>
              </w:rPr>
              <w:t>Defaults Upon Senior Securities.</w:t>
            </w:r>
          </w:p>
        </w:tc>
        <w:tc>
          <w:tcPr>
            <w:tcW w:w="2220" w:type="dxa"/>
            <w:vAlign w:val="bottom"/>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4.</w:t>
            </w:r>
          </w:p>
        </w:tc>
        <w:tc>
          <w:tcPr>
            <w:tcW w:w="1960" w:type="dxa"/>
            <w:vAlign w:val="bottom"/>
            <w:gridSpan w:val="8"/>
          </w:tcPr>
          <w:p>
            <w:pPr>
              <w:ind w:left="20"/>
              <w:spacing w:after="0"/>
              <w:rPr>
                <w:sz w:val="20"/>
                <w:szCs w:val="20"/>
                <w:color w:val="auto"/>
              </w:rPr>
            </w:pPr>
            <w:r>
              <w:rPr>
                <w:rFonts w:ascii="Arial" w:cs="Arial" w:eastAsia="Arial" w:hAnsi="Arial"/>
                <w:sz w:val="18"/>
                <w:szCs w:val="18"/>
                <w:color w:val="0000EE"/>
                <w:w w:val="98"/>
              </w:rPr>
              <w:t>Mine Safety Disclosures</w:t>
            </w:r>
          </w:p>
        </w:tc>
        <w:tc>
          <w:tcPr>
            <w:tcW w:w="660" w:type="dxa"/>
            <w:vAlign w:val="bottom"/>
            <w:gridSpan w:val="3"/>
          </w:tcPr>
          <w:p>
            <w:pPr>
              <w:spacing w:after="0"/>
              <w:rPr>
                <w:sz w:val="24"/>
                <w:szCs w:val="24"/>
                <w:color w:val="auto"/>
              </w:rPr>
            </w:pPr>
          </w:p>
        </w:tc>
        <w:tc>
          <w:tcPr>
            <w:tcW w:w="4520" w:type="dxa"/>
            <w:vAlign w:val="bottom"/>
            <w:gridSpan w:val="3"/>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5.</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w w:val="99"/>
              </w:rPr>
              <w:t>Other Information.</w:t>
            </w:r>
          </w:p>
        </w:tc>
        <w:tc>
          <w:tcPr>
            <w:tcW w:w="480" w:type="dxa"/>
            <w:vAlign w:val="bottom"/>
            <w:gridSpan w:val="3"/>
          </w:tcPr>
          <w:p>
            <w:pPr>
              <w:spacing w:after="0"/>
              <w:rPr>
                <w:sz w:val="24"/>
                <w:szCs w:val="24"/>
                <w:color w:val="auto"/>
              </w:rPr>
            </w:pPr>
          </w:p>
        </w:tc>
        <w:tc>
          <w:tcPr>
            <w:tcW w:w="5180" w:type="dxa"/>
            <w:vAlign w:val="bottom"/>
            <w:gridSpan w:val="6"/>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rPr>
              <w:t>Exhibits.</w:t>
            </w:r>
          </w:p>
        </w:tc>
        <w:tc>
          <w:tcPr>
            <w:tcW w:w="5660" w:type="dxa"/>
            <w:vAlign w:val="bottom"/>
            <w:gridSpan w:val="9"/>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39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6440" w:type="dxa"/>
            <w:vAlign w:val="bottom"/>
            <w:gridSpan w:val="12"/>
          </w:tcPr>
          <w:p>
            <w:pPr>
              <w:spacing w:after="0"/>
              <w:rPr>
                <w:sz w:val="24"/>
                <w:szCs w:val="24"/>
                <w:color w:val="auto"/>
              </w:rPr>
            </w:pPr>
          </w:p>
        </w:tc>
        <w:tc>
          <w:tcPr>
            <w:tcW w:w="3340" w:type="dxa"/>
            <w:vAlign w:val="bottom"/>
            <w:gridSpan w:val="3"/>
          </w:tcPr>
          <w:p>
            <w:pPr>
              <w:ind w:left="3140"/>
              <w:spacing w:after="0"/>
              <w:rPr>
                <w:sz w:val="20"/>
                <w:szCs w:val="20"/>
                <w:color w:val="auto"/>
              </w:rPr>
            </w:pPr>
            <w:r>
              <w:rPr>
                <w:rFonts w:ascii="Arial" w:cs="Arial" w:eastAsia="Arial" w:hAnsi="Arial"/>
                <w:sz w:val="18"/>
                <w:szCs w:val="18"/>
                <w:color w:val="0000EE"/>
                <w:w w:val="89"/>
              </w:rPr>
              <w:t>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680" w:type="dxa"/>
            <w:vAlign w:val="bottom"/>
            <w:gridSpan w:val="13"/>
          </w:tcPr>
          <w:p>
            <w:pPr>
              <w:jc w:val="right"/>
              <w:ind w:right="2040"/>
              <w:spacing w:after="0"/>
              <w:rPr>
                <w:sz w:val="20"/>
                <w:szCs w:val="20"/>
                <w:color w:val="auto"/>
              </w:rPr>
            </w:pPr>
            <w:r>
              <w:rPr>
                <w:rFonts w:ascii="Arial" w:cs="Arial" w:eastAsia="Arial" w:hAnsi="Arial"/>
                <w:sz w:val="18"/>
                <w:szCs w:val="18"/>
                <w:color w:val="auto"/>
              </w:rPr>
              <w:t>2</w:t>
            </w:r>
          </w:p>
        </w:tc>
        <w:tc>
          <w:tcPr>
            <w:tcW w:w="3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78" w:lineRule="exact"/>
        <w:rPr>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interruption from catastrophic events and problems such as terrorism, public health crises, cyber-attacks, or failure of key information technology systems;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23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its business, including laws and regulations related to environmental health and safety;</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38"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15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59"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2022, as filed with the U.S. Securities and Exchange Commission (the "SEC") on March 15, 2023, in Part II. Item 1A of this Quarterly Report on Form 10-Q, and/or as disclosed in any subsequent filings with the SEC.</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0"/>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1400" w:type="dxa"/>
            <w:vAlign w:val="bottom"/>
          </w:tcPr>
          <w:p>
            <w:pPr>
              <w:spacing w:after="0"/>
              <w:rPr>
                <w:sz w:val="24"/>
                <w:szCs w:val="24"/>
                <w:color w:val="auto"/>
              </w:rPr>
            </w:pPr>
          </w:p>
        </w:tc>
        <w:tc>
          <w:tcPr>
            <w:tcW w:w="650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65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400" w:type="dxa"/>
            <w:vAlign w:val="bottom"/>
          </w:tcPr>
          <w:p>
            <w:pPr>
              <w:spacing w:after="0"/>
              <w:rPr>
                <w:sz w:val="17"/>
                <w:szCs w:val="17"/>
                <w:color w:val="auto"/>
              </w:rPr>
            </w:pPr>
          </w:p>
        </w:tc>
        <w:tc>
          <w:tcPr>
            <w:tcW w:w="6500" w:type="dxa"/>
            <w:vAlign w:val="bottom"/>
          </w:tcPr>
          <w:p>
            <w:pPr>
              <w:jc w:val="center"/>
              <w:ind w:left="185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400" w:type="dxa"/>
            <w:vAlign w:val="bottom"/>
          </w:tcPr>
          <w:p>
            <w:pPr>
              <w:spacing w:after="0"/>
              <w:rPr>
                <w:sz w:val="19"/>
                <w:szCs w:val="19"/>
                <w:color w:val="auto"/>
              </w:rPr>
            </w:pPr>
          </w:p>
        </w:tc>
        <w:tc>
          <w:tcPr>
            <w:tcW w:w="6500" w:type="dxa"/>
            <w:vAlign w:val="bottom"/>
          </w:tcPr>
          <w:p>
            <w:pPr>
              <w:jc w:val="center"/>
              <w:ind w:left="185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14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15"/>
        </w:trPr>
        <w:tc>
          <w:tcPr>
            <w:tcW w:w="14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1400" w:type="dxa"/>
            <w:vAlign w:val="bottom"/>
            <w:shd w:val="clear" w:color="auto" w:fill="CCEEFF"/>
          </w:tcPr>
          <w:p>
            <w:pPr>
              <w:spacing w:after="0"/>
              <w:rPr>
                <w:sz w:val="17"/>
                <w:szCs w:val="17"/>
                <w:color w:val="auto"/>
              </w:rPr>
            </w:pPr>
          </w:p>
        </w:tc>
        <w:tc>
          <w:tcPr>
            <w:tcW w:w="6500" w:type="dxa"/>
            <w:vAlign w:val="bottom"/>
            <w:shd w:val="clear" w:color="auto" w:fill="CCEEFF"/>
          </w:tcPr>
          <w:p>
            <w:pPr>
              <w:jc w:val="center"/>
              <w:ind w:right="1330"/>
              <w:spacing w:after="0" w:line="196" w:lineRule="exact"/>
              <w:rPr>
                <w:sz w:val="20"/>
                <w:szCs w:val="20"/>
                <w:color w:val="auto"/>
              </w:rPr>
            </w:pPr>
            <w:r>
              <w:rPr>
                <w:rFonts w:ascii="Arial" w:cs="Arial" w:eastAsia="Arial" w:hAnsi="Arial"/>
                <w:sz w:val="18"/>
                <w:szCs w:val="18"/>
                <w:b w:val="1"/>
                <w:bCs w:val="1"/>
                <w:color w:val="auto"/>
                <w:w w:val="99"/>
              </w:rPr>
              <w:t>ASSETS</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42,740</w:t>
            </w:r>
          </w:p>
        </w:tc>
        <w:tc>
          <w:tcPr>
            <w:tcW w:w="14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26,150</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$2,092 and $1,550 respectively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47,083</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217,504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233,573</w:t>
            </w:r>
          </w:p>
        </w:tc>
        <w:tc>
          <w:tcPr>
            <w:tcW w:w="100" w:type="dxa"/>
            <w:vAlign w:val="bottom"/>
          </w:tcPr>
          <w:p>
            <w:pPr>
              <w:spacing w:after="0"/>
              <w:rPr>
                <w:sz w:val="17"/>
                <w:szCs w:val="17"/>
                <w:color w:val="auto"/>
              </w:rPr>
            </w:pPr>
          </w:p>
        </w:tc>
      </w:tr>
      <w:tr>
        <w:trPr>
          <w:trHeight w:val="203"/>
        </w:trPr>
        <w:tc>
          <w:tcPr>
            <w:tcW w:w="7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15,951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9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333,275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324,963</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52,181</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419,056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418,121</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417,613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424,855</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28,965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29,522</w:t>
            </w:r>
          </w:p>
        </w:tc>
        <w:tc>
          <w:tcPr>
            <w:tcW w:w="100" w:type="dxa"/>
            <w:vAlign w:val="bottom"/>
          </w:tcPr>
          <w:p>
            <w:pPr>
              <w:spacing w:after="0"/>
              <w:rPr>
                <w:sz w:val="17"/>
                <w:szCs w:val="17"/>
                <w:color w:val="auto"/>
              </w:rPr>
            </w:pPr>
          </w:p>
        </w:tc>
      </w:tr>
      <w:tr>
        <w:trPr>
          <w:trHeight w:val="203"/>
        </w:trPr>
        <w:tc>
          <w:tcPr>
            <w:tcW w:w="7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9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1,250,668</w:t>
            </w:r>
          </w:p>
        </w:tc>
        <w:tc>
          <w:tcPr>
            <w:tcW w:w="140" w:type="dxa"/>
            <w:vAlign w:val="bottom"/>
          </w:tcPr>
          <w:p>
            <w:pPr>
              <w:spacing w:after="0"/>
              <w:rPr>
                <w:sz w:val="17"/>
                <w:szCs w:val="17"/>
                <w:color w:val="auto"/>
              </w:rPr>
            </w:pP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1,249,642</w:t>
            </w:r>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6500" w:type="dxa"/>
            <w:vAlign w:val="bottom"/>
            <w:shd w:val="clear" w:color="auto" w:fill="CCEEFF"/>
          </w:tcPr>
          <w:p>
            <w:pPr>
              <w:jc w:val="center"/>
              <w:ind w:right="133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43,774</w:t>
            </w:r>
          </w:p>
        </w:tc>
        <w:tc>
          <w:tcPr>
            <w:tcW w:w="14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44,948</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46,605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43,317</w:t>
            </w:r>
          </w:p>
        </w:tc>
        <w:tc>
          <w:tcPr>
            <w:tcW w:w="100" w:type="dxa"/>
            <w:vAlign w:val="bottom"/>
          </w:tcPr>
          <w:p>
            <w:pPr>
              <w:spacing w:after="0"/>
              <w:rPr>
                <w:sz w:val="17"/>
                <w:szCs w:val="17"/>
                <w:color w:val="auto"/>
              </w:rPr>
            </w:pPr>
          </w:p>
        </w:tc>
      </w:tr>
      <w:tr>
        <w:trPr>
          <w:trHeight w:val="203"/>
        </w:trPr>
        <w:tc>
          <w:tcPr>
            <w:tcW w:w="7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6,571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9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103,211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101,259</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629,435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643,563</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7,725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4,272</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Earn-out liability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47,727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58,390</w:t>
            </w:r>
          </w:p>
        </w:tc>
        <w:tc>
          <w:tcPr>
            <w:tcW w:w="100" w:type="dxa"/>
            <w:vAlign w:val="bottom"/>
          </w:tcPr>
          <w:p>
            <w:pPr>
              <w:spacing w:after="0"/>
              <w:rPr>
                <w:sz w:val="17"/>
                <w:szCs w:val="17"/>
                <w:color w:val="auto"/>
              </w:rPr>
            </w:pPr>
          </w:p>
        </w:tc>
      </w:tr>
      <w:tr>
        <w:trPr>
          <w:trHeight w:val="203"/>
        </w:trPr>
        <w:tc>
          <w:tcPr>
            <w:tcW w:w="7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operating lease liabilities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24,589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24,992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9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815,252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833,652</w:t>
            </w:r>
          </w:p>
        </w:tc>
        <w:tc>
          <w:tcPr>
            <w:tcW w:w="100" w:type="dxa"/>
            <w:vAlign w:val="bottom"/>
          </w:tcPr>
          <w:p>
            <w:pPr>
              <w:spacing w:after="0"/>
              <w:rPr>
                <w:sz w:val="17"/>
                <w:szCs w:val="17"/>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(Refer to Note 18 - Commitments and Contingencies)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0"/>
        </w:trPr>
        <w:tc>
          <w:tcPr>
            <w:tcW w:w="7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July 2, 2023 and December 31, 2022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190"/>
        </w:trPr>
        <w:tc>
          <w:tcPr>
            <w:tcW w:w="7900" w:type="dxa"/>
            <w:vAlign w:val="bottom"/>
            <w:gridSpan w:val="2"/>
          </w:tcPr>
          <w:p>
            <w:pPr>
              <w:spacing w:after="0" w:line="189" w:lineRule="exact"/>
              <w:rPr>
                <w:sz w:val="20"/>
                <w:szCs w:val="20"/>
                <w:color w:val="auto"/>
              </w:rPr>
            </w:pPr>
            <w:r>
              <w:rPr>
                <w:rFonts w:ascii="Arial" w:cs="Arial" w:eastAsia="Arial" w:hAnsi="Arial"/>
                <w:sz w:val="18"/>
                <w:szCs w:val="18"/>
                <w:color w:val="auto"/>
              </w:rPr>
              <w:t>Common stock, $0.0001 par value, 550,000,000 shares authorized, 117,249,854 and 117,147,997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shares issued and outstanding on July 2, 2023 and December 31, 2022,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03"/>
        </w:trPr>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370,249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368,122</w:t>
            </w:r>
          </w:p>
        </w:tc>
        <w:tc>
          <w:tcPr>
            <w:tcW w:w="100" w:type="dxa"/>
            <w:vAlign w:val="bottom"/>
            <w:shd w:val="clear" w:color="auto" w:fill="CCEEFF"/>
          </w:tcPr>
          <w:p>
            <w:pPr>
              <w:spacing w:after="0"/>
              <w:rPr>
                <w:sz w:val="17"/>
                <w:szCs w:val="17"/>
                <w:color w:val="auto"/>
              </w:rPr>
            </w:pPr>
          </w:p>
        </w:tc>
      </w:tr>
      <w:tr>
        <w:trPr>
          <w:trHeight w:val="203"/>
        </w:trPr>
        <w:tc>
          <w:tcPr>
            <w:tcW w:w="79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(944)</w:t>
            </w:r>
          </w:p>
        </w:tc>
      </w:tr>
      <w:tr>
        <w:trPr>
          <w:trHeight w:val="203"/>
        </w:trPr>
        <w:tc>
          <w:tcPr>
            <w:tcW w:w="7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66,026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9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435,416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415,990</w:t>
            </w:r>
          </w:p>
        </w:tc>
        <w:tc>
          <w:tcPr>
            <w:tcW w:w="100" w:type="dxa"/>
            <w:vAlign w:val="bottom"/>
          </w:tcPr>
          <w:p>
            <w:pPr>
              <w:spacing w:after="0"/>
              <w:rPr>
                <w:sz w:val="17"/>
                <w:szCs w:val="17"/>
                <w:color w:val="auto"/>
              </w:rPr>
            </w:pPr>
          </w:p>
        </w:tc>
      </w:tr>
      <w:tr>
        <w:trPr>
          <w:trHeight w:val="236"/>
        </w:trPr>
        <w:tc>
          <w:tcPr>
            <w:tcW w:w="7900" w:type="dxa"/>
            <w:vAlign w:val="bottom"/>
            <w:tcBorders>
              <w:bottom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1,250,668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1,249,642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2"/>
        </w:trPr>
        <w:tc>
          <w:tcPr>
            <w:tcW w:w="140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5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HOLLEY INC.</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8380" w:type="dxa"/>
            <w:vAlign w:val="bottom"/>
            <w:gridSpan w:val="11"/>
          </w:tcPr>
          <w:p>
            <w:pPr>
              <w:jc w:val="center"/>
              <w:ind w:left="70"/>
              <w:spacing w:after="0"/>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58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9"/>
              </w:rPr>
              <w:t>(in thousands)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w w:val="98"/>
              </w:rPr>
              <w:t>(unaudited)</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9"/>
        </w:trPr>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8"/>
                <w:szCs w:val="18"/>
                <w:color w:val="auto"/>
              </w:rPr>
              <w:t>For the twenty-six weeks</w:t>
            </w:r>
          </w:p>
        </w:tc>
      </w:tr>
      <w:tr>
        <w:trPr>
          <w:trHeight w:val="215"/>
        </w:trPr>
        <w:tc>
          <w:tcPr>
            <w:tcW w:w="1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gridSpan w:val="6"/>
          </w:tcPr>
          <w:p>
            <w:pPr>
              <w:jc w:val="right"/>
              <w:ind w:right="2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100"/>
              <w:spacing w:after="0"/>
              <w:rPr>
                <w:sz w:val="20"/>
                <w:szCs w:val="20"/>
                <w:color w:val="auto"/>
              </w:rPr>
            </w:pPr>
            <w:r>
              <w:rPr>
                <w:rFonts w:ascii="Arial" w:cs="Arial" w:eastAsia="Arial" w:hAnsi="Arial"/>
                <w:sz w:val="18"/>
                <w:szCs w:val="18"/>
                <w:color w:val="auto"/>
              </w:rPr>
              <w:t>ended</w:t>
            </w:r>
          </w:p>
        </w:tc>
      </w:tr>
      <w:tr>
        <w:trPr>
          <w:trHeight w:val="196"/>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2, 2023</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3, 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2, 2023</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3, 2022</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175,262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179,420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347,467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379,475</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105,514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210,006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221,466</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137,461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158,009</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29,101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59,118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70,611</w:t>
            </w: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12,835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16,357</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7,323</w:t>
            </w:r>
          </w:p>
        </w:tc>
        <w:tc>
          <w:tcPr>
            <w:tcW w:w="100" w:type="dxa"/>
            <w:vAlign w:val="bottom"/>
          </w:tcPr>
          <w:p>
            <w:pPr>
              <w:spacing w:after="0"/>
              <w:rPr>
                <w:sz w:val="17"/>
                <w:szCs w:val="17"/>
                <w:color w:val="auto"/>
              </w:rPr>
            </w:pPr>
          </w:p>
        </w:tc>
      </w:tr>
      <w:tr>
        <w:trPr>
          <w:trHeight w:val="202"/>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expense</w:t>
            </w:r>
          </w:p>
        </w:tc>
        <w:tc>
          <w:tcPr>
            <w:tcW w:w="1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r>
      <w:tr>
        <w:trPr>
          <w:trHeight w:val="196"/>
        </w:trPr>
        <w:tc>
          <w:tcPr>
            <w:tcW w:w="47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w:t>
            </w:r>
          </w:p>
        </w:tc>
        <w:tc>
          <w:tcPr>
            <w:tcW w:w="1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39,794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50,143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81,533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96,819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29,954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25,145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55,928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61,190</w:t>
            </w: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(23,168)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(20,941)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(1,853)</w:t>
            </w:r>
          </w:p>
        </w:tc>
      </w:tr>
      <w:tr>
        <w:trPr>
          <w:trHeight w:val="203"/>
        </w:trPr>
        <w:tc>
          <w:tcPr>
            <w:tcW w:w="47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9,899</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8,961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28,197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Total non-operating expense (income)</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12,877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(18,441)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33,038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(6,442)</w:t>
            </w: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17,077</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22,890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67,632</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4,098</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5,664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10,211</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12,979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57,421</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6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 comprehensive income</w:t>
            </w:r>
          </w:p>
        </w:tc>
        <w:tc>
          <w:tcPr>
            <w:tcW w:w="158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13,251</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41,064</w:t>
            </w: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17,299</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58,163</w:t>
            </w:r>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2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117,221,419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116,931,623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w w:val="97"/>
              </w:rPr>
              <w:t>117,187,287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116,398,177</w:t>
            </w: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2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117,868,922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117,114,553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117,556,657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117,343,975</w:t>
            </w: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Basic net income per share</w:t>
            </w:r>
          </w:p>
        </w:tc>
        <w:tc>
          <w:tcPr>
            <w:tcW w:w="15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1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w:t>
            </w:r>
          </w:p>
        </w:tc>
        <w:tc>
          <w:tcPr>
            <w:tcW w:w="15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140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9"/>
              </w:rPr>
              <w:t>HOLLEY INC.</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Pr>
          <w:p>
            <w:pPr>
              <w:spacing w:after="0"/>
              <w:rPr>
                <w:sz w:val="18"/>
                <w:szCs w:val="18"/>
                <w:color w:val="auto"/>
              </w:rPr>
            </w:pPr>
          </w:p>
        </w:tc>
        <w:tc>
          <w:tcPr>
            <w:tcW w:w="8540" w:type="dxa"/>
            <w:vAlign w:val="bottom"/>
            <w:gridSpan w:val="16"/>
          </w:tcPr>
          <w:p>
            <w:pPr>
              <w:jc w:val="center"/>
              <w:ind w:right="8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00" w:type="dxa"/>
            <w:vAlign w:val="bottom"/>
            <w:gridSpan w:val="8"/>
          </w:tcPr>
          <w:p>
            <w:pPr>
              <w:jc w:val="center"/>
              <w:ind w:left="790"/>
              <w:spacing w:after="0" w:line="202" w:lineRule="exact"/>
              <w:rPr>
                <w:sz w:val="20"/>
                <w:szCs w:val="20"/>
                <w:color w:val="auto"/>
              </w:rPr>
            </w:pPr>
            <w:r>
              <w:rPr>
                <w:rFonts w:ascii="Arial" w:cs="Arial" w:eastAsia="Arial" w:hAnsi="Arial"/>
                <w:sz w:val="18"/>
                <w:szCs w:val="18"/>
                <w:color w:val="auto"/>
              </w:rPr>
              <w:t>(in thousands, except share data)</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80"/>
              <w:spacing w:after="0" w:line="183" w:lineRule="exact"/>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5"/>
                <w:szCs w:val="15"/>
                <w:color w:val="auto"/>
              </w:rPr>
            </w:pPr>
          </w:p>
        </w:tc>
        <w:tc>
          <w:tcPr>
            <w:tcW w:w="1300" w:type="dxa"/>
            <w:vAlign w:val="bottom"/>
            <w:gridSpan w:val="2"/>
          </w:tcPr>
          <w:p>
            <w:pPr>
              <w:jc w:val="center"/>
              <w:ind w:right="240"/>
              <w:spacing w:after="0" w:line="183"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line="183" w:lineRule="exact"/>
              <w:rPr>
                <w:sz w:val="20"/>
                <w:szCs w:val="20"/>
                <w:color w:val="auto"/>
              </w:rPr>
            </w:pPr>
            <w:r>
              <w:rPr>
                <w:rFonts w:ascii="Arial" w:cs="Arial" w:eastAsia="Arial" w:hAnsi="Arial"/>
                <w:sz w:val="18"/>
                <w:szCs w:val="18"/>
                <w:color w:val="auto"/>
                <w:w w:val="98"/>
              </w:rPr>
              <w:t>Earnings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Paid-In</w:t>
            </w:r>
          </w:p>
        </w:tc>
        <w:tc>
          <w:tcPr>
            <w:tcW w:w="1400" w:type="dxa"/>
            <w:vAlign w:val="bottom"/>
            <w:gridSpan w:val="3"/>
          </w:tcPr>
          <w:p>
            <w:pPr>
              <w:spacing w:after="0" w:line="202" w:lineRule="exact"/>
              <w:rPr>
                <w:sz w:val="20"/>
                <w:szCs w:val="20"/>
                <w:color w:val="auto"/>
              </w:rPr>
            </w:pPr>
            <w:r>
              <w:rPr>
                <w:rFonts w:ascii="Arial" w:cs="Arial" w:eastAsia="Arial" w:hAnsi="Arial"/>
                <w:sz w:val="18"/>
                <w:szCs w:val="18"/>
                <w:color w:val="auto"/>
              </w:rPr>
              <w:t>Comprehensive</w:t>
            </w:r>
          </w:p>
        </w:tc>
        <w:tc>
          <w:tcPr>
            <w:tcW w:w="80" w:type="dxa"/>
            <w:vAlign w:val="bottom"/>
          </w:tcPr>
          <w:p>
            <w:pPr>
              <w:spacing w:after="0"/>
              <w:rPr>
                <w:sz w:val="17"/>
                <w:szCs w:val="17"/>
                <w:color w:val="auto"/>
              </w:rPr>
            </w:pPr>
          </w:p>
        </w:tc>
        <w:tc>
          <w:tcPr>
            <w:tcW w:w="12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Gain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Deficit)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3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115,805,639</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329,705</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16,858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Issuance of vested Earn-out Shares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at April 3, 2022</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116,899,389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347,556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(8,116)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339,437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Warrants exercised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33,333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July 3, 2022</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116,932,722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351,422</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32,447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384,367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2022</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117,147,997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368,122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(944)</w:t>
            </w: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48,800</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415,990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0"/>
        </w:trPr>
        <w:tc>
          <w:tcPr>
            <w:tcW w:w="31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Tax withholding related to vesting of</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0"/>
        </w:trPr>
        <w:tc>
          <w:tcPr>
            <w:tcW w:w="318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Issuance of shares for restricted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24,219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units</w:t>
            </w: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April 2, 2023</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117,172,216</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368,482</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12,979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Tax withholding related to vesting of</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0"/>
        </w:trPr>
        <w:tc>
          <w:tcPr>
            <w:tcW w:w="318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Issuance of shares for restricted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77,638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units</w:t>
            </w: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July 2, 2023</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117,249,854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370,249</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66,026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435,416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2"/>
        </w:trPr>
        <w:tc>
          <w:tcPr>
            <w:tcW w:w="1400" w:type="dxa"/>
            <w:vAlign w:val="bottom"/>
            <w:tcBorders>
              <w:top w:val="single" w:sz="8" w:color="0000EE"/>
            </w:tcBorders>
          </w:tcPr>
          <w:p>
            <w:pPr>
              <w:spacing w:after="0"/>
              <w:rPr>
                <w:sz w:val="24"/>
                <w:szCs w:val="24"/>
                <w:color w:val="auto"/>
              </w:rPr>
            </w:pPr>
          </w:p>
        </w:tc>
        <w:tc>
          <w:tcPr>
            <w:tcW w:w="608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HOLLEY INC.</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1400" w:type="dxa"/>
            <w:vAlign w:val="bottom"/>
          </w:tcPr>
          <w:p>
            <w:pPr>
              <w:spacing w:after="0"/>
              <w:rPr>
                <w:sz w:val="18"/>
                <w:szCs w:val="18"/>
                <w:color w:val="auto"/>
              </w:rPr>
            </w:pPr>
          </w:p>
        </w:tc>
        <w:tc>
          <w:tcPr>
            <w:tcW w:w="818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400" w:type="dxa"/>
            <w:vAlign w:val="bottom"/>
          </w:tcPr>
          <w:p>
            <w:pPr>
              <w:spacing w:after="0"/>
              <w:rPr>
                <w:sz w:val="17"/>
                <w:szCs w:val="17"/>
                <w:color w:val="auto"/>
              </w:rPr>
            </w:pPr>
          </w:p>
        </w:tc>
        <w:tc>
          <w:tcPr>
            <w:tcW w:w="6080" w:type="dxa"/>
            <w:vAlign w:val="bottom"/>
          </w:tcPr>
          <w:p>
            <w:pPr>
              <w:jc w:val="center"/>
              <w:ind w:left="2290"/>
              <w:spacing w:after="0" w:line="202" w:lineRule="exact"/>
              <w:rPr>
                <w:sz w:val="20"/>
                <w:szCs w:val="20"/>
                <w:color w:val="auto"/>
              </w:rPr>
            </w:pPr>
            <w:r>
              <w:rPr>
                <w:rFonts w:ascii="Arial" w:cs="Arial" w:eastAsia="Arial" w:hAnsi="Arial"/>
                <w:sz w:val="18"/>
                <w:szCs w:val="18"/>
                <w:color w:val="auto"/>
                <w:w w:val="99"/>
              </w:rPr>
              <w:t>(in thousands)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400" w:type="dxa"/>
            <w:vAlign w:val="bottom"/>
          </w:tcPr>
          <w:p>
            <w:pPr>
              <w:spacing w:after="0"/>
              <w:rPr>
                <w:sz w:val="19"/>
                <w:szCs w:val="19"/>
                <w:color w:val="auto"/>
              </w:rPr>
            </w:pPr>
          </w:p>
        </w:tc>
        <w:tc>
          <w:tcPr>
            <w:tcW w:w="6080" w:type="dxa"/>
            <w:vAlign w:val="bottom"/>
          </w:tcPr>
          <w:p>
            <w:pPr>
              <w:jc w:val="center"/>
              <w:ind w:left="2270"/>
              <w:spacing w:after="0"/>
              <w:rPr>
                <w:sz w:val="20"/>
                <w:szCs w:val="20"/>
                <w:color w:val="auto"/>
              </w:rPr>
            </w:pPr>
            <w:r>
              <w:rPr>
                <w:rFonts w:ascii="Arial" w:cs="Arial" w:eastAsia="Arial" w:hAnsi="Arial"/>
                <w:sz w:val="18"/>
                <w:szCs w:val="18"/>
                <w:color w:val="auto"/>
              </w:rPr>
              <w:t>(unaudited)</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14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6"/>
          </w:tcPr>
          <w:p>
            <w:pPr>
              <w:jc w:val="right"/>
              <w:ind w:right="42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140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380"/>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July 3, 2022</w:t>
            </w:r>
          </w:p>
        </w:tc>
        <w:tc>
          <w:tcPr>
            <w:tcW w:w="100" w:type="dxa"/>
            <w:vAlign w:val="bottom"/>
          </w:tcPr>
          <w:p>
            <w:pPr>
              <w:spacing w:after="0"/>
              <w:rPr>
                <w:sz w:val="17"/>
                <w:szCs w:val="17"/>
                <w:color w:val="auto"/>
              </w:rPr>
            </w:pPr>
          </w:p>
        </w:tc>
      </w:tr>
      <w:tr>
        <w:trPr>
          <w:trHeight w:val="196"/>
        </w:trPr>
        <w:tc>
          <w:tcPr>
            <w:tcW w:w="7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17,226</w:t>
            </w:r>
          </w:p>
        </w:tc>
        <w:tc>
          <w:tcPr>
            <w:tcW w:w="140" w:type="dxa"/>
            <w:vAlign w:val="bottom"/>
          </w:tcPr>
          <w:p>
            <w:pPr>
              <w:spacing w:after="0"/>
              <w:rPr>
                <w:sz w:val="17"/>
                <w:szCs w:val="17"/>
                <w:color w:val="auto"/>
              </w:rPr>
            </w:pPr>
          </w:p>
        </w:tc>
        <w:tc>
          <w:tcPr>
            <w:tcW w:w="2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57,421</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4,953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4,663</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7,323</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Amortization of deferred loan costs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right of use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Gain on termination of leases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(279)</w:t>
            </w: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(20,941)</w:t>
            </w: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(1,853)</w:t>
            </w: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Equity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6,645</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deferred taxes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(10,663)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w:t>
            </w: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Loss on disposal of property, plant and equipment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inventory reserves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(6,343)</w:t>
            </w:r>
          </w:p>
        </w:tc>
      </w:tr>
      <w:tr>
        <w:trPr>
          <w:trHeight w:val="203"/>
        </w:trPr>
        <w:tc>
          <w:tcPr>
            <w:tcW w:w="748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(29,483)</w:t>
            </w:r>
          </w:p>
        </w:tc>
      </w:tr>
      <w:tr>
        <w:trPr>
          <w:trHeight w:val="203"/>
        </w:trPr>
        <w:tc>
          <w:tcPr>
            <w:tcW w:w="74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Prepaids and other current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2,239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3,838</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(5,778)</w:t>
            </w:r>
          </w:p>
        </w:tc>
      </w:tr>
      <w:tr>
        <w:trPr>
          <w:trHeight w:val="203"/>
        </w:trPr>
        <w:tc>
          <w:tcPr>
            <w:tcW w:w="74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interest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Accrued and other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(643)</w:t>
            </w:r>
          </w:p>
        </w:tc>
      </w:tr>
      <w:tr>
        <w:trPr>
          <w:trHeight w:val="196"/>
        </w:trPr>
        <w:tc>
          <w:tcPr>
            <w:tcW w:w="74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34,383</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20,831</w:t>
            </w:r>
          </w:p>
        </w:tc>
        <w:tc>
          <w:tcPr>
            <w:tcW w:w="100" w:type="dxa"/>
            <w:vAlign w:val="bottom"/>
            <w:tcBorders>
              <w:top w:val="single" w:sz="8" w:color="CCEEFF"/>
            </w:tcBorders>
          </w:tcPr>
          <w:p>
            <w:pPr>
              <w:spacing w:after="0"/>
              <w:rPr>
                <w:sz w:val="17"/>
                <w:szCs w:val="17"/>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(9,609)</w:t>
            </w:r>
          </w:p>
        </w:tc>
      </w:tr>
      <w:tr>
        <w:trPr>
          <w:trHeight w:val="203"/>
        </w:trPr>
        <w:tc>
          <w:tcPr>
            <w:tcW w:w="7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paid for acquisitions, net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(14,077)</w:t>
            </w:r>
          </w:p>
        </w:tc>
      </w:tr>
      <w:tr>
        <w:trPr>
          <w:trHeight w:val="196"/>
        </w:trPr>
        <w:tc>
          <w:tcPr>
            <w:tcW w:w="7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(23,442)</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(14,072)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(30,099)</w:t>
            </w:r>
          </w:p>
        </w:tc>
      </w:tr>
      <w:tr>
        <w:trPr>
          <w:trHeight w:val="203"/>
        </w:trPr>
        <w:tc>
          <w:tcPr>
            <w:tcW w:w="7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issuance of common stock in connection with the exercise of Warrants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7"/>
                <w:szCs w:val="17"/>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48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(15,572)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(2,716)</w:t>
            </w:r>
          </w:p>
        </w:tc>
      </w:tr>
      <w:tr>
        <w:trPr>
          <w:trHeight w:val="196"/>
        </w:trPr>
        <w:tc>
          <w:tcPr>
            <w:tcW w:w="74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480" w:type="dxa"/>
            <w:vAlign w:val="bottom"/>
            <w:gridSpan w:val="2"/>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16,590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(5,770)</w:t>
            </w: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spacing w:after="0" w:line="202" w:lineRule="exact"/>
              <w:rPr>
                <w:sz w:val="20"/>
                <w:szCs w:val="20"/>
                <w:color w:val="auto"/>
              </w:rPr>
            </w:pPr>
            <w:r>
              <w:rPr>
                <w:rFonts w:ascii="Arial" w:cs="Arial" w:eastAsia="Arial" w:hAnsi="Arial"/>
                <w:sz w:val="18"/>
                <w:szCs w:val="18"/>
                <w:color w:val="auto"/>
              </w:rPr>
              <w:t>Beginning of period</w:t>
            </w:r>
          </w:p>
        </w:tc>
        <w:tc>
          <w:tcPr>
            <w:tcW w:w="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36,325</w:t>
            </w:r>
          </w:p>
        </w:tc>
        <w:tc>
          <w:tcPr>
            <w:tcW w:w="100" w:type="dxa"/>
            <w:vAlign w:val="bottom"/>
          </w:tcPr>
          <w:p>
            <w:pPr>
              <w:spacing w:after="0"/>
              <w:rPr>
                <w:sz w:val="17"/>
                <w:szCs w:val="17"/>
                <w:color w:val="auto"/>
              </w:rPr>
            </w:pPr>
          </w:p>
        </w:tc>
      </w:tr>
      <w:tr>
        <w:trPr>
          <w:trHeight w:val="236"/>
        </w:trPr>
        <w:tc>
          <w:tcPr>
            <w:tcW w:w="748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End of period</w:t>
            </w: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42,740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30,555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748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29,097</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16,005</w:t>
            </w:r>
          </w:p>
        </w:tc>
        <w:tc>
          <w:tcPr>
            <w:tcW w:w="100" w:type="dxa"/>
            <w:vAlign w:val="bottom"/>
            <w:shd w:val="clear" w:color="auto" w:fill="CCEEFF"/>
          </w:tcPr>
          <w:p>
            <w:pPr>
              <w:spacing w:after="0"/>
              <w:rPr>
                <w:sz w:val="17"/>
                <w:szCs w:val="17"/>
                <w:color w:val="auto"/>
              </w:rPr>
            </w:pPr>
          </w:p>
        </w:tc>
      </w:tr>
      <w:tr>
        <w:trPr>
          <w:trHeight w:val="203"/>
        </w:trPr>
        <w:tc>
          <w:tcPr>
            <w:tcW w:w="7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paid for income taxes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4,276</w:t>
            </w:r>
          </w:p>
        </w:tc>
        <w:tc>
          <w:tcPr>
            <w:tcW w:w="100" w:type="dxa"/>
            <w:vAlign w:val="bottom"/>
          </w:tcPr>
          <w:p>
            <w:pPr>
              <w:spacing w:after="0"/>
              <w:rPr>
                <w:sz w:val="17"/>
                <w:szCs w:val="17"/>
                <w:color w:val="auto"/>
              </w:rPr>
            </w:pPr>
          </w:p>
        </w:tc>
      </w:tr>
      <w:tr>
        <w:trPr>
          <w:trHeight w:val="203"/>
        </w:trPr>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Vested Earn-out Shares issued to Empower Sponsor Holdings LLC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9"/>
                <w:szCs w:val="19"/>
                <w:color w:val="auto"/>
              </w:rPr>
            </w:pPr>
          </w:p>
        </w:tc>
      </w:tr>
    </w:tbl>
    <w:p>
      <w:pPr>
        <w:spacing w:after="0" w:line="153"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208"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(the “Company” or “Holley”), conducts operations through its wholly owned subsidiaries. These operating subsidiaries are comprised of Holley Performance Products Inc. (“Holley Performance”), Hot Rod Brands, Inc. (“Hot Rod Brands”), Simpson Safety Solutions, Inc., B&amp;M Racing and Performance Products, Inc., and Speedshop.com, Inc.</w:t>
      </w:r>
    </w:p>
    <w:p>
      <w:pPr>
        <w:spacing w:after="0" w:line="174"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The Business Combination was accounted for as a reverse recapitalization in which Holley Intermediate was deemed the accounting acquirer with Holley Inc. as the successor registrant. As such, Empower was treated as the acquired company for financial reporting purposes. On the Closing Date, Empower changed its name to Holley Inc. and its trading symbol on the New York Stock Exchange (the “NYSE”) from “EMPW” to “HLLY.”</w:t>
      </w:r>
    </w:p>
    <w:p>
      <w:pPr>
        <w:spacing w:after="0" w:line="177"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6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208"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08"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specifically the conflict in Ukraine. The Company's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Our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0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2022, as filed with the SEC on March 15, 2023,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78"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Company operates on a fiscal year that ends on December 31, 2023 and 2022. The three- and six-month periods ended July 2, 2023 and July 3, 2022 each included 13 weeks and 26 weeks,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08"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following are updates to the significant accounting policies described in our audited consolidated financial statements as of and for the year ended December 31,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Equity-Based Compensation</w:t>
      </w:r>
    </w:p>
    <w:p>
      <w:pPr>
        <w:spacing w:after="0" w:line="20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accounts for equity-based awards granted to employees and nonemployees under the fair value method prescribed by Accounting Standards Codification ("ASC") Subtopic 718-10, Stock Compensation. Equity-based compensation cost is measured based on the estimated grant date fair value of the award and is recognized as expense over the requisite service period (generally the vesting period). The fair value of stock options is estimated using the Black Scholes option-pricing model. Restricted stock units are valued at the stock price on the grant date. The fair value of profit interest units ("PIUs") granted by Holley Parent Holdings, LLC (the "Holley Stockholder") is estimated based on the Company’s estimated equity value for each unit class at the time of granting using the Black-Scholes option-pricing model, discounted to reflect market considerations for illiquidity.</w:t>
      </w:r>
    </w:p>
    <w:p>
      <w:pPr>
        <w:spacing w:after="0" w:line="177"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Performance share units that vest based on the achievement of company-designated performance targets are valued at the stock price on the grant date. Compensation expense in respect of such performance share units is recognized each period based on the expected level of achievement and, to the extent that the expected levels of achievement change, compensation cost is adjusted in the period of change with the remaining unrecognized cost recognized over the remaining requisite service period. For performance share units that vest based on the achievement of predetermined market conditions, the Company estimates the grant date fair value using a Monte Carlo simulation model. The fair value associated with each tranche of the award is recognized, straight-line, over the associated requisite service period for that tranche, subject to acceleration if the market condition is met prior to the end of the derived service period.</w:t>
      </w:r>
    </w:p>
    <w:p>
      <w:pPr>
        <w:spacing w:after="0" w:line="18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Unless the awards contain a market condition, previously recognized expense related to forfeited awards is reversed in the period in which the forfeiture occurs. For awards containing a market condition, previously recognized stock-based compensation expense is not reversed when the awards are forfeited as long as the service is provided for the duration of the required service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20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Derivative liabilities are classified on the balance sheet as current or non-current based on whether or not net cash settlement or conversion of the instrument could be required within 12 months of the balance sheet date.</w:t>
      </w:r>
    </w:p>
    <w:p>
      <w:pPr>
        <w:spacing w:after="0" w:line="18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uses derivative instruments to manage its exposure to changes in interest rates on borrowings under its debt facility. These derivative instruments are primarily valued on the basis of quotes obtained from banks, brokers, and/or dealers. The valuation of the derivative instruments considers future expected interest rates on the notional principal balance remaining, which is comparable to what a prospective acquirer would pay on the measurement date. Valuation pricing models consider inputs such as forward rates, anticipated interest rate volatility relating to the reference rate, as well as time value, counterparty risk and other factors underlying derivative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 xml:space="preserve">In October 2021, the Financial Accounting Standards Board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This ASU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to apply the definition of a performance obligation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 to recognize and measure contract assets and contract liabilities (i.e., deferred revenue) relating to contracts with customers that are acquired in a business combination. Prior to the adoption of ASU 2021-08, an acquirer generally recognized assets acquired, and liabilities assumed in a business combination, including contract assets and contract liabilities arising from revenue contracts with customers, at fair value on the acquisition date. ASU No. 2021-08 results in the acquirer recording acquired contract assets and liabilities on the same basis that would have been recorded by the acquiree before the acquisition under ASC Topic 606. The Company adopted ASU 2021-08 on January 1, 2023. Adoption of ASU 2021-08 did not impact the Company's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8"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In 2022, the Company completed three acquisitions. These acquisitions are expected to enhance the Company's portfolio of products and services in the automotive aftermarket and automotive safety solutions market.</w:t>
      </w:r>
    </w:p>
    <w:p>
      <w:pPr>
        <w:spacing w:after="0" w:line="159"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Goodwill generated by the acquisitions is primarily attributable to the strong market position of the entities acquired.</w:t>
      </w:r>
    </w:p>
    <w:p>
      <w:pPr>
        <w:spacing w:after="0" w:line="175"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75"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In 2022, the Company acquired substantially all the assets of John's Ind., Inc. ("John's"), Southern Kentucky Classics ("SKC"), and Vesta Motorsports USA, Inc., doing business as RaceQuip ("RaceQuip"). These acquisitions were immaterial business combinations. Cash paid for the three acquisitions, net of cash acquired, was $14,863, and was funded with borrowings from the Company's credit facility and cash on hand. The acquisitions resulted in both amortizable and nonamortizable intangibles and goodwill totaling $10,553. The goodwill and intangibles generated as a result of these acquisitions are deductible for income tax purposes. The final allocation of the purchase price allocation to specific assets acquired and liabilities assumed was adjusted to reflect the final fair value estimate of acquired assets and liabilities, as noted below.</w:t>
      </w:r>
    </w:p>
    <w:p>
      <w:pPr>
        <w:spacing w:after="0" w:line="177"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Measurement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Period</w:t>
            </w:r>
          </w:p>
        </w:tc>
        <w:tc>
          <w:tcPr>
            <w:tcW w:w="16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(as initially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rPr>
              <w:t>reported)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Adjustments</w:t>
            </w: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(as adjusted)</w:t>
            </w:r>
          </w:p>
        </w:tc>
      </w:tr>
      <w:tr>
        <w:trPr>
          <w:trHeight w:val="196"/>
        </w:trPr>
        <w:tc>
          <w:tcPr>
            <w:tcW w:w="56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3,627</w:t>
            </w:r>
          </w:p>
        </w:tc>
      </w:tr>
      <w:tr>
        <w:trPr>
          <w:trHeight w:val="203"/>
        </w:trPr>
        <w:tc>
          <w:tcPr>
            <w:tcW w:w="56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(1,108)</w:t>
            </w:r>
          </w:p>
        </w:tc>
        <w:tc>
          <w:tcPr>
            <w:tcW w:w="16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6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1,512</w:t>
            </w:r>
          </w:p>
        </w:tc>
      </w:tr>
      <w:tr>
        <w:trPr>
          <w:trHeight w:val="203"/>
        </w:trPr>
        <w:tc>
          <w:tcPr>
            <w:tcW w:w="56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7,352</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(133)</w:t>
            </w:r>
          </w:p>
        </w:tc>
        <w:tc>
          <w:tcPr>
            <w:tcW w:w="1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56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w:t>
            </w: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14,863</w:t>
            </w:r>
          </w:p>
        </w:tc>
        <w:tc>
          <w:tcPr>
            <w:tcW w:w="14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14,863</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0"/>
              <w:spacing w:after="0" w:line="183"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5"/>
                <w:szCs w:val="15"/>
                <w:color w:val="auto"/>
              </w:rPr>
            </w:pPr>
          </w:p>
        </w:tc>
      </w:tr>
      <w:tr>
        <w:trPr>
          <w:trHeight w:val="215"/>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July 2,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71,392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78,586</w:t>
            </w:r>
          </w:p>
        </w:tc>
        <w:tc>
          <w:tcPr>
            <w:tcW w:w="12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24,915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23,906</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131,081</w:t>
            </w:r>
          </w:p>
        </w:tc>
      </w:tr>
      <w:tr>
        <w:trPr>
          <w:trHeight w:val="20"/>
        </w:trPr>
        <w:tc>
          <w:tcPr>
            <w:tcW w:w="7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734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217,504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233,573</w:t>
            </w:r>
          </w:p>
        </w:tc>
      </w:tr>
      <w:tr>
        <w:trPr>
          <w:trHeight w:val="20"/>
        </w:trPr>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83"/>
        </w:trPr>
        <w:tc>
          <w:tcPr>
            <w:tcW w:w="3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0"/>
              <w:spacing w:after="0" w:line="183" w:lineRule="exact"/>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July 2, 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11,669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70,947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66,140</w:t>
            </w: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5,939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91,981</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42,290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7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49,691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52,181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3"/>
        </w:trPr>
        <w:tc>
          <w:tcPr>
            <w:tcW w:w="3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140"/>
              <w:spacing w:after="0" w:line="183"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5"/>
        </w:trPr>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July 2, 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47,856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50,434</w:t>
            </w: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1,835</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7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49,691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52,181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7340" w:type="dxa"/>
            <w:vAlign w:val="bottom"/>
          </w:tcPr>
          <w:p>
            <w:pPr>
              <w:ind w:left="51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changes to goodwill for the period indicated:</w:t>
      </w:r>
    </w:p>
    <w:p>
      <w:pPr>
        <w:spacing w:after="0" w:line="198" w:lineRule="exact"/>
        <w:rPr>
          <w:sz w:val="20"/>
          <w:szCs w:val="20"/>
          <w:color w:val="auto"/>
        </w:rPr>
      </w:pPr>
    </w:p>
    <w:p>
      <w:pPr>
        <w:jc w:val="center"/>
        <w:ind w:left="9040"/>
        <w:spacing w:after="0"/>
        <w:rPr>
          <w:sz w:val="20"/>
          <w:szCs w:val="20"/>
          <w:color w:val="auto"/>
        </w:rPr>
      </w:pPr>
      <w:r>
        <w:rPr>
          <w:rFonts w:ascii="Arial" w:cs="Arial" w:eastAsia="Arial" w:hAnsi="Arial"/>
          <w:sz w:val="18"/>
          <w:szCs w:val="18"/>
          <w:color w:val="auto"/>
        </w:rPr>
        <w:t>For the twenty-six</w:t>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weeks ended</w:t>
      </w:r>
    </w:p>
    <w:p>
      <w:pPr>
        <w:ind w:left="9660"/>
        <w:spacing w:after="0" w:line="235" w:lineRule="auto"/>
        <w:rPr>
          <w:sz w:val="20"/>
          <w:szCs w:val="20"/>
          <w:color w:val="auto"/>
        </w:rPr>
      </w:pPr>
      <w:r>
        <w:rPr>
          <w:rFonts w:ascii="Arial" w:cs="Arial" w:eastAsia="Arial" w:hAnsi="Arial"/>
          <w:sz w:val="18"/>
          <w:szCs w:val="18"/>
          <w:color w:val="auto"/>
        </w:rPr>
        <w:t>July 2, 2023</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2022</w:t>
            </w:r>
          </w:p>
        </w:tc>
        <w:tc>
          <w:tcPr>
            <w:tcW w:w="4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418,121</w:t>
            </w:r>
          </w:p>
        </w:tc>
        <w:tc>
          <w:tcPr>
            <w:tcW w:w="100" w:type="dxa"/>
            <w:vAlign w:val="bottom"/>
            <w:shd w:val="clear" w:color="auto" w:fill="CCEEFF"/>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935</w:t>
            </w:r>
          </w:p>
        </w:tc>
        <w:tc>
          <w:tcPr>
            <w:tcW w:w="100" w:type="dxa"/>
            <w:vAlign w:val="bottom"/>
          </w:tcPr>
          <w:p>
            <w:pPr>
              <w:spacing w:after="0"/>
              <w:rPr>
                <w:sz w:val="17"/>
                <w:szCs w:val="17"/>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on July 2, 2023</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419,056</w:t>
            </w:r>
          </w:p>
        </w:tc>
        <w:tc>
          <w:tcPr>
            <w:tcW w:w="100" w:type="dxa"/>
            <w:vAlign w:val="bottom"/>
            <w:shd w:val="clear" w:color="auto" w:fill="CCEEFF"/>
          </w:tcPr>
          <w:p>
            <w:pPr>
              <w:spacing w:after="0"/>
              <w:rPr>
                <w:sz w:val="18"/>
                <w:szCs w:val="18"/>
                <w:color w:val="auto"/>
              </w:rPr>
            </w:pP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No impairment charges were incurred during the 13-week and 26-week periods ended July 2, 2023 and July 3, 2022. Potential changes in our costs and operating structure, the implementation of synergies, and overall performance in the automotive aftermarket industry, could negatively impact our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91"/>
        </w:trPr>
        <w:tc>
          <w:tcPr>
            <w:tcW w:w="5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8"/>
              </w:rPr>
              <w:t>July 2, 2023</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Gross 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80"/>
              <w:spacing w:after="0" w:line="183" w:lineRule="exact"/>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70"/>
              <w:spacing w:after="0" w:line="183" w:lineRule="exact"/>
              <w:rPr>
                <w:sz w:val="20"/>
                <w:szCs w:val="20"/>
                <w:color w:val="auto"/>
              </w:rPr>
            </w:pPr>
            <w:r>
              <w:rPr>
                <w:rFonts w:ascii="Arial" w:cs="Arial" w:eastAsia="Arial" w:hAnsi="Arial"/>
                <w:sz w:val="18"/>
                <w:szCs w:val="18"/>
                <w:color w:val="auto"/>
              </w:rPr>
              <w:t>Net Carrying</w:t>
            </w:r>
          </w:p>
        </w:tc>
        <w:tc>
          <w:tcPr>
            <w:tcW w:w="120" w:type="dxa"/>
            <w:vAlign w:val="bottom"/>
          </w:tcPr>
          <w:p>
            <w:pPr>
              <w:spacing w:after="0"/>
              <w:rPr>
                <w:sz w:val="15"/>
                <w:szCs w:val="15"/>
                <w:color w:val="auto"/>
              </w:rPr>
            </w:pPr>
          </w:p>
        </w:tc>
      </w:tr>
      <w:tr>
        <w:trPr>
          <w:trHeight w:val="215"/>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Amortization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Value</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269,950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(49,949)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220,001</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8,569</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26,676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13,934</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310,401</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(67,897)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242,504</w:t>
            </w: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564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175,109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175,109</w:t>
            </w:r>
          </w:p>
        </w:tc>
      </w:tr>
      <w:tr>
        <w:trPr>
          <w:trHeight w:val="379"/>
        </w:trPr>
        <w:tc>
          <w:tcPr>
            <w:tcW w:w="5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December 31, 2022</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50"/>
              <w:spacing w:after="0" w:line="183" w:lineRule="exact"/>
              <w:rPr>
                <w:sz w:val="20"/>
                <w:szCs w:val="20"/>
                <w:color w:val="auto"/>
              </w:rPr>
            </w:pPr>
            <w:r>
              <w:rPr>
                <w:rFonts w:ascii="Arial" w:cs="Arial" w:eastAsia="Arial" w:hAnsi="Arial"/>
                <w:sz w:val="18"/>
                <w:szCs w:val="18"/>
                <w:color w:val="auto"/>
                <w:w w:val="99"/>
              </w:rPr>
              <w:t>Gross 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80"/>
              <w:spacing w:after="0" w:line="183" w:lineRule="exact"/>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70"/>
              <w:spacing w:after="0" w:line="183" w:lineRule="exact"/>
              <w:rPr>
                <w:sz w:val="20"/>
                <w:szCs w:val="20"/>
                <w:color w:val="auto"/>
              </w:rPr>
            </w:pPr>
            <w:r>
              <w:rPr>
                <w:rFonts w:ascii="Arial" w:cs="Arial" w:eastAsia="Arial" w:hAnsi="Arial"/>
                <w:sz w:val="18"/>
                <w:szCs w:val="18"/>
                <w:color w:val="auto"/>
              </w:rPr>
              <w:t>Net Carrying</w:t>
            </w:r>
          </w:p>
        </w:tc>
        <w:tc>
          <w:tcPr>
            <w:tcW w:w="120" w:type="dxa"/>
            <w:vAlign w:val="bottom"/>
          </w:tcPr>
          <w:p>
            <w:pPr>
              <w:spacing w:after="0"/>
              <w:rPr>
                <w:sz w:val="15"/>
                <w:szCs w:val="15"/>
                <w:color w:val="auto"/>
              </w:rPr>
            </w:pPr>
          </w:p>
        </w:tc>
      </w:tr>
      <w:tr>
        <w:trPr>
          <w:trHeight w:val="215"/>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Amortization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Value</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269,950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(44,178)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225,772</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8,932</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26,676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15,153</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310,401</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249,857</w:t>
            </w: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564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174,998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174,998</w:t>
            </w: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July 2, 2023:</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2023 (excluding the twenty-six weeks ended July 2, 2023)</w:t>
            </w:r>
          </w:p>
        </w:tc>
        <w:tc>
          <w:tcPr>
            <w:tcW w:w="2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shd w:val="clear" w:color="auto" w:fill="CCEEFF"/>
          </w:tcPr>
          <w:p>
            <w:pPr>
              <w:spacing w:after="0"/>
              <w:rPr>
                <w:sz w:val="18"/>
                <w:szCs w:val="18"/>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13,744</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13,714</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13,493</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180,741</w:t>
            </w:r>
          </w:p>
        </w:tc>
        <w:tc>
          <w:tcPr>
            <w:tcW w:w="10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242,504</w:t>
            </w:r>
          </w:p>
        </w:tc>
        <w:tc>
          <w:tcPr>
            <w:tcW w:w="100" w:type="dxa"/>
            <w:vAlign w:val="bottom"/>
            <w:shd w:val="clear" w:color="auto" w:fill="CCEEFF"/>
          </w:tcPr>
          <w:p>
            <w:pPr>
              <w:spacing w:after="0"/>
              <w:rPr>
                <w:sz w:val="18"/>
                <w:szCs w:val="18"/>
                <w:color w:val="auto"/>
              </w:rPr>
            </w:pPr>
          </w:p>
        </w:tc>
      </w:tr>
      <w:tr>
        <w:trPr>
          <w:trHeight w:val="20"/>
        </w:trPr>
        <w:tc>
          <w:tcPr>
            <w:tcW w:w="68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126" w:right="339" w:bottom="1440" w:gutter="0" w:footer="0" w:header="0"/>
        </w:sect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90"/>
              <w:spacing w:after="0" w:line="183"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15"/>
        </w:trPr>
        <w:tc>
          <w:tcPr>
            <w:tcW w:w="7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July 2, 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5,865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8,682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6,259</w:t>
            </w:r>
          </w:p>
        </w:tc>
        <w:tc>
          <w:tcPr>
            <w:tcW w:w="100" w:type="dxa"/>
            <w:vAlign w:val="bottom"/>
          </w:tcPr>
          <w:p>
            <w:pPr>
              <w:spacing w:after="0"/>
              <w:rPr>
                <w:sz w:val="17"/>
                <w:szCs w:val="17"/>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5,214</w:t>
            </w:r>
          </w:p>
        </w:tc>
        <w:tc>
          <w:tcPr>
            <w:tcW w:w="10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8,793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5,222</w:t>
            </w:r>
          </w:p>
        </w:tc>
        <w:tc>
          <w:tcPr>
            <w:tcW w:w="100" w:type="dxa"/>
            <w:vAlign w:val="bottom"/>
          </w:tcPr>
          <w:p>
            <w:pPr>
              <w:spacing w:after="0"/>
              <w:rPr>
                <w:sz w:val="17"/>
                <w:szCs w:val="17"/>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12,059</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14,649</w:t>
            </w:r>
          </w:p>
        </w:tc>
        <w:tc>
          <w:tcPr>
            <w:tcW w:w="100" w:type="dxa"/>
            <w:vAlign w:val="bottom"/>
          </w:tcPr>
          <w:p>
            <w:pPr>
              <w:spacing w:after="0"/>
              <w:rPr>
                <w:sz w:val="17"/>
                <w:szCs w:val="17"/>
                <w:color w:val="auto"/>
              </w:rPr>
            </w:pPr>
          </w:p>
        </w:tc>
      </w:tr>
      <w:tr>
        <w:trPr>
          <w:trHeight w:val="236"/>
        </w:trPr>
        <w:tc>
          <w:tcPr>
            <w:tcW w:w="7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46,605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43,317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7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70"/>
              <w:spacing w:after="0" w:line="183"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5"/>
                <w:szCs w:val="15"/>
                <w:color w:val="auto"/>
              </w:rPr>
            </w:pPr>
          </w:p>
        </w:tc>
      </w:tr>
      <w:tr>
        <w:trPr>
          <w:trHeight w:val="215"/>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July 2, 2023</w:t>
            </w:r>
          </w:p>
        </w:tc>
        <w:tc>
          <w:tcPr>
            <w:tcW w:w="14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645,636</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649,350</w:t>
            </w:r>
          </w:p>
        </w:tc>
        <w:tc>
          <w:tcPr>
            <w:tcW w:w="12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200" w:type="dxa"/>
            <w:vAlign w:val="bottom"/>
          </w:tcPr>
          <w:p>
            <w:pPr>
              <w:spacing w:after="0"/>
              <w:rPr>
                <w:sz w:val="17"/>
                <w:szCs w:val="17"/>
                <w:color w:val="auto"/>
              </w:rPr>
            </w:pP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2,453</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2,770</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20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(12,083)</w:t>
            </w:r>
          </w:p>
        </w:tc>
        <w:tc>
          <w:tcPr>
            <w:tcW w:w="14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(11,557)</w:t>
            </w:r>
          </w:p>
        </w:tc>
      </w:tr>
      <w:tr>
        <w:trPr>
          <w:trHeight w:val="196"/>
        </w:trPr>
        <w:tc>
          <w:tcPr>
            <w:tcW w:w="7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636,006</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650,563</w:t>
            </w:r>
          </w:p>
        </w:tc>
        <w:tc>
          <w:tcPr>
            <w:tcW w:w="120" w:type="dxa"/>
            <w:vAlign w:val="bottom"/>
            <w:shd w:val="clear" w:color="auto" w:fill="CCEEFF"/>
          </w:tcPr>
          <w:p>
            <w:pPr>
              <w:spacing w:after="0"/>
              <w:rPr>
                <w:sz w:val="17"/>
                <w:szCs w:val="17"/>
                <w:color w:val="auto"/>
              </w:rPr>
            </w:pP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(6,571)</w:t>
            </w:r>
          </w:p>
        </w:tc>
        <w:tc>
          <w:tcPr>
            <w:tcW w:w="14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(7,000)</w:t>
            </w:r>
          </w:p>
        </w:tc>
      </w:tr>
      <w:tr>
        <w:trPr>
          <w:trHeight w:val="236"/>
        </w:trPr>
        <w:tc>
          <w:tcPr>
            <w:tcW w:w="7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629,435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643,563</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0"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w:t>
      </w:r>
    </w:p>
    <w:p>
      <w:pPr>
        <w:spacing w:after="0" w:line="181"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$1,728 in outstanding letters of credit on July 2, 2023.</w:t>
      </w:r>
    </w:p>
    <w:p>
      <w:pPr>
        <w:spacing w:after="0" w:line="171"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Proceeds from the credit facility were used to repay in full the Company’s obligations under its previously existing first lien and second lien notes and to pay $13,413 in deferred financing fees related to the refinancing.</w:t>
      </w:r>
    </w:p>
    <w:p>
      <w:pPr>
        <w:spacing w:after="0" w:line="159"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2022, no excess cash flow payment was required in 2023. Any such payments offset future mandatory quarterly payments.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As of July 2, 2023,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July 2, 2023, the weighted average interest rate on the Company's borrowings under the credit facility was 9.2%.</w:t>
      </w:r>
    </w:p>
    <w:p>
      <w:pPr>
        <w:spacing w:after="0" w:line="176"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 xml:space="preserve">The Company has entered into an interest rate collar in the notional amount of $500,000 to hedge the Company's exposure to fluctuations in interest rates on its variable-rate debt. Refer to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5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1"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consolidated net leverage ratio financial covenant level applicable under the Credit Agreement as of the quarter ending April 2, 2023 through the quarter ending March 31, 2024 (the “Covenant Relief Period”), to initially 7.25:1.00, and provides for modified step-down levels for such covenant thereafter. 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$1,427 of deferred financing fees related to these amendments. On July 2, 2023, the Company was in compliance with all financial covenants.</w:t>
      </w:r>
    </w:p>
    <w:p>
      <w:pPr>
        <w:spacing w:after="0" w:line="182"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July 2, 2023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Debt Issuance</w:t>
            </w:r>
          </w:p>
        </w:tc>
        <w:tc>
          <w:tcPr>
            <w:tcW w:w="24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 (excluding the twenty-six weeks ended July 2, 2023)</w:t>
            </w:r>
          </w:p>
        </w:tc>
        <w:tc>
          <w:tcPr>
            <w:tcW w:w="24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w w:val="93"/>
              </w:rPr>
              <w:t>3,793</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7,447</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7,642</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6,571</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6,571</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ind w:left="520"/>
              <w:spacing w:after="0" w:line="202" w:lineRule="exact"/>
              <w:rPr>
                <w:sz w:val="20"/>
                <w:szCs w:val="20"/>
                <w:color w:val="auto"/>
              </w:rPr>
            </w:pPr>
            <w:r>
              <w:rPr>
                <w:rFonts w:ascii="Arial" w:cs="Arial" w:eastAsia="Arial" w:hAnsi="Arial"/>
                <w:sz w:val="18"/>
                <w:szCs w:val="18"/>
                <w:color w:val="auto"/>
                <w:w w:val="95"/>
              </w:rPr>
              <w:t>616,065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2,423</w:t>
            </w:r>
          </w:p>
        </w:tc>
        <w:tc>
          <w:tcPr>
            <w:tcW w:w="24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color w:val="auto"/>
                <w:w w:val="95"/>
              </w:rPr>
              <w:t>648,089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40" w:type="dxa"/>
            <w:vAlign w:val="bottom"/>
          </w:tcPr>
          <w:p>
            <w:pPr>
              <w:jc w:val="right"/>
              <w:ind w:right="187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208"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Upon the Closing, there were 14,666,644 Warrants, consisting of 9,999,977 public warrants ("Public Warrants") and 4,666,667 private warrants ("Private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1"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83"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7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July 2, 2023 and December 31, 2022, a warrant liability with a fair value of $7,725 and $4,272, respectively, was reflected as a long-term liability in the condensed consolidated balance sheet. An increase of $2,017 and a decrease of $23,168 in the fair value of the warrant liability was reflected as change in fair value of warrant liability in the condensed consolidated statements of comprehensive income for the 13-week periods ended July 2, 2023 and July 3, 2022, respectively. An increase of $3,452 and a decrease of $20,941 in the fair value of the warrant liability was reflected as change in fair value of warrant liability in the condensed consolidated statements of comprehensive income for the 26 -week periods ended July 2, 2023 and July 3, 2022, respectively. In April 2022, the Company issued 33,333 shares of Common Stock in connection with the exercise of Public Warrants assumed in the Business Combination.</w:t>
      </w:r>
    </w:p>
    <w:p>
      <w:pPr>
        <w:spacing w:after="0" w:line="18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July 2, 2023 and December 31, 2022, an earn-out liability with a fair value of $2,565 and $1,176, respectively, was reflected as a long-term liability in the condensed consolidated balance sheet. An increase of $961 and a decrease of $4,234 in the fair value of the earn-out liability was reflected as change in fair value of earn-out liability in the condensed consolidated statements of comprehensive income for the 13-week periods ended July 2, 2023 and July 3, 2022, respectively. An increase of $1,389 and a decrease of $1,853 in the fair value of the earn-out liability was reflected as change in fair value of earn-out liability in the condensed consolidated statements of comprehensive income for the 26-week periods ended July 2, 2023 and July 3, 2022,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08"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(“Collars”),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80"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As of July 2, 2023, the Company recognized a derivative asset of $2,068 for the Collar in other noncurrent assets on the condensed consolidated balance sheet. For the 13-week and 26-week periods ended July 2, 2023, the Company recorded a net change in the fair value of the Collar as a decrease to interest expense of $5,088 and $2,068, respectively. No cash payments were made or received during the 13-week and 26-week periods ended July 2, 2023, as the applicable rate was between the cap and floor rates as of the settlement dates.</w:t>
      </w:r>
    </w:p>
    <w:p>
      <w:pPr>
        <w:spacing w:after="0" w:line="17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10,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322"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8"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8"/>
                <w:szCs w:val="18"/>
                <w:color w:val="auto"/>
                <w:w w:val="99"/>
              </w:rPr>
              <w:t>Fair Value Measured on July 2, 2023</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17"/>
                <w:szCs w:val="17"/>
                <w:color w:val="auto"/>
              </w:rPr>
            </w:pPr>
          </w:p>
        </w:tc>
        <w:tc>
          <w:tcPr>
            <w:tcW w:w="82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Interest rate collar</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2,068</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2,068</w:t>
            </w:r>
          </w:p>
        </w:tc>
      </w:tr>
      <w:tr>
        <w:trPr>
          <w:trHeight w:val="203"/>
        </w:trPr>
        <w:tc>
          <w:tcPr>
            <w:tcW w:w="5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4,994</w:t>
            </w:r>
          </w:p>
        </w:tc>
        <w:tc>
          <w:tcPr>
            <w:tcW w:w="3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4,994</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2,731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2,565</w:t>
            </w:r>
          </w:p>
        </w:tc>
      </w:tr>
      <w:tr>
        <w:trPr>
          <w:trHeight w:val="20"/>
        </w:trPr>
        <w:tc>
          <w:tcPr>
            <w:tcW w:w="5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4,994</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5,296</w:t>
            </w:r>
          </w:p>
        </w:tc>
        <w:tc>
          <w:tcPr>
            <w:tcW w:w="2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10,290</w:t>
            </w: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center"/>
              <w:ind w:left="550"/>
              <w:spacing w:after="0"/>
              <w:rPr>
                <w:sz w:val="20"/>
                <w:szCs w:val="20"/>
                <w:color w:val="auto"/>
              </w:rPr>
            </w:pPr>
            <w:r>
              <w:rPr>
                <w:rFonts w:ascii="Arial" w:cs="Arial" w:eastAsia="Arial" w:hAnsi="Arial"/>
                <w:sz w:val="18"/>
                <w:szCs w:val="18"/>
                <w:color w:val="auto"/>
                <w:w w:val="99"/>
              </w:rPr>
              <w:t>Fair Value Measured on December 31, 2022</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20" w:type="dxa"/>
            <w:vAlign w:val="bottom"/>
          </w:tcPr>
          <w:p>
            <w:pPr>
              <w:spacing w:after="0"/>
              <w:rPr>
                <w:sz w:val="17"/>
                <w:szCs w:val="17"/>
                <w:color w:val="auto"/>
              </w:rPr>
            </w:pPr>
          </w:p>
        </w:tc>
        <w:tc>
          <w:tcPr>
            <w:tcW w:w="82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2,691</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w:t>
            </w:r>
          </w:p>
        </w:tc>
        <w:tc>
          <w:tcPr>
            <w:tcW w:w="2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1,581</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1,176</w:t>
            </w:r>
          </w:p>
        </w:tc>
      </w:tr>
      <w:tr>
        <w:trPr>
          <w:trHeight w:val="236"/>
        </w:trPr>
        <w:tc>
          <w:tcPr>
            <w:tcW w:w="52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2,691</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2,757</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5,448</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As of July 2, 2023, the Company's derivative liabilities for its Private and Public Warrants, earn-out liability, and derivative asset for its Collar are measured at fair value on a recurring basis (see Note 8,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w:t>
      </w:r>
    </w:p>
    <w:p>
      <w:pPr>
        <w:sectPr>
          <w:pgSz w:w="11900" w:h="16838" w:orient="portrait"/>
          <w:cols w:equalWidth="0" w:num="1">
            <w:col w:w="11240"/>
          </w:cols>
          <w:pgMar w:left="320" w:top="126"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15"/>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July 2, 2023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22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Price threshold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r>
    </w:tbl>
    <w:p>
      <w:pPr>
        <w:spacing w:after="0" w:line="163"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15"/>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July 2, 2023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160" w:type="dxa"/>
            <w:vAlign w:val="bottom"/>
          </w:tcPr>
          <w:p>
            <w:pPr>
              <w:spacing w:after="0"/>
              <w:rPr>
                <w:sz w:val="17"/>
                <w:szCs w:val="17"/>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61.26%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70.33%</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jc w:val="both"/>
        <w:ind w:left="340"/>
        <w:spacing w:after="0" w:line="243" w:lineRule="auto"/>
        <w:rPr>
          <w:sz w:val="20"/>
          <w:szCs w:val="20"/>
          <w:color w:val="auto"/>
        </w:rPr>
      </w:pPr>
      <w:r>
        <w:rPr>
          <w:rFonts w:ascii="Arial" w:cs="Arial" w:eastAsia="Arial" w:hAnsi="Arial"/>
          <w:sz w:val="18"/>
          <w:szCs w:val="18"/>
          <w:color w:val="auto"/>
        </w:rPr>
        <w:t>As of July 2, 2023 and December 31, 2022,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26-week periods ended July 2, 2023 and July 3, 2022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Private Warrants</w:t>
            </w: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rPr>
              <w:t>Earn-Out Liability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78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21,793</w:t>
            </w:r>
          </w:p>
        </w:tc>
        <w:tc>
          <w:tcPr>
            <w:tcW w:w="2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48,389</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Liabilities reclassed to equity</w:t>
            </w:r>
          </w:p>
        </w:tc>
        <w:tc>
          <w:tcPr>
            <w:tcW w:w="1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(14,689)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(14,689)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Gains included in earnings</w:t>
            </w:r>
          </w:p>
        </w:tc>
        <w:tc>
          <w:tcPr>
            <w:tcW w:w="17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(7,653)</w:t>
            </w: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(9,506)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7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8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July 3, 2022</w:t>
            </w:r>
          </w:p>
        </w:tc>
        <w:tc>
          <w:tcPr>
            <w:tcW w:w="1780" w:type="dxa"/>
            <w:vAlign w:val="bottom"/>
          </w:tcPr>
          <w:p>
            <w:pPr>
              <w:spacing w:after="0"/>
              <w:rPr>
                <w:sz w:val="17"/>
                <w:szCs w:val="17"/>
                <w:color w:val="auto"/>
              </w:rPr>
            </w:pPr>
          </w:p>
        </w:tc>
        <w:tc>
          <w:tcPr>
            <w:tcW w:w="500" w:type="dxa"/>
            <w:vAlign w:val="bottom"/>
          </w:tcPr>
          <w:p>
            <w:pPr>
              <w:jc w:val="right"/>
              <w:ind w:right="341"/>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14,140</w:t>
            </w:r>
          </w:p>
        </w:tc>
        <w:tc>
          <w:tcPr>
            <w:tcW w:w="200" w:type="dxa"/>
            <w:vAlign w:val="bottom"/>
          </w:tcPr>
          <w:p>
            <w:pPr>
              <w:spacing w:after="0"/>
              <w:rPr>
                <w:sz w:val="17"/>
                <w:szCs w:val="17"/>
                <w:color w:val="auto"/>
              </w:rPr>
            </w:pPr>
          </w:p>
        </w:tc>
        <w:tc>
          <w:tcPr>
            <w:tcW w:w="50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10,054</w:t>
            </w:r>
          </w:p>
        </w:tc>
        <w:tc>
          <w:tcPr>
            <w:tcW w:w="42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24,194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420" w:type="dxa"/>
            <w:vAlign w:val="bottom"/>
            <w:gridSpan w:val="2"/>
            <w:shd w:val="clear" w:color="auto" w:fill="CCEEFF"/>
          </w:tcPr>
          <w:p>
            <w:pPr>
              <w:spacing w:after="0"/>
              <w:rPr>
                <w:sz w:val="15"/>
                <w:szCs w:val="15"/>
                <w:color w:val="auto"/>
              </w:rPr>
            </w:pPr>
          </w:p>
        </w:tc>
        <w:tc>
          <w:tcPr>
            <w:tcW w:w="1260" w:type="dxa"/>
            <w:vAlign w:val="bottom"/>
            <w:gridSpan w:val="2"/>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b w:val="1"/>
                <w:bCs w:val="1"/>
                <w:color w:val="auto"/>
              </w:rPr>
              <w:t>Balance at December 31, 2022</w:t>
            </w:r>
          </w:p>
        </w:tc>
        <w:tc>
          <w:tcPr>
            <w:tcW w:w="228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20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1,176</w:t>
            </w:r>
          </w:p>
        </w:tc>
        <w:tc>
          <w:tcPr>
            <w:tcW w:w="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7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7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8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July 2, 2023</w:t>
            </w:r>
          </w:p>
        </w:tc>
        <w:tc>
          <w:tcPr>
            <w:tcW w:w="2280" w:type="dxa"/>
            <w:vAlign w:val="bottom"/>
            <w:gridSpan w:val="2"/>
          </w:tcPr>
          <w:p>
            <w:pPr>
              <w:jc w:val="right"/>
              <w:ind w:right="341"/>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2,731</w:t>
            </w:r>
          </w:p>
        </w:tc>
        <w:tc>
          <w:tcPr>
            <w:tcW w:w="200" w:type="dxa"/>
            <w:vAlign w:val="bottom"/>
          </w:tcPr>
          <w:p>
            <w:pPr>
              <w:spacing w:after="0"/>
              <w:rPr>
                <w:sz w:val="17"/>
                <w:szCs w:val="17"/>
                <w:color w:val="auto"/>
              </w:rPr>
            </w:pPr>
          </w:p>
        </w:tc>
        <w:tc>
          <w:tcPr>
            <w:tcW w:w="50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2,565</w:t>
            </w:r>
          </w:p>
        </w:tc>
        <w:tc>
          <w:tcPr>
            <w:tcW w:w="42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5,296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color w:val="auto"/>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8"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7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84"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75"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revenue by product category.</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74,401</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143,152</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157,206</w:t>
            </w: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40,920</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44,206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84,238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90,048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17,384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37,369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26,382</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28,353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53,847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57,099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33,017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37,753</w:t>
            </w:r>
          </w:p>
        </w:tc>
      </w:tr>
      <w:tr>
        <w:trPr>
          <w:trHeight w:val="20"/>
        </w:trPr>
        <w:tc>
          <w:tcPr>
            <w:tcW w:w="5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175,262</w:t>
            </w:r>
          </w:p>
        </w:tc>
        <w:tc>
          <w:tcPr>
            <w:tcW w:w="20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179,420</w:t>
            </w:r>
          </w:p>
        </w:tc>
        <w:tc>
          <w:tcPr>
            <w:tcW w:w="220" w:type="dxa"/>
            <w:vAlign w:val="bottom"/>
            <w:gridSpan w:val="2"/>
          </w:tcPr>
          <w:p>
            <w:pPr>
              <w:ind w:left="12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347,467</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379,475</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660" w:type="dxa"/>
            <w:vAlign w:val="bottom"/>
            <w:gridSpan w:val="6"/>
          </w:tcPr>
          <w:p>
            <w:pPr>
              <w:jc w:val="right"/>
              <w:ind w:right="120"/>
              <w:spacing w:after="0"/>
              <w:rPr>
                <w:sz w:val="20"/>
                <w:szCs w:val="20"/>
                <w:color w:val="auto"/>
              </w:rPr>
            </w:pPr>
            <w:r>
              <w:rPr>
                <w:rFonts w:ascii="Arial" w:cs="Arial" w:eastAsia="Arial" w:hAnsi="Arial"/>
                <w:sz w:val="18"/>
                <w:szCs w:val="18"/>
                <w:color w:val="auto"/>
                <w:w w:val="99"/>
              </w:rPr>
              <w:t>For the twenty-six weeks ended</w:t>
            </w: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170,817</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337,235</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369,573</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4,445</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10,232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9,902</w:t>
            </w:r>
          </w:p>
        </w:tc>
        <w:tc>
          <w:tcPr>
            <w:tcW w:w="24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31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2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175,262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179,420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347,467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379,475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80" w:type="dxa"/>
            <w:vAlign w:val="bottom"/>
            <w:gridSpan w:val="3"/>
          </w:tcPr>
          <w:p>
            <w:pPr>
              <w:jc w:val="center"/>
              <w:ind w:left="950"/>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right"/>
              <w:ind w:right="380"/>
              <w:spacing w:after="0"/>
              <w:rPr>
                <w:sz w:val="20"/>
                <w:szCs w:val="20"/>
                <w:color w:val="auto"/>
              </w:rPr>
            </w:pPr>
            <w:r>
              <w:rPr>
                <w:rFonts w:ascii="Arial" w:cs="Arial" w:eastAsia="Arial" w:hAnsi="Arial"/>
                <w:sz w:val="18"/>
                <w:szCs w:val="18"/>
                <w:color w:val="auto"/>
                <w:w w:val="99"/>
              </w:rPr>
              <w:t>For the thirteen weeks ended</w:t>
            </w:r>
          </w:p>
        </w:tc>
        <w:tc>
          <w:tcPr>
            <w:tcW w:w="2740" w:type="dxa"/>
            <w:vAlign w:val="bottom"/>
            <w:gridSpan w:val="6"/>
          </w:tcPr>
          <w:p>
            <w:pPr>
              <w:ind w:left="2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080" w:type="dxa"/>
            <w:vAlign w:val="bottom"/>
          </w:tcPr>
          <w:p>
            <w:pPr>
              <w:spacing w:after="0"/>
              <w:rPr>
                <w:sz w:val="17"/>
                <w:szCs w:val="17"/>
                <w:color w:val="auto"/>
              </w:rPr>
            </w:pPr>
          </w:p>
        </w:tc>
        <w:tc>
          <w:tcPr>
            <w:tcW w:w="1420" w:type="dxa"/>
            <w:vAlign w:val="bottom"/>
            <w:tcBorders>
              <w:top w:val="single" w:sz="8" w:color="auto"/>
            </w:tcBorders>
            <w:gridSpan w:val="3"/>
          </w:tcPr>
          <w:p>
            <w:pPr>
              <w:jc w:val="right"/>
              <w:ind w:right="360"/>
              <w:spacing w:after="0" w:line="196" w:lineRule="exact"/>
              <w:rPr>
                <w:sz w:val="20"/>
                <w:szCs w:val="20"/>
                <w:color w:val="auto"/>
              </w:rPr>
            </w:pPr>
            <w:r>
              <w:rPr>
                <w:rFonts w:ascii="Arial" w:cs="Arial" w:eastAsia="Arial" w:hAnsi="Arial"/>
                <w:sz w:val="18"/>
                <w:szCs w:val="18"/>
                <w:color w:val="auto"/>
              </w:rPr>
              <w:t>July 2, 2023</w:t>
            </w:r>
          </w:p>
        </w:tc>
        <w:tc>
          <w:tcPr>
            <w:tcW w:w="116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July 3, 2022</w:t>
            </w:r>
          </w:p>
        </w:tc>
        <w:tc>
          <w:tcPr>
            <w:tcW w:w="260" w:type="dxa"/>
            <w:vAlign w:val="bottom"/>
          </w:tcPr>
          <w:p>
            <w:pPr>
              <w:spacing w:after="0"/>
              <w:rPr>
                <w:sz w:val="17"/>
                <w:szCs w:val="17"/>
                <w:color w:val="auto"/>
              </w:rPr>
            </w:pPr>
          </w:p>
        </w:tc>
        <w:tc>
          <w:tcPr>
            <w:tcW w:w="1420" w:type="dxa"/>
            <w:vAlign w:val="bottom"/>
            <w:tcBorders>
              <w:top w:val="single" w:sz="8" w:color="auto"/>
            </w:tcBorders>
            <w:gridSpan w:val="3"/>
          </w:tcPr>
          <w:p>
            <w:pPr>
              <w:jc w:val="right"/>
              <w:ind w:right="360"/>
              <w:spacing w:after="0" w:line="196" w:lineRule="exact"/>
              <w:rPr>
                <w:sz w:val="20"/>
                <w:szCs w:val="20"/>
                <w:color w:val="auto"/>
              </w:rPr>
            </w:pPr>
            <w:r>
              <w:rPr>
                <w:rFonts w:ascii="Arial" w:cs="Arial" w:eastAsia="Arial" w:hAnsi="Arial"/>
                <w:sz w:val="18"/>
                <w:szCs w:val="18"/>
                <w:color w:val="auto"/>
              </w:rPr>
              <w:t>July 2, 2023</w:t>
            </w:r>
          </w:p>
        </w:tc>
        <w:tc>
          <w:tcPr>
            <w:tcW w:w="116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July 3, 2022</w:t>
            </w:r>
          </w:p>
        </w:tc>
        <w:tc>
          <w:tcPr>
            <w:tcW w:w="160" w:type="dxa"/>
            <w:vAlign w:val="bottom"/>
          </w:tcPr>
          <w:p>
            <w:pPr>
              <w:spacing w:after="0"/>
              <w:rPr>
                <w:sz w:val="17"/>
                <w:szCs w:val="17"/>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4,098</w:t>
            </w:r>
          </w:p>
        </w:tc>
        <w:tc>
          <w:tcPr>
            <w:tcW w:w="2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w:t>
            </w:r>
          </w:p>
        </w:tc>
        <w:tc>
          <w:tcPr>
            <w:tcW w:w="2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5,664</w:t>
            </w:r>
          </w:p>
        </w:tc>
        <w:tc>
          <w:tcPr>
            <w:tcW w:w="2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10,211</w:t>
            </w:r>
          </w:p>
        </w:tc>
        <w:tc>
          <w:tcPr>
            <w:tcW w:w="160" w:type="dxa"/>
            <w:vAlign w:val="bottom"/>
            <w:shd w:val="clear" w:color="auto" w:fill="CCEEFF"/>
          </w:tcPr>
          <w:p>
            <w:pPr>
              <w:spacing w:after="0"/>
              <w:rPr>
                <w:sz w:val="17"/>
                <w:szCs w:val="17"/>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Effective tax rates</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w:t>
            </w:r>
          </w:p>
        </w:tc>
      </w:tr>
    </w:tbl>
    <w:p>
      <w:pPr>
        <w:spacing w:after="0" w:line="163"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For the 13-week period ended July 2, 2023, the Company's effective tax rate of 24.0% differed from the 21% federal statutory rate primarily due to permanent differences related to changes in fair value of the warrant and earn-out liabilities recognized during the period. For the 13-week period ended July 3, 2022, the Company’s effective tax rate of 6.9% differed from the 21% federal statutory rate primarily due to permanent differences related to changes in the fair value of the warrant and earn-out liabilities recognized during the period.</w:t>
      </w:r>
    </w:p>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For the 26-week period ended July 2, 2023, the Company's effective tax rate of 24.7% differed from the 21% federal statutory rate primarily due to permanent differences related to changes in fair value of the warrant and earn-out liabilities recognized during the period. For the 26-week period ended July 3, 2022, the Company’s effective tax rate of 15.1% differed from the 21% federal statutory rate primarily due a permanent difference related to changes in the fair value of the warrant and earn-out liabilities recognized during the period.</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12,979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40,563</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17,226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57,421</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fair value adjustment for Warrants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(20,941)</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Net income (loss) - diluted</w:t>
            </w:r>
          </w:p>
        </w:tc>
        <w:tc>
          <w:tcPr>
            <w:tcW w:w="380" w:type="dxa"/>
            <w:vAlign w:val="bottom"/>
          </w:tcPr>
          <w:p>
            <w:pPr>
              <w:spacing w:after="0"/>
              <w:rPr>
                <w:sz w:val="17"/>
                <w:szCs w:val="17"/>
                <w:color w:val="auto"/>
              </w:rPr>
            </w:pPr>
          </w:p>
        </w:tc>
        <w:tc>
          <w:tcPr>
            <w:tcW w:w="1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12,979</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40,563</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17,226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36,480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117,221,419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116,931,623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117,187,287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116,398,177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647,503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182,930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369,370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177,642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Warrants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768,156</w:t>
            </w: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117,868,922</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117,114,553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117,556,657</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117,343,975</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0.35</w:t>
            </w:r>
          </w:p>
        </w:tc>
        <w:tc>
          <w:tcPr>
            <w:tcW w:w="2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0.49</w:t>
            </w:r>
          </w:p>
        </w:tc>
        <w:tc>
          <w:tcPr>
            <w:tcW w:w="240" w:type="dxa"/>
            <w:vAlign w:val="bottom"/>
          </w:tcPr>
          <w:p>
            <w:pPr>
              <w:spacing w:after="0"/>
              <w:rPr>
                <w:sz w:val="17"/>
                <w:szCs w:val="17"/>
                <w:color w:val="auto"/>
              </w:rPr>
            </w:pPr>
          </w:p>
        </w:tc>
      </w:tr>
      <w:tr>
        <w:trPr>
          <w:trHeight w:val="229"/>
        </w:trPr>
        <w:tc>
          <w:tcPr>
            <w:tcW w:w="340" w:type="dxa"/>
            <w:vAlign w:val="bottom"/>
          </w:tcPr>
          <w:p>
            <w:pPr>
              <w:spacing w:after="0"/>
              <w:rPr>
                <w:sz w:val="19"/>
                <w:szCs w:val="19"/>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9"/>
                <w:szCs w:val="19"/>
                <w:color w:val="auto"/>
              </w:rPr>
            </w:pPr>
          </w:p>
        </w:tc>
      </w:tr>
      <w:tr>
        <w:trPr>
          <w:trHeight w:val="392"/>
        </w:trPr>
        <w:tc>
          <w:tcPr>
            <w:tcW w:w="3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60" w:type="dxa"/>
            <w:vAlign w:val="bottom"/>
            <w:gridSpan w:val="3"/>
          </w:tcPr>
          <w:p>
            <w:pPr>
              <w:jc w:val="center"/>
              <w:ind w:right="590"/>
              <w:spacing w:after="0"/>
              <w:rPr>
                <w:sz w:val="20"/>
                <w:szCs w:val="20"/>
                <w:color w:val="auto"/>
              </w:rPr>
            </w:pPr>
            <w:r>
              <w:rPr>
                <w:rFonts w:ascii="Arial" w:cs="Arial" w:eastAsia="Arial" w:hAnsi="Arial"/>
                <w:sz w:val="18"/>
                <w:szCs w:val="18"/>
                <w:color w:val="auto"/>
                <w:w w:val="99"/>
              </w:rPr>
              <w:t>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4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8"/>
                <w:szCs w:val="18"/>
                <w:color w:val="auto"/>
              </w:rPr>
              <w:t>For the thirteen weeks ended</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For the twenty-six weeks ended</w:t>
            </w:r>
          </w:p>
        </w:tc>
      </w:tr>
      <w:tr>
        <w:trPr>
          <w:trHeight w:val="196"/>
        </w:trPr>
        <w:tc>
          <w:tcPr>
            <w:tcW w:w="5220" w:type="dxa"/>
            <w:vAlign w:val="bottom"/>
          </w:tcPr>
          <w:p>
            <w:pPr>
              <w:spacing w:after="0"/>
              <w:rPr>
                <w:sz w:val="17"/>
                <w:szCs w:val="17"/>
                <w:color w:val="auto"/>
              </w:rPr>
            </w:pPr>
          </w:p>
        </w:tc>
        <w:tc>
          <w:tcPr>
            <w:tcW w:w="1380" w:type="dxa"/>
            <w:vAlign w:val="bottom"/>
            <w:tcBorders>
              <w:top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July 2, 2023</w:t>
            </w:r>
          </w:p>
        </w:tc>
        <w:tc>
          <w:tcPr>
            <w:tcW w:w="11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July 3, 2022</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July 2, 2023</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July 3, 2022</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Warrants</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14,633,311</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14,633,311</w:t>
            </w:r>
          </w:p>
        </w:tc>
        <w:tc>
          <w:tcPr>
            <w:tcW w:w="2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922,228</w:t>
            </w:r>
          </w:p>
        </w:tc>
        <w:tc>
          <w:tcPr>
            <w:tcW w:w="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1,960,708</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922,228</w:t>
            </w:r>
          </w:p>
        </w:tc>
        <w:tc>
          <w:tcPr>
            <w:tcW w:w="14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1,960,708</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 units</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1,224,507</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220,051</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1,224,507</w:t>
            </w:r>
          </w:p>
        </w:tc>
        <w:tc>
          <w:tcPr>
            <w:tcW w:w="14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220,051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stock units</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2,469,412</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2,469,412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Unvested Earn-out Shares</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1,093,750</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14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1,093,750</w:t>
            </w:r>
          </w:p>
        </w:tc>
      </w:tr>
      <w:tr>
        <w:trPr>
          <w:trHeight w:val="236"/>
        </w:trPr>
        <w:tc>
          <w:tcPr>
            <w:tcW w:w="52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20,343,208</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17,907,820</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20,343,208</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3,274,509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8" w:lineRule="exact"/>
        <w:rPr>
          <w:rFonts w:ascii="Arial" w:cs="Arial" w:eastAsia="Arial" w:hAnsi="Arial"/>
          <w:sz w:val="18"/>
          <w:szCs w:val="18"/>
          <w:b w:val="1"/>
          <w:bCs w:val="1"/>
          <w:color w:val="auto"/>
        </w:rPr>
      </w:pPr>
    </w:p>
    <w:p>
      <w:pPr>
        <w:jc w:val="both"/>
        <w:ind w:left="3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On January 28, 2022, the Company approved the termination of its defined benefit pension plan (the "Plan"), effective March 31, 2022. The final distribution of the Plan's assets pursuant to the termination was made in the fourth quarter of 2022 when the plan termination satisfied all regulatory requirements. Plan participants received their accrued benefits from plan assets by electing either lump sum distributions or annuity contracts with a qualifying third-party annuity provider.</w:t>
      </w:r>
    </w:p>
    <w:p>
      <w:pPr>
        <w:spacing w:after="0" w:line="17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for the 13-week and 26-week periods ended July 3, 2022:</w:t>
      </w:r>
    </w:p>
    <w:tbl>
      <w:tblPr>
        <w:tblLayout w:type="fixed"/>
        <w:tblInd w:w="340" w:type="dxa"/>
        <w:tblCellMar>
          <w:top w:w="0" w:type="dxa"/>
          <w:left w:w="0" w:type="dxa"/>
          <w:bottom w:w="0" w:type="dxa"/>
          <w:right w:w="0" w:type="dxa"/>
        </w:tblCellMar>
      </w:tblPr>
      <w:tr>
        <w:trPr>
          <w:trHeight w:val="198"/>
        </w:trPr>
        <w:tc>
          <w:tcPr>
            <w:tcW w:w="49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60"/>
              <w:spacing w:after="0" w:line="198" w:lineRule="exact"/>
              <w:rPr>
                <w:sz w:val="20"/>
                <w:szCs w:val="20"/>
                <w:color w:val="auto"/>
              </w:rPr>
            </w:pPr>
            <w:r>
              <w:rPr>
                <w:rFonts w:ascii="Arial" w:cs="Arial" w:eastAsia="Arial" w:hAnsi="Arial"/>
                <w:sz w:val="18"/>
                <w:szCs w:val="18"/>
                <w:color w:val="auto"/>
                <w:w w:val="99"/>
              </w:rPr>
              <w:t>For the thirteen</w:t>
            </w:r>
          </w:p>
        </w:tc>
        <w:tc>
          <w:tcPr>
            <w:tcW w:w="80" w:type="dxa"/>
            <w:vAlign w:val="bottom"/>
          </w:tcPr>
          <w:p>
            <w:pPr>
              <w:spacing w:after="0"/>
              <w:rPr>
                <w:sz w:val="17"/>
                <w:szCs w:val="17"/>
                <w:color w:val="auto"/>
              </w:rPr>
            </w:pPr>
          </w:p>
        </w:tc>
        <w:tc>
          <w:tcPr>
            <w:tcW w:w="1600" w:type="dxa"/>
            <w:vAlign w:val="bottom"/>
            <w:gridSpan w:val="3"/>
          </w:tcPr>
          <w:p>
            <w:pPr>
              <w:jc w:val="center"/>
              <w:ind w:right="100"/>
              <w:spacing w:after="0" w:line="198" w:lineRule="exact"/>
              <w:rPr>
                <w:sz w:val="20"/>
                <w:szCs w:val="20"/>
                <w:color w:val="auto"/>
              </w:rPr>
            </w:pPr>
            <w:r>
              <w:rPr>
                <w:rFonts w:ascii="Arial" w:cs="Arial" w:eastAsia="Arial" w:hAnsi="Arial"/>
                <w:sz w:val="18"/>
                <w:szCs w:val="18"/>
                <w:color w:val="auto"/>
                <w:w w:val="99"/>
              </w:rPr>
              <w:t>For the twenty-six</w:t>
            </w:r>
          </w:p>
        </w:tc>
      </w:tr>
      <w:tr>
        <w:trPr>
          <w:trHeight w:val="203"/>
        </w:trPr>
        <w:tc>
          <w:tcPr>
            <w:tcW w:w="49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weeks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weeks ended</w:t>
            </w:r>
          </w:p>
        </w:tc>
      </w:tr>
      <w:tr>
        <w:trPr>
          <w:trHeight w:val="215"/>
        </w:trPr>
        <w:tc>
          <w:tcPr>
            <w:tcW w:w="4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July 3, 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rPr>
              <w:t>July 3, 2022</w:t>
            </w: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expense:</w:t>
            </w:r>
          </w:p>
        </w:tc>
        <w:tc>
          <w:tcPr>
            <w:tcW w:w="2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cost</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w:t>
            </w: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 assets</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r>
      <w:tr>
        <w:trPr>
          <w:trHeight w:val="236"/>
        </w:trPr>
        <w:tc>
          <w:tcPr>
            <w:tcW w:w="49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periodic benefit cost</w:t>
            </w:r>
          </w:p>
        </w:tc>
        <w:tc>
          <w:tcPr>
            <w:tcW w:w="2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contributions to the Plan were $150 for the 26-week period ended July 3, 2022.</w:t>
      </w:r>
    </w:p>
    <w:p>
      <w:pPr>
        <w:spacing w:after="0" w:line="198"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made matching contributions totaling $565 and $1,156 to its 401(k) plan during the 13-week periods ended July 2, 2023 and July 3, 2022, respectively. The Company made matching contributions totaling $1,140 and $1,844 to its 401(k) plan during the 26-week periods ended July 2, 2023 and July 3, 2022, respectively.</w:t>
      </w:r>
    </w:p>
    <w:p>
      <w:pPr>
        <w:spacing w:after="0" w:line="32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20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July 2, 2023, 4,422,936 shares of Common Stock remained available for future issuance under the 2021 Plan. On June 6, 2023, the Company granted 1,000,000 RSUs and 1,520,000 PSUs to its new President and Chief Executive Officer. These awards were granted outside of the 2021 Plan as employment inducement awards and did not require shareholder approval under the rules of the New York Stock Exchange or otherwise.</w:t>
      </w:r>
    </w:p>
    <w:p>
      <w:pPr>
        <w:spacing w:after="0" w:line="37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660" w:type="dxa"/>
            <w:vAlign w:val="bottom"/>
            <w:gridSpan w:val="6"/>
          </w:tcPr>
          <w:p>
            <w:pPr>
              <w:jc w:val="right"/>
              <w:ind w:right="120"/>
              <w:spacing w:after="0"/>
              <w:rPr>
                <w:sz w:val="20"/>
                <w:szCs w:val="20"/>
                <w:color w:val="auto"/>
              </w:rPr>
            </w:pPr>
            <w:r>
              <w:rPr>
                <w:rFonts w:ascii="Arial" w:cs="Arial" w:eastAsia="Arial" w:hAnsi="Arial"/>
                <w:sz w:val="18"/>
                <w:szCs w:val="18"/>
                <w:color w:val="auto"/>
                <w:w w:val="99"/>
              </w:rPr>
              <w:t>For the twenty-six weeks ended</w:t>
            </w:r>
          </w:p>
        </w:tc>
      </w:tr>
      <w:tr>
        <w:trPr>
          <w:trHeight w:val="196"/>
        </w:trPr>
        <w:tc>
          <w:tcPr>
            <w:tcW w:w="5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1,815</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2,533</w:t>
            </w: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1,205</w:t>
            </w: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Profit interest units</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r>
    </w:tbl>
    <w:p>
      <w:pPr>
        <w:spacing w:after="0" w:line="163"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Compensation Committee has awarded RSUs to select employees and non-employee directors. The RSUs vest ratably over one to four years of continued employment. The fair value of a RSU at the grant date is equal to the market price of Common Stock on the grant date. Compensation expense for RSUs is recorded based on amortization of the grant date fair market value over the period the restrictions lapse. As of July 2, 2023, there was $8,849 of unrecognized compensation cost related to unvested RSUs that is expected to be recognized over a remaining weighted average period of 2.5 years. The weighted average grant date fair value for RSUs was $2.75 and $ 11.46 for the 26-week periods ended July 2, 2023 and July 3, 2022, respectively. The fair value of RSUs vested and converted to shares of Common Stock was $303 for the 26-week period ended July 2, 2023.</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The following table summarizes RSU activity for the 26-week period ended July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-122555</wp:posOffset>
            </wp:positionV>
            <wp:extent cx="67722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Granted</w:t>
      </w:r>
    </w:p>
    <w:p>
      <w:pPr>
        <w:ind w:left="5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7722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July 2, 2023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Unvested Restricted Stock Units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10"/>
              <w:spacing w:after="0" w:line="183" w:lineRule="exact"/>
              <w:rPr>
                <w:sz w:val="20"/>
                <w:szCs w:val="20"/>
                <w:color w:val="auto"/>
              </w:rPr>
            </w:pPr>
            <w:r>
              <w:rPr>
                <w:rFonts w:ascii="Arial" w:cs="Arial" w:eastAsia="Arial" w:hAnsi="Arial"/>
                <w:sz w:val="18"/>
                <w:szCs w:val="18"/>
                <w:color w:val="auto"/>
                <w:w w:val="99"/>
              </w:rPr>
              <w:t>Weighted</w:t>
            </w:r>
          </w:p>
        </w:tc>
        <w:tc>
          <w:tcPr>
            <w:tcW w:w="20" w:type="dxa"/>
            <w:vAlign w:val="bottom"/>
          </w:tcPr>
          <w:p>
            <w:pPr>
              <w:spacing w:after="0"/>
              <w:rPr>
                <w:sz w:val="15"/>
                <w:szCs w:val="15"/>
                <w:color w:val="auto"/>
              </w:rPr>
            </w:pPr>
          </w:p>
        </w:tc>
      </w:tr>
      <w:tr>
        <w:trPr>
          <w:trHeight w:val="203"/>
        </w:trPr>
        <w:tc>
          <w:tcPr>
            <w:tcW w:w="17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Average Grant</w:t>
            </w:r>
          </w:p>
        </w:tc>
      </w:tr>
      <w:tr>
        <w:trPr>
          <w:trHeight w:val="215"/>
        </w:trPr>
        <w:tc>
          <w:tcPr>
            <w:tcW w:w="1720" w:type="dxa"/>
            <w:vAlign w:val="bottom"/>
            <w:gridSpan w:val="3"/>
          </w:tcPr>
          <w:p>
            <w:pPr>
              <w:jc w:val="right"/>
              <w:ind w:right="74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Date Fair Value</w:t>
            </w:r>
          </w:p>
        </w:tc>
      </w:tr>
      <w:tr>
        <w:trPr>
          <w:trHeight w:val="183"/>
        </w:trPr>
        <w:tc>
          <w:tcPr>
            <w:tcW w:w="1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1,108,330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9.43</w:t>
            </w:r>
          </w:p>
        </w:tc>
        <w:tc>
          <w:tcPr>
            <w:tcW w:w="20" w:type="dxa"/>
            <w:vAlign w:val="bottom"/>
          </w:tcPr>
          <w:p>
            <w:pPr>
              <w:spacing w:after="0"/>
              <w:rPr>
                <w:sz w:val="15"/>
                <w:szCs w:val="15"/>
                <w:color w:val="auto"/>
              </w:rPr>
            </w:pPr>
          </w:p>
        </w:tc>
      </w:tr>
      <w:tr>
        <w:trPr>
          <w:trHeight w:val="203"/>
        </w:trPr>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2,437,743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w:t>
            </w:r>
          </w:p>
        </w:tc>
      </w:tr>
      <w:tr>
        <w:trPr>
          <w:trHeight w:val="203"/>
        </w:trPr>
        <w:tc>
          <w:tcPr>
            <w:tcW w:w="1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(126,197)</w:t>
            </w:r>
          </w:p>
        </w:tc>
        <w:tc>
          <w:tcPr>
            <w:tcW w:w="10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10.56</w:t>
            </w:r>
          </w:p>
        </w:tc>
      </w:tr>
      <w:tr>
        <w:trPr>
          <w:trHeight w:val="215"/>
        </w:trPr>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(189,640)</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12.13</w:t>
            </w:r>
          </w:p>
        </w:tc>
      </w:tr>
      <w:tr>
        <w:trPr>
          <w:trHeight w:val="196"/>
        </w:trPr>
        <w:tc>
          <w:tcPr>
            <w:tcW w:w="1520" w:type="dxa"/>
            <w:vAlign w:val="bottom"/>
            <w:tcBorders>
              <w:top w:val="single" w:sz="8" w:color="auto"/>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3,230,236</w:t>
            </w:r>
          </w:p>
        </w:tc>
        <w:tc>
          <w:tcPr>
            <w:tcW w:w="20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3.42</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6" w:lineRule="exact"/>
        <w:rPr>
          <w:sz w:val="20"/>
          <w:szCs w:val="20"/>
          <w:color w:val="auto"/>
        </w:rPr>
      </w:pPr>
    </w:p>
    <w:p>
      <w:pPr>
        <w:sectPr>
          <w:pgSz w:w="11900" w:h="16838" w:orient="portrait"/>
          <w:cols w:equalWidth="0" w:num="2">
            <w:col w:w="7340" w:space="340"/>
            <w:col w:w="3560"/>
          </w:cols>
          <w:pgMar w:left="320" w:top="125" w:right="339" w:bottom="1440" w:gutter="0" w:footer="0" w:header="0"/>
          <w:type w:val="continuous"/>
        </w:sectPr>
      </w:pPr>
    </w:p>
    <w:p>
      <w:pPr>
        <w:spacing w:after="0" w:line="8"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Compensation Committee has awarded PSUs to select employees. The PSUs represent shares of Common Stock that are potentially issuable in the future based on a combination of performance and service requirements. On March 8, 2023, the Company granted 949,412 PSUs under the 2021 Plan to key employees with a grant date fair value of $1.98.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82"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On June 6, 2023, the Company granted 1,520,000 PSUs to its new President and Chief Executive Officer as an employment inducement award, which are potentially issuable in the future based on a combination of achievement of certain stock price metrics and service requirements through the expiration date of December 31, 2030. The fair value of this award is determined using a Monte Carlo simulation as of the date of the grant and share-based compensation expense will not be adjusted should the target awards vary from actual awards. The Company's estimates of fair value may be impacted by certain variables including, but not limited to, stock price volatility, the risk-free interest rate, expected dividend yields, and the Company's performance.</w:t>
      </w:r>
    </w:p>
    <w:p>
      <w:pPr>
        <w:spacing w:after="0" w:line="181"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As of July 2, 2023, there was $4,397 of unrecognized compensation cost related to unvested PSUs that is expected to be recognized over a remaining weighted average period of 2.35 years.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08"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July 2, 2023, there was $1,611 of unrecognized compensation cost related to unvested stock options that is expected to be recognized over a remaining weighted-average period of 1.3 years.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26-week period ended July 2, 2023:</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Weighted Average</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Weighted</w:t>
            </w:r>
          </w:p>
        </w:tc>
        <w:tc>
          <w:tcPr>
            <w:tcW w:w="16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w:t>
            </w:r>
          </w:p>
        </w:tc>
      </w:tr>
      <w:tr>
        <w:trPr>
          <w:trHeight w:val="203"/>
        </w:trPr>
        <w:tc>
          <w:tcPr>
            <w:tcW w:w="5640" w:type="dxa"/>
            <w:vAlign w:val="bottom"/>
          </w:tcPr>
          <w:p>
            <w:pPr>
              <w:spacing w:after="0"/>
              <w:rPr>
                <w:sz w:val="17"/>
                <w:szCs w:val="17"/>
                <w:color w:val="auto"/>
              </w:rPr>
            </w:pPr>
          </w:p>
        </w:tc>
        <w:tc>
          <w:tcPr>
            <w:tcW w:w="16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rPr>
              <w:t>Average</w:t>
            </w:r>
          </w:p>
        </w:tc>
        <w:tc>
          <w:tcPr>
            <w:tcW w:w="16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Contractual</w:t>
            </w:r>
          </w:p>
        </w:tc>
      </w:tr>
      <w:tr>
        <w:trPr>
          <w:trHeight w:val="215"/>
        </w:trPr>
        <w:tc>
          <w:tcPr>
            <w:tcW w:w="564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Stock Options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rPr>
              <w:t>Exercise Price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Term (years)</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2022</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1,709,690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10.97</w:t>
            </w:r>
          </w:p>
        </w:tc>
        <w:tc>
          <w:tcPr>
            <w:tcW w:w="22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(592,588)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11.11</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(194,874)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10.50</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564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Options outstanding on July 2, 2023</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922,228</w:t>
            </w: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220"/>
              <w:spacing w:after="0" w:line="182" w:lineRule="exact"/>
              <w:rPr>
                <w:sz w:val="20"/>
                <w:szCs w:val="20"/>
                <w:color w:val="auto"/>
              </w:rPr>
            </w:pPr>
            <w:r>
              <w:rPr>
                <w:rFonts w:ascii="Arial" w:cs="Arial" w:eastAsia="Arial" w:hAnsi="Arial"/>
                <w:sz w:val="18"/>
                <w:szCs w:val="18"/>
                <w:color w:val="auto"/>
              </w:rPr>
              <w:t>10.98</w:t>
            </w:r>
          </w:p>
        </w:tc>
        <w:tc>
          <w:tcPr>
            <w:tcW w:w="1600" w:type="dxa"/>
            <w:vAlign w:val="bottom"/>
            <w:tcBorders>
              <w:top w:val="single" w:sz="8" w:color="CCEEFF"/>
            </w:tcBorders>
            <w:gridSpan w:val="2"/>
          </w:tcPr>
          <w:p>
            <w:pPr>
              <w:jc w:val="right"/>
              <w:ind w:right="100"/>
              <w:spacing w:after="0" w:line="182" w:lineRule="exact"/>
              <w:rPr>
                <w:sz w:val="20"/>
                <w:szCs w:val="20"/>
                <w:color w:val="auto"/>
              </w:rPr>
            </w:pPr>
            <w:r>
              <w:rPr>
                <w:rFonts w:ascii="Arial" w:cs="Arial" w:eastAsia="Arial" w:hAnsi="Arial"/>
                <w:sz w:val="18"/>
                <w:szCs w:val="18"/>
                <w:color w:val="auto"/>
              </w:rPr>
              <w:t>8.26</w:t>
            </w:r>
          </w:p>
        </w:tc>
      </w:tr>
      <w:tr>
        <w:trPr>
          <w:trHeight w:val="20"/>
        </w:trPr>
        <w:tc>
          <w:tcPr>
            <w:tcW w:w="5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on, July 2,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307,401</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Profit Interest Units</w:t>
      </w:r>
    </w:p>
    <w:p>
      <w:pPr>
        <w:spacing w:after="0" w:line="208"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The Holley Stockholder authorized an incentive pool of 41,400,000 units of Holley Stockholder that its management had the right to grant to certain employees of the Company. The units, which are designated as Profit Interest Units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w:t>
      </w:r>
    </w:p>
    <w:p>
      <w:pPr>
        <w:spacing w:after="0" w:line="176" w:lineRule="exact"/>
        <w:rPr>
          <w:sz w:val="20"/>
          <w:szCs w:val="20"/>
          <w:color w:val="auto"/>
        </w:rPr>
      </w:pPr>
    </w:p>
    <w:p>
      <w:pPr>
        <w:jc w:val="both"/>
        <w:ind w:left="340"/>
        <w:spacing w:after="0" w:line="241" w:lineRule="auto"/>
        <w:rPr>
          <w:sz w:val="20"/>
          <w:szCs w:val="20"/>
          <w:color w:val="auto"/>
        </w:rPr>
      </w:pPr>
      <w:r>
        <w:rPr>
          <w:rFonts w:ascii="Arial" w:cs="Arial" w:eastAsia="Arial" w:hAnsi="Arial"/>
          <w:sz w:val="18"/>
          <w:szCs w:val="18"/>
          <w:color w:val="auto"/>
        </w:rPr>
        <w:t xml:space="preserve">In the fourth quarter of 2022, the Holley Stockholder amended the vesting criteria to allow for immediate vesting of all outstanding and unvested PIUs. The changes to these awards were deemed to be modification events under ASC Subtopic 718-10,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Accordingly, during the fourth quarter of 2022, the Company recognized catch-up equity-based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incremental fair value resulting from the modification, as applicable to each award grant. At that time all PIUs were fully vested with no remaining unrecognized compensation cost, and there are no remaining PIUs authorized for issuance.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02" w:lineRule="exact"/>
        <w:rPr>
          <w:rFonts w:ascii="Arial" w:cs="Arial" w:eastAsia="Arial" w:hAnsi="Arial"/>
          <w:sz w:val="18"/>
          <w:szCs w:val="18"/>
          <w:b w:val="1"/>
          <w:bCs w:val="1"/>
          <w:color w:val="auto"/>
        </w:rPr>
      </w:pPr>
    </w:p>
    <w:p>
      <w:pPr>
        <w:jc w:val="both"/>
        <w:ind w:left="34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2022,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optional transition method provided by 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 The effect of applying this guidance resulted in an increase in noncurrent assets for right-of-use assets of $33,887 and an increase in liabilities for associated lease obligations of $34,579, most of which were classified as noncurrent. The adoption of the standard did not result in a cumulative-effect adjustment to the opening balance of retained earnings.</w:t>
      </w:r>
    </w:p>
    <w:p>
      <w:pPr>
        <w:spacing w:after="0" w:line="173"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Under the transition option elected by the Company, ASC Topic 842 is applied only to the most current period and reporting for comparative periods presented in the financial statements continues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disclosures. Upon adoption, the Company elected the following practical expedients related to ASC 842:</w:t>
      </w:r>
    </w:p>
    <w:p>
      <w:pPr>
        <w:spacing w:after="0" w:line="170" w:lineRule="exact"/>
        <w:rPr>
          <w:rFonts w:ascii="Arial" w:cs="Arial" w:eastAsia="Arial" w:hAnsi="Arial"/>
          <w:sz w:val="18"/>
          <w:szCs w:val="18"/>
          <w:b w:val="1"/>
          <w:bCs w:val="1"/>
          <w:color w:val="auto"/>
        </w:rPr>
      </w:pPr>
    </w:p>
    <w:p>
      <w:pPr>
        <w:ind w:left="660" w:hanging="328"/>
        <w:spacing w:after="0" w:line="24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account for the lease and non-lease components as a single lease component for all of the Company's leases; and</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apply accounting similar to ASC Topic 840 to leases that meet the definition of short-term leases.</w:t>
      </w:r>
    </w:p>
    <w:p>
      <w:pPr>
        <w:spacing w:after="0" w:line="23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11 years, inclusive of renewal options that the Company is reasonably certain to exercise.</w:t>
      </w:r>
    </w:p>
    <w:p>
      <w:pPr>
        <w:spacing w:after="0" w:line="171"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3"/>
        </w:trPr>
        <w:tc>
          <w:tcPr>
            <w:tcW w:w="5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5"/>
                <w:szCs w:val="15"/>
                <w:color w:val="auto"/>
              </w:rPr>
            </w:pPr>
          </w:p>
        </w:tc>
      </w:tr>
      <w:tr>
        <w:trPr>
          <w:trHeight w:val="215"/>
        </w:trPr>
        <w:tc>
          <w:tcPr>
            <w:tcW w:w="5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July 2, 2023</w:t>
            </w:r>
          </w:p>
        </w:tc>
        <w:tc>
          <w:tcPr>
            <w:tcW w:w="16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28,965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29,522</w:t>
            </w:r>
          </w:p>
        </w:tc>
        <w:tc>
          <w:tcPr>
            <w:tcW w:w="1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5,112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5,112</w:t>
            </w:r>
          </w:p>
        </w:tc>
        <w:tc>
          <w:tcPr>
            <w:tcW w:w="160" w:type="dxa"/>
            <w:vAlign w:val="bottom"/>
          </w:tcPr>
          <w:p>
            <w:pPr>
              <w:spacing w:after="0"/>
              <w:rPr>
                <w:sz w:val="17"/>
                <w:szCs w:val="17"/>
                <w:color w:val="auto"/>
              </w:rPr>
            </w:pPr>
          </w:p>
        </w:tc>
      </w:tr>
      <w:tr>
        <w:trPr>
          <w:trHeight w:val="203"/>
        </w:trPr>
        <w:tc>
          <w:tcPr>
            <w:tcW w:w="5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24,589</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24,992</w:t>
            </w:r>
          </w:p>
        </w:tc>
        <w:tc>
          <w:tcPr>
            <w:tcW w:w="160" w:type="dxa"/>
            <w:vAlign w:val="bottom"/>
            <w:shd w:val="clear" w:color="auto" w:fill="CCEEFF"/>
          </w:tcPr>
          <w:p>
            <w:pPr>
              <w:spacing w:after="0"/>
              <w:rPr>
                <w:sz w:val="17"/>
                <w:szCs w:val="17"/>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6"/>
        </w:trPr>
        <w:tc>
          <w:tcPr>
            <w:tcW w:w="578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48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29,701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30,104</w:t>
            </w:r>
          </w:p>
        </w:tc>
        <w:tc>
          <w:tcPr>
            <w:tcW w:w="16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Lease term and discount rate</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r>
      <w:tr>
        <w:trPr>
          <w:trHeight w:val="203"/>
        </w:trPr>
        <w:tc>
          <w:tcPr>
            <w:tcW w:w="5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discount rate</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r>
    </w:tbl>
    <w:p>
      <w:pPr>
        <w:spacing w:after="0" w:line="190" w:lineRule="exact"/>
        <w:rPr>
          <w:sz w:val="20"/>
          <w:szCs w:val="20"/>
          <w:color w:val="auto"/>
        </w:rPr>
      </w:pPr>
    </w:p>
    <w:p>
      <w:pPr>
        <w:ind w:left="340"/>
        <w:spacing w:after="0" w:line="260"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rPr>
              <w:t>For the twenty-six weeks ended</w:t>
            </w:r>
          </w:p>
        </w:tc>
        <w:tc>
          <w:tcPr>
            <w:tcW w:w="24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2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1,707</w:t>
            </w: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1,482</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3,293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3,901</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414</w:t>
            </w:r>
          </w:p>
        </w:tc>
        <w:tc>
          <w:tcPr>
            <w:tcW w:w="240" w:type="dxa"/>
            <w:vAlign w:val="bottom"/>
          </w:tcPr>
          <w:p>
            <w:pPr>
              <w:spacing w:after="0"/>
              <w:rPr>
                <w:sz w:val="17"/>
                <w:szCs w:val="17"/>
                <w:color w:val="auto"/>
              </w:rPr>
            </w:pPr>
          </w:p>
        </w:tc>
      </w:tr>
      <w:tr>
        <w:trPr>
          <w:trHeight w:val="236"/>
        </w:trPr>
        <w:tc>
          <w:tcPr>
            <w:tcW w:w="34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2,190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4,440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183"/>
        </w:trPr>
        <w:tc>
          <w:tcPr>
            <w:tcW w:w="340" w:type="dxa"/>
            <w:vAlign w:val="bottom"/>
          </w:tcPr>
          <w:p>
            <w:pPr>
              <w:spacing w:after="0"/>
              <w:rPr>
                <w:sz w:val="15"/>
                <w:szCs w:val="15"/>
                <w:color w:val="auto"/>
              </w:rPr>
            </w:pPr>
          </w:p>
        </w:tc>
        <w:tc>
          <w:tcPr>
            <w:tcW w:w="5120" w:type="dxa"/>
            <w:vAlign w:val="bottom"/>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0"/>
        </w:trPr>
        <w:tc>
          <w:tcPr>
            <w:tcW w:w="340" w:type="dxa"/>
            <w:vAlign w:val="bottom"/>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paid for amounts included in measurement of operating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w:t>
            </w:r>
          </w:p>
        </w:tc>
        <w:tc>
          <w:tcPr>
            <w:tcW w:w="24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8"/>
                <w:szCs w:val="18"/>
                <w:color w:val="auto"/>
              </w:rPr>
              <w:t>Right-of-use assets obtained in exchange for new operating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13,769</w:t>
            </w:r>
          </w:p>
        </w:tc>
        <w:tc>
          <w:tcPr>
            <w:tcW w:w="24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Decapitalization of right-of-use assets upon lease termination or</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modification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w:t>
            </w:r>
          </w:p>
        </w:tc>
        <w:tc>
          <w:tcPr>
            <w:tcW w:w="24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80" w:type="dxa"/>
            <w:vAlign w:val="bottom"/>
            <w:gridSpan w:val="3"/>
          </w:tcPr>
          <w:p>
            <w:pPr>
              <w:jc w:val="center"/>
              <w:ind w:right="870"/>
              <w:spacing w:after="0"/>
              <w:rPr>
                <w:sz w:val="20"/>
                <w:szCs w:val="20"/>
                <w:color w:val="auto"/>
              </w:rPr>
            </w:pPr>
            <w:r>
              <w:rPr>
                <w:rFonts w:ascii="Arial" w:cs="Arial" w:eastAsia="Arial" w:hAnsi="Arial"/>
                <w:sz w:val="18"/>
                <w:szCs w:val="18"/>
                <w:color w:val="auto"/>
                <w:w w:val="99"/>
              </w:rPr>
              <w:t>25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July 2, 2023: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8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 (excluding the twenty-six weeks ended July 2, 2023)</w:t>
            </w:r>
          </w:p>
        </w:tc>
        <w:tc>
          <w:tcPr>
            <w:tcW w:w="74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7"/>
                <w:szCs w:val="17"/>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5,964</w:t>
            </w:r>
          </w:p>
        </w:tc>
        <w:tc>
          <w:tcPr>
            <w:tcW w:w="100" w:type="dxa"/>
            <w:vAlign w:val="bottom"/>
          </w:tcPr>
          <w:p>
            <w:pPr>
              <w:spacing w:after="0"/>
              <w:rPr>
                <w:sz w:val="17"/>
                <w:szCs w:val="17"/>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4,433</w:t>
            </w:r>
          </w:p>
        </w:tc>
        <w:tc>
          <w:tcPr>
            <w:tcW w:w="100" w:type="dxa"/>
            <w:vAlign w:val="bottom"/>
            <w:shd w:val="clear" w:color="auto" w:fill="CCEEFF"/>
          </w:tcPr>
          <w:p>
            <w:pPr>
              <w:spacing w:after="0"/>
              <w:rPr>
                <w:sz w:val="17"/>
                <w:szCs w:val="17"/>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4,236</w:t>
            </w:r>
          </w:p>
        </w:tc>
        <w:tc>
          <w:tcPr>
            <w:tcW w:w="100" w:type="dxa"/>
            <w:vAlign w:val="bottom"/>
          </w:tcPr>
          <w:p>
            <w:pPr>
              <w:spacing w:after="0"/>
              <w:rPr>
                <w:sz w:val="17"/>
                <w:szCs w:val="17"/>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7"/>
                <w:szCs w:val="17"/>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15,035</w:t>
            </w:r>
          </w:p>
        </w:tc>
        <w:tc>
          <w:tcPr>
            <w:tcW w:w="100" w:type="dxa"/>
            <w:vAlign w:val="bottom"/>
          </w:tcPr>
          <w:p>
            <w:pPr>
              <w:spacing w:after="0"/>
              <w:rPr>
                <w:sz w:val="17"/>
                <w:szCs w:val="17"/>
                <w:color w:val="auto"/>
              </w:rPr>
            </w:pPr>
          </w:p>
        </w:tc>
      </w:tr>
      <w:tr>
        <w:trPr>
          <w:trHeight w:val="196"/>
        </w:trPr>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37,284</w:t>
            </w:r>
          </w:p>
        </w:tc>
        <w:tc>
          <w:tcPr>
            <w:tcW w:w="100" w:type="dxa"/>
            <w:vAlign w:val="bottom"/>
            <w:shd w:val="clear" w:color="auto" w:fill="CCEEFF"/>
          </w:tcPr>
          <w:p>
            <w:pPr>
              <w:spacing w:after="0"/>
              <w:rPr>
                <w:sz w:val="17"/>
                <w:szCs w:val="17"/>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(7,583)</w:t>
            </w:r>
          </w:p>
        </w:tc>
      </w:tr>
      <w:tr>
        <w:trPr>
          <w:trHeight w:val="216"/>
        </w:trPr>
        <w:tc>
          <w:tcPr>
            <w:tcW w:w="8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29,701</w:t>
            </w:r>
          </w:p>
        </w:tc>
        <w:tc>
          <w:tcPr>
            <w:tcW w:w="100" w:type="dxa"/>
            <w:vAlign w:val="bottom"/>
            <w:shd w:val="clear" w:color="auto" w:fill="CCEEFF"/>
          </w:tcPr>
          <w:p>
            <w:pPr>
              <w:spacing w:after="0"/>
              <w:rPr>
                <w:sz w:val="18"/>
                <w:szCs w:val="18"/>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total acquisition, restructuring and management fee costs: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8"/>
                <w:szCs w:val="18"/>
                <w:color w:val="auto"/>
              </w:rPr>
            </w:pPr>
          </w:p>
        </w:tc>
        <w:tc>
          <w:tcPr>
            <w:tcW w:w="2660" w:type="dxa"/>
            <w:vAlign w:val="bottom"/>
            <w:gridSpan w:val="6"/>
          </w:tcPr>
          <w:p>
            <w:pPr>
              <w:jc w:val="right"/>
              <w:ind w:right="120"/>
              <w:spacing w:after="0"/>
              <w:rPr>
                <w:sz w:val="20"/>
                <w:szCs w:val="20"/>
                <w:color w:val="auto"/>
              </w:rPr>
            </w:pPr>
            <w:r>
              <w:rPr>
                <w:rFonts w:ascii="Arial" w:cs="Arial" w:eastAsia="Arial" w:hAnsi="Arial"/>
                <w:sz w:val="18"/>
                <w:szCs w:val="18"/>
                <w:color w:val="auto"/>
                <w:w w:val="99"/>
              </w:rPr>
              <w:t>For the twenty-six weeks ended</w:t>
            </w:r>
          </w:p>
        </w:tc>
      </w:tr>
      <w:tr>
        <w:trPr>
          <w:trHeight w:val="196"/>
        </w:trPr>
        <w:tc>
          <w:tcPr>
            <w:tcW w:w="5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6"/>
              </w:rPr>
              <w:t>July 2, 2023</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(1)</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360</w:t>
            </w:r>
          </w:p>
        </w:tc>
      </w:tr>
      <w:tr>
        <w:trPr>
          <w:trHeight w:val="236"/>
        </w:trPr>
        <w:tc>
          <w:tcPr>
            <w:tcW w:w="52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acquisition, restructuring and management fees</w:t>
            </w: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1,691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3" w:lineRule="exact"/>
        <w:rPr>
          <w:sz w:val="20"/>
          <w:szCs w:val="20"/>
          <w:color w:val="auto"/>
        </w:rPr>
      </w:pPr>
    </w:p>
    <w:p>
      <w:pPr>
        <w:ind w:left="580" w:hanging="248"/>
        <w:spacing w:after="0"/>
        <w:tabs>
          <w:tab w:leader="none" w:pos="5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Includes professional fees for legal, accounting, consulting, administrative, and other professional services directly attributable to acquisitions.</w:t>
      </w:r>
    </w:p>
    <w:p>
      <w:pPr>
        <w:spacing w:after="0" w:line="22" w:lineRule="exact"/>
        <w:rPr>
          <w:rFonts w:ascii="Arial" w:cs="Arial" w:eastAsia="Arial" w:hAnsi="Arial"/>
          <w:sz w:val="16"/>
          <w:szCs w:val="16"/>
          <w:color w:val="auto"/>
        </w:rPr>
      </w:pPr>
    </w:p>
    <w:p>
      <w:pPr>
        <w:ind w:left="580" w:hanging="248"/>
        <w:spacing w:after="0"/>
        <w:tabs>
          <w:tab w:leader="none" w:pos="5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Includes costs incurred as part of the restructuring of operations including professional and consulting services and executive severance.</w:t>
      </w: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8" w:lineRule="exact"/>
        <w:rPr>
          <w:rFonts w:ascii="Arial" w:cs="Arial" w:eastAsia="Arial" w:hAnsi="Arial"/>
          <w:sz w:val="18"/>
          <w:szCs w:val="18"/>
          <w:b w:val="1"/>
          <w:bCs w:val="1"/>
          <w:color w:val="auto"/>
        </w:rPr>
      </w:pPr>
    </w:p>
    <w:p>
      <w:pPr>
        <w:jc w:val="both"/>
        <w:ind w:left="34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w:t>
      </w:r>
    </w:p>
    <w:p>
      <w:pPr>
        <w:spacing w:after="0" w:line="17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70" w:lineRule="exact"/>
        <w:rPr>
          <w:rFonts w:ascii="Arial" w:cs="Arial" w:eastAsia="Arial" w:hAnsi="Arial"/>
          <w:sz w:val="18"/>
          <w:szCs w:val="18"/>
          <w:b w:val="1"/>
          <w:bCs w:val="1"/>
          <w:color w:val="auto"/>
        </w:rPr>
      </w:pPr>
    </w:p>
    <w:p>
      <w:pPr>
        <w:ind w:left="3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-2230755</wp:posOffset>
            </wp:positionV>
            <wp:extent cx="67722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ind w:right="260"/>
              <w:spacing w:after="0"/>
              <w:rPr>
                <w:sz w:val="20"/>
                <w:szCs w:val="20"/>
                <w:color w:val="auto"/>
              </w:rPr>
            </w:pPr>
            <w:r>
              <w:rPr>
                <w:rFonts w:ascii="Arial" w:cs="Arial" w:eastAsia="Arial" w:hAnsi="Arial"/>
                <w:sz w:val="18"/>
                <w:szCs w:val="18"/>
                <w:color w:val="auto"/>
                <w:w w:val="99"/>
              </w:rPr>
              <w:t>For the thirteen weeks ended</w:t>
            </w:r>
          </w:p>
        </w:tc>
        <w:tc>
          <w:tcPr>
            <w:tcW w:w="80" w:type="dxa"/>
            <w:vAlign w:val="bottom"/>
          </w:tcPr>
          <w:p>
            <w:pPr>
              <w:spacing w:after="0"/>
              <w:rPr>
                <w:sz w:val="18"/>
                <w:szCs w:val="18"/>
                <w:color w:val="auto"/>
              </w:rPr>
            </w:pPr>
          </w:p>
        </w:tc>
        <w:tc>
          <w:tcPr>
            <w:tcW w:w="2660" w:type="dxa"/>
            <w:vAlign w:val="bottom"/>
            <w:gridSpan w:val="7"/>
          </w:tcPr>
          <w:p>
            <w:pPr>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5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00"/>
              <w:spacing w:after="0" w:line="196" w:lineRule="exact"/>
              <w:rPr>
                <w:sz w:val="20"/>
                <w:szCs w:val="20"/>
                <w:color w:val="auto"/>
              </w:rPr>
            </w:pPr>
            <w:r>
              <w:rPr>
                <w:rFonts w:ascii="Arial" w:cs="Arial" w:eastAsia="Arial" w:hAnsi="Arial"/>
                <w:sz w:val="18"/>
                <w:szCs w:val="18"/>
                <w:color w:val="auto"/>
                <w:w w:val="98"/>
              </w:rPr>
              <w:t>July 2, 2023</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8"/>
              </w:rPr>
              <w:t>July 3, 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color w:val="auto"/>
                <w:w w:val="96"/>
              </w:rPr>
              <w:t>July 2, 2023</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July 3, 2022</w:t>
            </w:r>
          </w:p>
        </w:tc>
        <w:tc>
          <w:tcPr>
            <w:tcW w:w="12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3,181</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3,034</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(4,703)</w:t>
            </w:r>
          </w:p>
        </w:tc>
      </w:tr>
      <w:tr>
        <w:trPr>
          <w:trHeight w:val="20"/>
        </w:trPr>
        <w:tc>
          <w:tcPr>
            <w:tcW w:w="5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3,876</w:t>
            </w:r>
          </w:p>
        </w:tc>
        <w:tc>
          <w:tcPr>
            <w:tcW w:w="20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2,325</w:t>
            </w:r>
          </w:p>
        </w:tc>
        <w:tc>
          <w:tcPr>
            <w:tcW w:w="180" w:type="dxa"/>
            <w:vAlign w:val="bottom"/>
            <w:gridSpan w:val="2"/>
          </w:tcPr>
          <w:p>
            <w:pPr>
              <w:ind w:left="8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3,876</w:t>
            </w:r>
          </w:p>
        </w:tc>
        <w:tc>
          <w:tcPr>
            <w:tcW w:w="12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2,325</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and its subsidiaries unless the context otherwise indicates.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under the caption, "Cautionary Note Regarding Forward-Looking Statements," in this Quarterly Report on Form 10-Q, under the caption, “Risk Factors,” in our Annual Report on Form 10-K for the year ended December 31, 2022, as filed with the SEC on March 15, 2023, and in our subsequent filings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including inflation, labor shortages, and disruption of the supply chain, as well as by geopolitical events, such as the conflict in Ukraine. Our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mix to lower-margin products, and demands on our performance that increased our costs. Should the ongoing macroeconomic conditions not improve, or worsen, or if our attempts to mitigate the impact on our supply chain, operations and costs is not successful, our business, results of operations and financial condition may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and executive severance are included within this classification.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July 2, 2023, $645.6 million was outstanding under our Credit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July 2, 2023 Compared With 13-Week Period Ended July 3,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13-week periods ended July 2, 2023 and July 3, 2022 (dollars in thousands):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thirteen weeks ended</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556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2, 2023</w:t>
            </w:r>
          </w:p>
        </w:tc>
        <w:tc>
          <w:tcPr>
            <w:tcW w:w="20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3, 2022</w:t>
            </w:r>
          </w:p>
        </w:tc>
        <w:tc>
          <w:tcPr>
            <w:tcW w:w="20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7"/>
                <w:szCs w:val="17"/>
                <w:color w:val="auto"/>
              </w:rPr>
            </w:pPr>
          </w:p>
        </w:tc>
        <w:tc>
          <w:tcPr>
            <w:tcW w:w="10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7"/>
                <w:szCs w:val="17"/>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175,262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179,420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105,514</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104,132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1,382</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69,748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75,288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(5,540)</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29,101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36,269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(7,168)</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(2,014)</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(1,339)</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(79.2%)</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49.2%</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29,954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25,145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4,809</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19.1%</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2,017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(23,168)</w:t>
            </w: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25,185</w:t>
            </w:r>
          </w:p>
        </w:tc>
        <w:tc>
          <w:tcPr>
            <w:tcW w:w="20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(108.7%)</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(4,234)</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5,195</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(122.7%)</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9,899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8,961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938</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17,077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43,586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(26,509)</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(60.8%)</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4,098</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1,075</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35.6%</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12,979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40,563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(27,584)</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(68.0%)</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(45.7%)</w:t>
            </w:r>
          </w:p>
        </w:tc>
      </w:tr>
      <w:tr>
        <w:trPr>
          <w:trHeight w:val="236"/>
        </w:trPr>
        <w:tc>
          <w:tcPr>
            <w:tcW w:w="55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13,251</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41,064</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(27,813)</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(67.7%)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sales for the 13-week period ended July 2, 2023 decreased $4.2 million, or 2.3%, to $175.3 million, as compared to $179.4 million for the 13-week period ended July 3, 2022. Non-comparable sales associated with acquisitions contributed $2.6 million, or 1.5% of year-over-year growth. The remaining comparable sales decreased by $6.8 million, or 3.8%, compared to the prior year quarter, offsetting the impact from the acquisitions. The decline in comparable sales reflects a return to the sales trends experienced prior to the increased demand we experienced during the COVID pandemic. As a result, lower unit volume drove a decrease of approximately $10.9 million that was partially offset by improved price realization of approximately $4.1 million compared to the prior year period. Major categories driving the comparable year-over-year results include a decrease in safety products sales of $4.2 million (23.7% category decline), a decrease in mechanical systems sales of $3.3 million (7.4% category decline), a decrease in accessories sales of $2.0 million (7.0% category decline), and an increase in electronic systems sales of $3.3 million (4.7% category growth).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 of goods sold for the 13-week period ended July 2, 2023 increased $1.4 million, or 1.3%, to $105.5 million, as compared to $104.1 million for the 13-week period ended July 3, 2022. The increase in cost of goods sold during the 13-week period ended July 2, 2023 in which product sales decreased 2.3% reflects compression in gross profit margin due primarily to inflationary pressures on labor and component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for the 13-week period ended July 2, 2023 decreased $ 5.5 million, or 7.4%, to $69.8 million, as compared to $75.3 million for the 13-week period ended July 3, 2022. Gross margin for the 13-week period ended July 2, 2023 of 39.8% decreased as compared to a gross margin of 42.0% for the 13-week period ended July 3, 2022. The decrease in gross profit and gross profit margin was driven primarily by the sell-through of higher cost inventory from prior periods. In general, gross margin and margins on individual products remain under pressure due to various factors, including potential increases in manufacturing costs and the shift of our sales mix towards products with lower gross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Selling, general and administrative costs for the 13-week period ended July 2, 2023 decreased $7.2 million, or 19.8%, to $29.1 million, as compared to $36.3 million for the 13-week period ended July 3, 2022. When expressed as a percentage of sales, selling, general and administrative costs decreased to 16.6% of sales for the 13-week period ended July 2, 2023 compared to 20.2% of sales in 2022. The decrease in selling, general and administrative costs was driven by a $1.7 million decrease in equity compensation costs, a $1.7 million decrease in personnel costs, and a $1.2 million decrease in outbound shipping and handling costs, reflecting the implementation of cost-saving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costs for the 13-week period ended July 2, 2023 decreased $2.0 million, or 24.6%, to $6.2 million, as compared to $8.2 million for the 13-week period ended July 3, 2022. The decrease in research and development costs was primarily due to headcount reductions, reflecting the implementation of cost-saving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stable at $3.7 million for both the 13-week periods ended July 2, 2023 and July 3,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Acquisition and restructuring costs for the 13-week period ended July 2, 2023 decreased $1.3 million to $0.4 million, as compared to $1.7 million for the 13-week period ended July 3, 2022. This decrease primarily reflects a reduction in restructuring activities associated with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operating income for the 13-week period ended July 2, 2023 increased $4.8 million, or 19.1%, to $30.0 million, as compared to $25.2 million for the 13-week period ended July 3,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13-week period ended July 2, 2023, we recognized a loss of $2.0 million from the change in fair value of the warrant liability. For the 13-week period ended July 3, 2022, we recognized a gain of $23.2 million from the change in fair value of the warrant liability. The warrant liability reflects the fair value of the Warrants issued in connection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13-week period ended July 2, 2023, we recognized a loss of $1.0 million from the change in fair value of the earn-out liability. For the 13-week period ended July 3, 2022, we recognized a gain of $4.2 million, from the change in fair value of the earn-out liability. The earn-out liability reflects the fair value of the unvested Earn-out Shares resulting from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13-week period ended July 2, 2023 increased $0.9 million, or 10.5%, to $9.9 million, as compared to $9.0 million for the 13-week period ended July 3, 2022, reflecting a higher effective interest rate net of a $5.1 million fair value adjustment of the interest rate collar.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we recognized $17.1 million of income before income taxes for the 13-week period ended July 2, 2023, as compared to income before income taxes of $43.6 million for the 13-week period ended July 3,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for the 13-week period ended July 2, 2023 was $4.1 million, as compared to income tax expense of $3.0 million for the 13-week period ended July 3, 2022. Our effective tax rate for the 13 -week period ended July 2, 2023 was 24.0%. The difference between the effective tax rate for the 13-week period ended July 2, 2023 and the federal statutory rate in 2023 was primarily due to permanent differences resulting from the change in fair value of the warrant and earn-out liabilities</w:t>
      </w:r>
      <w:r>
        <w:rPr>
          <w:rFonts w:ascii="Arial" w:cs="Arial" w:eastAsia="Arial" w:hAnsi="Arial"/>
          <w:sz w:val="18"/>
          <w:szCs w:val="18"/>
          <w:b w:val="1"/>
          <w:bCs w:val="1"/>
          <w:color w:val="auto"/>
        </w:rPr>
        <w:t>.</w:t>
      </w:r>
      <w:r>
        <w:rPr>
          <w:rFonts w:ascii="Arial" w:cs="Arial" w:eastAsia="Arial" w:hAnsi="Arial"/>
          <w:sz w:val="18"/>
          <w:szCs w:val="18"/>
          <w:color w:val="auto"/>
        </w:rPr>
        <w:t xml:space="preserve"> Our effective tax rate for the 13-week period ended July 3, 2022 was 6.9%. The difference between the effective tax rate and the federal statutory rate in 2022 was primarily due to permanent differences resulting from the change in fair value of the warrant and earn-out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factors described above, we recognized net income of $13.0 million for the 13-week period ended July 2, 2023, as compared to net income of $40.6 million for the 13-week period ended July 3, 2022. Additionally, we recognized total comprehensive income of $13.3 million for the 13-week period ended July 2, 2023, as compared to total comprehensive income of $41.1 million for the 13-week period ended July 3, 2022. Comprehensive income includes the effect of foreign currency translation adjustments.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26-Week Period Ended July 2, 2023 Compared With 26-Week Period Ended July 3,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26-week periods ended July 2, 2023 and July 3, 2022 (dollars in thousands):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For the twenty-six weeks ended</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556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2, 2023</w:t>
            </w:r>
          </w:p>
        </w:tc>
        <w:tc>
          <w:tcPr>
            <w:tcW w:w="20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3, 2022</w:t>
            </w:r>
          </w:p>
        </w:tc>
        <w:tc>
          <w:tcPr>
            <w:tcW w:w="20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7"/>
                <w:szCs w:val="17"/>
                <w:color w:val="auto"/>
              </w:rPr>
            </w:pPr>
          </w:p>
        </w:tc>
        <w:tc>
          <w:tcPr>
            <w:tcW w:w="10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17"/>
                <w:szCs w:val="17"/>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347,467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379,475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(32,008)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210,006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221,466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(11,460)</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137,461</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158,009</w:t>
            </w: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(20,548)</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59,118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70,611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(11,493)</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12,835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16,357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(3,522)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7,353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0.4%</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55,928</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61,190</w:t>
            </w: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(5,262)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3,452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(20,941)</w:t>
            </w: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24,393</w:t>
            </w:r>
          </w:p>
        </w:tc>
        <w:tc>
          <w:tcPr>
            <w:tcW w:w="20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(116.5%)</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(1,853)</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28,197</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16,352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11,845</w:t>
            </w:r>
          </w:p>
        </w:tc>
        <w:tc>
          <w:tcPr>
            <w:tcW w:w="20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22,890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67,632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(44,742)</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(66.2%)</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5,664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10,211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(4,547)</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(44.5%)</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17,226</w:t>
            </w: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57,421</w:t>
            </w: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(40,195)</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(70.0%)</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(669)</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(90.2%)</w:t>
            </w:r>
          </w:p>
        </w:tc>
      </w:tr>
      <w:tr>
        <w:trPr>
          <w:trHeight w:val="236"/>
        </w:trPr>
        <w:tc>
          <w:tcPr>
            <w:tcW w:w="55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17,299</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58,163</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(40,864)</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(70.3%)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sales for the 26-week period ended July 2, 2023 decreased $32.0 million, or 8.4%, to $347.5 million, as compared to $379.5 million for the 26-week period ended July 3, 2022. Non-comparable sales associated with acquisitions contributed $4.4 million, or 1.2% of total year-over-year growth. The remaining comparable sales for the year-to-date period decreased by $36.4 million, or 9.6%, offsetting the impact from the acquisitions. The decline in comparable sales was driven by supply chain constraints in electronic components and a return to the sales trends experienced prior to the increased demand experienced during the COVID pandemic. As a result, lower unit volume drove a decrease of approximately $47.5 million that was partially offset by improved price realization of approximately $11.2 million compared to the prior year period. Comparable year-over-year results by category include a decrease in electronic systems sales of $14.1 million (8.9% category decline), a decrease in safety products sales of $9.1 million (24.1% category decline), a decrease in mechanical systems sales of $5.8 million (6.5% category decline), a decrease in exhaust system sales of $4.2 million (11.1% category decline), and a decrease in accessories sales of $3.2 million (5.7% category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 of goods sold for the 26 -week period ended July 2, 2023 decreased $11.5 million, or 5.2%, to $210.0 million, as compared to $221.5 million for the 26-week period ended July 3, 2022. The decrease in cost of goods sold during the 26-week period ended July 2, 2023 reflects the decrease in product sales during such period combined with compression in gross profit margin due primarily to inflationary pressures on labor and component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for the 26-week period ended July 2, 2023 decreased $ 20.6 million, or 13.0%, to $137.5 million, as compared to $158.0 million for the 26-week period ended July 3, 2022. Gross margin for the 26-week period ended July 2, 2023 of 39.6% decreased as compared to a gross margin of 41.6% for the 26-week period ended July 3, 2022. The decrease in gross profit and gross profit margin was driven primarily by the sell-through of higher cost inventory from prior periods. In general, gross margin and margins on individual products remain under pressure due to various factors, including potential increases in manufacturing costs and the shift of our sales mix towards products with lower gross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Selling, general and administrative costs for the 26-week period ended July 2, 2023 decreased $11.5 million, or 16.3%, to $59.1 million, as compared to $70.6 million for the 26-week period ended July 3, 2022. When expressed as a percentage of sales, selling, general and administrative costs decreased to 17.0% of sales for the 26-week period ended July 2, 2023 compared to 18.6% of sales in 2022. The decrease in selling, general and administrative costs was driven by a $4.4 million decrease in equity compensation costs and a $3.9 million decrease in personnel costs, reflecting the implementation of cost-saving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costs for the 26-week period ended July 2, 2023 decreased $ 3.5 million, or 21.5%, to $12.8 million, as compared to $16.4 million for the 26-week period ended July 3, 2022. The decrease in research and development costs was primarily due to headcount reductions, reflecting the implementation of cost-saving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Amortization of intangible assets was $7.4 million for the 26-week period ended July 2, 2023 compared to $7.3 million for the 26-week period ended July 3,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Acquisition and restructuring costs for the 26-week period ended July 2, 2023 decreased $0.3 million to $1.7 million, as compared to $2.0 million for the 26-week period ended July 3, 2022. This decrease primarily reflects a reduction in restructuring activities associated with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operating income for the 26-week period ended July 2, 2023 decreased $5.3 million, or 8.6%, to $55.9 million, as compared to $61.2 million for the 26-week period ended July 3,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26-week period ended July 2, 2023 we recognized a loss of $3.5 million from the change in fair value of the warrant liability. For the 26-week period ended July 3, 2022 we recognized a gain of $ 20.9 million from the change in fair value of the warrant liability. The warrant liability reflects the fair value of the Warrants issued in connection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26-week period ended July 2, 2023 we recognized a loss of $1.4 million from the change in fair value of the earn-out liability. For the 26-week period ended July 3, 2022 we recognized a gain of $1.9 million from the change in fair value of earn-out liability. The earn-out liability reflects the fair value of the unvested Earn-out Shares resulting from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Interest expense for the 26-week period ended July 2, 2023 increased $11.9 million, or 72.4%, to $28.2 million, as compared to $16.4 million for the 26-week period ended July 3, 2022, reflecting a higher effective interest 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result of factors described above, we recognized $22.9 million of income before income taxes for the 26-week period ended July 2, 2023, as compared to income before income taxes of $67.6 million for the 26-week period ended July 3,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for the 26-week period ended July 2, 2023 was $5.7 million, as compared to income tax expense of $10.2 million for the 26-week period ended July 3, 2022. Our effective tax rate for the 26-week period ended July 2, 2023 was 24.7%. The difference between the effective tax rate for the 26-week period ended July 2, 2023 and the federal statutory rate in 2023 was primarily due to permanent differences resulting from the change in fair value of the warrant and earn-out liabilities</w:t>
      </w:r>
      <w:r>
        <w:rPr>
          <w:rFonts w:ascii="Arial" w:cs="Arial" w:eastAsia="Arial" w:hAnsi="Arial"/>
          <w:sz w:val="18"/>
          <w:szCs w:val="18"/>
          <w:b w:val="1"/>
          <w:bCs w:val="1"/>
          <w:color w:val="auto"/>
        </w:rPr>
        <w:t>.</w:t>
      </w:r>
      <w:r>
        <w:rPr>
          <w:rFonts w:ascii="Arial" w:cs="Arial" w:eastAsia="Arial" w:hAnsi="Arial"/>
          <w:sz w:val="18"/>
          <w:szCs w:val="18"/>
          <w:color w:val="auto"/>
        </w:rPr>
        <w:t xml:space="preserve"> Our effective tax rate for the 26-week period ended July 3, 2022 was 15.1%. The difference between the effective tax rate and the federal statutory rate in 2022 was primarily due to permanent differences resulting from the change in fair value of the warrant and earn-out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factors described above, we recognized net income of $17.2 million for the 26-week period ended July 2, 2023, as compared to net income of $57.4 million for the 26-week period ended July 3, 2022. Additionally, we recognized total comprehensive income of $17.3 million for the 26-week period ended July 2, 2023, as compared to total comprehensive income of $58.2 million for the 26-week period ended July 3, 2022. Comprehensive income includes the effect of foreign currency translation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EBITDA and Adjusted EBITDA as supplemental measures of our operating performance, and believe that such non-GAAP financial measures provide useful information to investors, because they exclude the impact of certain items that we do not consider indicative of our ongoing operating performance and are useful in comparing the Company’s results of operations between periods. We believe that the presentation of EBITDA and Adjusted EBITDA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acquisition and restructuring costs, which includes transaction fees and expenses, termination related benefits, facilities relocation, and executive transition costs; changes in the fair value of the warrant liability; changes in the fair value of the earn-out liability; equity-based compensation expense; impairment of intangible assets; gain or loss on the early extinguishment of debt; non-cash charges due to a product rationalization initiative aimed at eliminating unprofitable or slow-moving stock keeping units, for which a partial reversal of the initial reserve was recognized during the thirteen weeks ended July 2, 2023; notable items, which for the twenty-six weeks ended July 3, 2022 includes a non-cash adjustment related to the adoption of ASC 842, “Leases,” and may also include certain fees and settlements; and other expenses or gains, which includes gains or losses from disposal of fixed assets and foreign currency transactions.</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13-week and 26-week periods ended July 2, 2023 and July 3, 2022 (dollars in thousands):</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8"/>
                <w:szCs w:val="18"/>
                <w:color w:val="auto"/>
              </w:rPr>
              <w:t>For the twenty-six weeks</w:t>
            </w:r>
          </w:p>
        </w:tc>
      </w:tr>
      <w:tr>
        <w:trPr>
          <w:trHeight w:val="215"/>
        </w:trPr>
        <w:tc>
          <w:tcPr>
            <w:tcW w:w="5640" w:type="dxa"/>
            <w:vAlign w:val="bottom"/>
          </w:tcPr>
          <w:p>
            <w:pPr>
              <w:spacing w:after="0"/>
              <w:rPr>
                <w:sz w:val="18"/>
                <w:szCs w:val="18"/>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140" w:type="dxa"/>
            <w:vAlign w:val="bottom"/>
          </w:tcPr>
          <w:p>
            <w:pPr>
              <w:spacing w:after="0"/>
              <w:rPr>
                <w:sz w:val="18"/>
                <w:szCs w:val="18"/>
                <w:color w:val="auto"/>
              </w:rPr>
            </w:pP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ended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5640" w:type="dxa"/>
            <w:vAlign w:val="bottom"/>
          </w:tcPr>
          <w:p>
            <w:pPr>
              <w:spacing w:after="0"/>
              <w:rPr>
                <w:sz w:val="17"/>
                <w:szCs w:val="17"/>
                <w:color w:val="auto"/>
              </w:rPr>
            </w:pPr>
          </w:p>
        </w:tc>
        <w:tc>
          <w:tcPr>
            <w:tcW w:w="1300" w:type="dxa"/>
            <w:vAlign w:val="bottom"/>
            <w:tcBorders>
              <w:top w:val="single" w:sz="8" w:color="auto"/>
            </w:tcBorders>
            <w:gridSpan w:val="3"/>
          </w:tcPr>
          <w:p>
            <w:pPr>
              <w:ind w:left="60"/>
              <w:spacing w:after="0" w:line="196" w:lineRule="exact"/>
              <w:rPr>
                <w:sz w:val="20"/>
                <w:szCs w:val="20"/>
                <w:color w:val="auto"/>
              </w:rPr>
            </w:pPr>
            <w:r>
              <w:rPr>
                <w:rFonts w:ascii="Arial" w:cs="Arial" w:eastAsia="Arial" w:hAnsi="Arial"/>
                <w:sz w:val="18"/>
                <w:szCs w:val="18"/>
                <w:color w:val="auto"/>
              </w:rPr>
              <w:t>July 2, 2023</w:t>
            </w:r>
          </w:p>
        </w:tc>
        <w:tc>
          <w:tcPr>
            <w:tcW w:w="10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3, 2022</w:t>
            </w:r>
          </w:p>
        </w:tc>
        <w:tc>
          <w:tcPr>
            <w:tcW w:w="220" w:type="dxa"/>
            <w:vAlign w:val="bottom"/>
          </w:tcPr>
          <w:p>
            <w:pPr>
              <w:spacing w:after="0"/>
              <w:rPr>
                <w:sz w:val="17"/>
                <w:szCs w:val="17"/>
                <w:color w:val="auto"/>
              </w:rPr>
            </w:pPr>
          </w:p>
        </w:tc>
        <w:tc>
          <w:tcPr>
            <w:tcW w:w="1260" w:type="dxa"/>
            <w:vAlign w:val="bottom"/>
            <w:tcBorders>
              <w:top w:val="single" w:sz="8" w:color="auto"/>
            </w:tcBorders>
            <w:gridSpan w:val="3"/>
          </w:tcPr>
          <w:p>
            <w:pPr>
              <w:jc w:val="right"/>
              <w:ind w:right="260"/>
              <w:spacing w:after="0" w:line="196" w:lineRule="exact"/>
              <w:rPr>
                <w:sz w:val="20"/>
                <w:szCs w:val="20"/>
                <w:color w:val="auto"/>
              </w:rPr>
            </w:pPr>
            <w:r>
              <w:rPr>
                <w:rFonts w:ascii="Arial" w:cs="Arial" w:eastAsia="Arial" w:hAnsi="Arial"/>
                <w:sz w:val="18"/>
                <w:szCs w:val="18"/>
                <w:color w:val="auto"/>
              </w:rPr>
              <w:t>July 2, 2023</w:t>
            </w:r>
          </w:p>
        </w:tc>
        <w:tc>
          <w:tcPr>
            <w:tcW w:w="10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July 3, 2022</w:t>
            </w:r>
          </w:p>
        </w:tc>
        <w:tc>
          <w:tcPr>
            <w:tcW w:w="12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12,979</w:t>
            </w: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40,563</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17,226</w:t>
            </w: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57,421</w:t>
            </w: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4,953</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4,663</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3,674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7,353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7,323</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28,197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16,352</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4,098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5,664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10,211</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33,118</w:t>
            </w: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58,732</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63,393</w:t>
            </w: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95,970</w:t>
            </w:r>
          </w:p>
        </w:tc>
        <w:tc>
          <w:tcPr>
            <w:tcW w:w="12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Acquisition and restructuring costs</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1,981</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(23,168)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(20,941)</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(4,234)</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(1,853)</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Equity-based compensation expense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6,645</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Product rationalization</w:t>
            </w:r>
          </w:p>
        </w:tc>
        <w:tc>
          <w:tcPr>
            <w:tcW w:w="32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(800)</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(800)</w:t>
            </w:r>
          </w:p>
        </w:tc>
        <w:tc>
          <w:tcPr>
            <w:tcW w:w="3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Notable items</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884</w:t>
            </w: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547</w:t>
            </w:r>
          </w:p>
        </w:tc>
      </w:tr>
      <w:tr>
        <w:trPr>
          <w:trHeight w:val="236"/>
        </w:trPr>
        <w:tc>
          <w:tcPr>
            <w:tcW w:w="56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37,923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37,207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71,869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83,233</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July 2, 2023, the Company had cash of $42.7 million and availability of $123.3 million under its revolving credit facility. The Company has a senior secured revolving credit facility with $125 million in borrowing capacity. As of July 2, 2023, the Company had $ 1.7 million of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increases the consolidated net leverage ratio financial covenant level applicable under the Credit Agreement as of the fiscal quarter ending April 2, 2023 through the fiscal quarter ending March 31, 2024, to initially 7.25:1.00, and provides for modified step-down levels for such covenant thereafter.</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$3.8 million,including short term leases, due during the remainder of fiscal year 2023. See Note 16,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$5 million to $10 million in fiscal year 2023.</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in this Quarterly Report on Form 10-Q for further detail of our credit facility and the timing of principal maturities. As of July 2, 2023, based on the then current weighted average interest rate of 9.2%, expected interest payments associated with outstanding debt totaled approximately $29.6 million for the remainder of fiscal year 2023.</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26-week period ended April 2, 2023 Compared With 26-week period ended April 3, 2022</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79"/>
        </w:trPr>
        <w:tc>
          <w:tcPr>
            <w:tcW w:w="3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jc w:val="right"/>
              <w:ind w:right="440"/>
              <w:spacing w:after="0"/>
              <w:rPr>
                <w:sz w:val="20"/>
                <w:szCs w:val="20"/>
                <w:color w:val="auto"/>
              </w:rPr>
            </w:pPr>
            <w:r>
              <w:rPr>
                <w:rFonts w:ascii="Arial" w:cs="Arial" w:eastAsia="Arial" w:hAnsi="Arial"/>
                <w:sz w:val="18"/>
                <w:szCs w:val="18"/>
                <w:color w:val="auto"/>
              </w:rPr>
              <w:t>For the twenty-six weeks ended</w:t>
            </w:r>
          </w:p>
        </w:tc>
      </w:tr>
      <w:tr>
        <w:trPr>
          <w:trHeight w:val="196"/>
        </w:trPr>
        <w:tc>
          <w:tcPr>
            <w:tcW w:w="34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480"/>
              <w:spacing w:after="0" w:line="196" w:lineRule="exact"/>
              <w:rPr>
                <w:sz w:val="20"/>
                <w:szCs w:val="20"/>
                <w:color w:val="auto"/>
              </w:rPr>
            </w:pPr>
            <w:r>
              <w:rPr>
                <w:rFonts w:ascii="Arial" w:cs="Arial" w:eastAsia="Arial" w:hAnsi="Arial"/>
                <w:sz w:val="18"/>
                <w:szCs w:val="18"/>
                <w:color w:val="auto"/>
              </w:rPr>
              <w:t>July 2, 2023</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July 3, 2022</w:t>
            </w:r>
          </w:p>
        </w:tc>
        <w:tc>
          <w:tcPr>
            <w:tcW w:w="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34,383</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20,831</w:t>
            </w:r>
          </w:p>
        </w:tc>
        <w:tc>
          <w:tcPr>
            <w:tcW w:w="12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Cash flows used in investing activities</w:t>
            </w:r>
          </w:p>
        </w:tc>
        <w:tc>
          <w:tcPr>
            <w:tcW w:w="20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(2,382)</w:t>
            </w:r>
          </w:p>
        </w:tc>
        <w:tc>
          <w:tcPr>
            <w:tcW w:w="18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(23,442)</w:t>
            </w:r>
          </w:p>
        </w:tc>
      </w:tr>
      <w:tr>
        <w:trPr>
          <w:trHeight w:val="203"/>
        </w:trPr>
        <w:tc>
          <w:tcPr>
            <w:tcW w:w="34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used in financing activities</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(15,572)</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(2,716)</w:t>
            </w:r>
          </w:p>
        </w:tc>
      </w:tr>
      <w:tr>
        <w:trPr>
          <w:trHeight w:val="203"/>
        </w:trPr>
        <w:tc>
          <w:tcPr>
            <w:tcW w:w="34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Effect of foreign currency rate fluctuations on cash</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(443)</w:t>
            </w:r>
          </w:p>
        </w:tc>
      </w:tr>
      <w:tr>
        <w:trPr>
          <w:trHeight w:val="236"/>
        </w:trPr>
        <w:tc>
          <w:tcPr>
            <w:tcW w:w="340" w:type="dxa"/>
            <w:vAlign w:val="bottom"/>
          </w:tcPr>
          <w:p>
            <w:pPr>
              <w:spacing w:after="0"/>
              <w:rPr>
                <w:sz w:val="20"/>
                <w:szCs w:val="20"/>
                <w:color w:val="auto"/>
              </w:rPr>
            </w:pPr>
          </w:p>
        </w:tc>
        <w:tc>
          <w:tcPr>
            <w:tcW w:w="7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16,590</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(5,770)</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26-week period ended July 2, 2023 was $34.4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of $20.8 million for the 26-week period ended July 3, 2022. Net income decreased $40.2 million to $ 17.2 million for the 26-week period ended July 2, 2023 from $ 57.4 million for the 26-week period ended July 3, 2022. Significant changes in the year-over-year change in working capital activity included positive fluctuations from inventories of $41.2 million and accounts payable of $4.4 million. Partially offsetting these increases was a negative fluctuation in accounts receivable of $4.4 million The change in inventory reflects the impact of inventory management initiatives and fluctuations in sales while changes in accounts receivable and accounts payable are impacted by the timing of payments.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26-week period ended July 2, 2023 was $2.4 million which primarily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Cash used in investing activities for the 26-week period ended July 3, 2022 was $23.4 million which included $9.6 million due to capital expenditures and $14.1 million due to acquisitions.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26-week period ended July 2, 2023 was $15.6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principal payments on long-term debt and deferred financing fees. Cash used in financing activities for the 26-week period ended July 3, 2022 was $2.7 million due to principal payments on long-term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2022, as filed with the SEC on March 15, 2023.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Quarterly Report on Form 10-Q.</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July 2, 2023, a total of $ 645.6 million of term loan and revolver borrowings were subject to variable interest rates, with a weighted average borrowing rate of 9.2%. A hypothetical 100 basis point increase in interest rates would result in an approximately $1.5 million increase in annual interest expense, while a hypothetical 100 basis point decrease in interest rates would result in an approximately $6.5 million decrease to Holley’s annual interest expense.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July 2,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the Company’s cash and cash equivalents consisted of cash balances in non-interest bearing checking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July 2, 2023, the Company is exposed to changes in foreign currency exchange rates. While historically this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July 2,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not currently a party to any material legal proceedings. From time to time, we are subject to litigation incidental to our business, as well as other litigation of a non-material nature in the ordinary course of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2022, as filed with the SEC on March 15, 2023.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have been no material changes in the Company's risk factors from those disclosed in Part I, Item 1A of the Company's Annual Report on Form 10-K for the year ended December 31, 2022, as filed with the SEC on March 15, 2023, except for the addition of the following risk factor:</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Recent events affecting the financial services industry could have an adverse impact on the Company's business operations, financial condition, and results of operations.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closures of certain regional banks have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working capital needs, and create additional market and economic uncertainty.</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Although we do not have any funds in any of the banks that have been placed into receivership to date, we cannot guarantee that the banks or other financial institutions that hold our funds will not experience similar issues. These events have resulted in market disruption and volatility and could lead to greater instability in the credit and financial markets and a deterioration in confidence in economic conditions. Our operations may be adversely affected by any such economic downturn, liquidity shortages, volatile business environments, or unpredictable market conditions. These events could also make any necessary debt or equity financing more difficult and/or costly.</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future effect of these events on the financial services industry and broader economy are unknown and difficult to predict but could include failures of other financial institutions to which we or our customers, vendors, or other counterparties face direct or more significant exposure. Any such developments could adversely impact our results of operation and financial position. There may be other risks we have not yet identified. We are working to identify any potential impact of these events on our business in order to minimize any disruptions to our operations. However, we cannot guarantee we will be able to avoid any negative consequences relating to these recent developments or any future related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Plans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fiscal quarter ended July 2, 2023, no director or Section 16 officer adopted or terminated any Rule 10b5-1 trading arrangements or non-Rule 10b5-1 trading arrangements (in each case, as defined in Item 408(a) of Regulation S-K).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4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72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rPr>
            </w:pPr>
            <w:hyperlink r:id="rId43">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Empower Merger Sub II LLC and Holley Intermediate Holdings, Inc. (incorporated by reference to Exhibit 2.1 to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12"/>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Company’s Current Report on Form 8-K, filed with the SEC on March 12, 2021).</w:t>
              </w:r>
            </w:hyperlink>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Certificate of Incorporation of the Company, dated July 16, 2021 (incorporated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12"/>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Company’s Current Report on Form 8-K, filed with the SEC on July 21, 2021).</w:t>
              </w:r>
            </w:hyperlink>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Bylaws of the Company, dated July 16, 2021 (incorporated by reference to Exhibit 3.2 of the Company’s Current Report on</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Form 8-K, filed with the SEC on July 21, 2021).</w:t>
              </w:r>
            </w:hyperlink>
          </w:p>
        </w:tc>
        <w:tc>
          <w:tcPr>
            <w:tcW w:w="59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Amendment No. 2 to Credit Agreement, dated as of April 20, 2023, by and among Holley Inc. and certain of its</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subsidiaries, as the Borrower, Wells Fargo Bank National Association, as Administrative Agent, and other lender parties</w:t>
            </w: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thereto.</w:t>
            </w:r>
          </w:p>
        </w:tc>
        <w:tc>
          <w:tcPr>
            <w:tcW w:w="91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12"/>
          </w:tcPr>
          <w:p>
            <w:pPr>
              <w:spacing w:after="0" w:line="182" w:lineRule="exact"/>
              <w:rPr>
                <w:sz w:val="20"/>
                <w:szCs w:val="20"/>
                <w:color w:val="auto"/>
              </w:rPr>
            </w:pPr>
            <w:r>
              <w:rPr>
                <w:rFonts w:ascii="Arial" w:cs="Arial" w:eastAsia="Arial" w:hAnsi="Arial"/>
                <w:sz w:val="18"/>
                <w:szCs w:val="18"/>
                <w:color w:val="0000EE"/>
              </w:rPr>
              <w:t>#Employment Agreement, dated May 13, 2023, by and between Holley Inc. and Matthew Stevenson.</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2" w:lineRule="exact"/>
              <w:rPr>
                <w:sz w:val="20"/>
                <w:szCs w:val="20"/>
                <w:color w:val="auto"/>
              </w:rPr>
            </w:pPr>
            <w:r>
              <w:rPr>
                <w:rFonts w:ascii="Arial" w:cs="Arial" w:eastAsia="Arial" w:hAnsi="Arial"/>
                <w:sz w:val="18"/>
                <w:szCs w:val="18"/>
                <w:color w:val="auto"/>
              </w:rPr>
              <w:t>10.3</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#Inducement Award Restricted Stock Unit Award Agreement (incorporated by reference to Exhibit 99.1 of the Company’s</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12"/>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Registration Statement on Form S-8 (File No. 333-272436) filed with the SEC on June 6, 2023).</w:t>
              </w:r>
            </w:hyperlink>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#Inducement Award Performance-Based Restricted Stock Unit Award Agreement (incorporated by reference to Exhibit</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12"/>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99.</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of the Company’s Registration Statement on Form S-8 (File No. 333-272436) filed with the SEC on June 6, 2023).</w:t>
              </w:r>
            </w:hyperlink>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Rules 13a-14(a) and 15d-14(a) of the Exchange Act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1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2" w:lineRule="exact"/>
              <w:rPr>
                <w:sz w:val="20"/>
                <w:szCs w:val="20"/>
                <w:color w:val="auto"/>
              </w:rPr>
            </w:pPr>
            <w:r>
              <w:rPr>
                <w:rFonts w:ascii="Arial" w:cs="Arial" w:eastAsia="Arial" w:hAnsi="Arial"/>
                <w:sz w:val="18"/>
                <w:szCs w:val="18"/>
                <w:color w:val="auto"/>
              </w:rPr>
              <w:t>32.1</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5"/>
                <w:szCs w:val="15"/>
                <w:color w:val="auto"/>
              </w:rPr>
            </w:pPr>
          </w:p>
        </w:tc>
        <w:tc>
          <w:tcPr>
            <w:tcW w:w="470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gridSpan w:val="12"/>
          </w:tcPr>
          <w:p>
            <w:pPr>
              <w:spacing w:after="0" w:line="197"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7"/>
                <w:szCs w:val="17"/>
                <w:color w:val="auto"/>
              </w:rPr>
            </w:pPr>
          </w:p>
        </w:tc>
        <w:tc>
          <w:tcPr>
            <w:tcW w:w="974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5"/>
        </w:trPr>
        <w:tc>
          <w:tcPr>
            <w:tcW w:w="14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92"/>
        <w:spacing w:after="0"/>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18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 Indicates management contract or compensatory plan or arrangement.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5080</wp:posOffset>
            </wp:positionV>
            <wp:extent cx="2854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Jesse Weaver</w:t>
      </w:r>
    </w:p>
    <w:p>
      <w:pPr>
        <w:ind w:left="6740"/>
        <w:spacing w:after="0"/>
        <w:rPr>
          <w:sz w:val="20"/>
          <w:szCs w:val="20"/>
          <w:color w:val="auto"/>
        </w:rPr>
      </w:pPr>
      <w:r>
        <w:rPr>
          <w:rFonts w:ascii="Arial" w:cs="Arial" w:eastAsia="Arial" w:hAnsi="Arial"/>
          <w:sz w:val="18"/>
          <w:szCs w:val="18"/>
          <w:color w:val="auto"/>
        </w:rPr>
        <w:t>Chief Financial Officer (Duly Authorized Officer)</w:t>
      </w:r>
    </w:p>
    <w:p>
      <w:pPr>
        <w:spacing w:after="0" w:line="18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August 10,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3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AMENDMENT NO. 3, dated as of May 26, 2023 (this “</w:t>
      </w:r>
      <w:r>
        <w:rPr>
          <w:rFonts w:ascii="Arial" w:cs="Arial" w:eastAsia="Arial" w:hAnsi="Arial"/>
          <w:sz w:val="18"/>
          <w:szCs w:val="18"/>
          <w:u w:val="single" w:color="auto"/>
          <w:color w:val="auto"/>
        </w:rPr>
        <w:t>Amendment No. 3</w:t>
      </w:r>
      <w:r>
        <w:rPr>
          <w:rFonts w:ascii="Arial" w:cs="Arial" w:eastAsia="Arial" w:hAnsi="Arial"/>
          <w:sz w:val="18"/>
          <w:szCs w:val="18"/>
          <w:color w:val="auto"/>
        </w:rPr>
        <w:t>”), to the Credit Agreement dated as of November 18, 2021 (as amended, supplemented, amended and restated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HOLLEY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WELLS FARGO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L/C Issuers and Swing Line Lender party thereto and the Lenders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8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Section 10.01 of the Credit Agreement permits the Borrower and the Required Revolving Credit Lenders to amend or modify (i) any condition precedent set forth in Section 4.02 of the Credit Agreement as it pertains to any Revolving Credit Loan and/or (ii) Section 7.11 to the Credit Agreement (and any defined term used in Section 7.11 of the Credit Agreement, but solely as it relates to use in such Section);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Borrower has requested that, subject to the terms and conditions of this Amendment, the Administrative Agent and Lenders constituting the Required Revolving Credit Lenders agree to amend the Credit Agreement as set forth herein;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Borrower, the other Loan Parties, the Administrative Agent and the Lenders constituting the Required Revolving Credit Lenders under the Credit Agreement on the Amendment No. 3 Effective Date (as defined below) are willing to agree to amend the Credit Agreement as more fully set forth herein, subject to the terms and conditions specified herein;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Wells Fargo Securities will act as the sole lead arranger and sole bookrunner (in such capacity, the “</w:t>
      </w:r>
      <w:r>
        <w:rPr>
          <w:rFonts w:ascii="Arial" w:cs="Arial" w:eastAsia="Arial" w:hAnsi="Arial"/>
          <w:sz w:val="18"/>
          <w:szCs w:val="18"/>
          <w:u w:val="single" w:color="auto"/>
          <w:color w:val="auto"/>
        </w:rPr>
        <w:t>Amendment No. 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Arranger</w:t>
      </w:r>
      <w:r>
        <w:rPr>
          <w:rFonts w:ascii="Arial" w:cs="Arial" w:eastAsia="Arial" w:hAnsi="Arial"/>
          <w:sz w:val="18"/>
          <w:szCs w:val="18"/>
          <w:color w:val="auto"/>
        </w:rPr>
        <w:t>”) for this Amendment No. 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mutual agreements, provisions and covenants contained herein,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25" w:lineRule="exact"/>
        <w:rPr>
          <w:sz w:val="20"/>
          <w:szCs w:val="20"/>
          <w:color w:val="auto"/>
        </w:rPr>
      </w:pPr>
    </w:p>
    <w:p>
      <w:pPr>
        <w:jc w:val="both"/>
        <w:ind w:right="160" w:firstLine="1296"/>
        <w:spacing w:after="0" w:line="26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herein (including in the recitals hereto) and not otherwise defined herein shall have the meanings assigned to such terms in the Credit Agreement. The rules of construction specified in Section 1.02 of the Credit Agreement also apply to this Amendment.</w:t>
      </w:r>
    </w:p>
    <w:p>
      <w:pPr>
        <w:spacing w:after="0" w:line="184"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Amendment of Credit Agreement.</w:t>
      </w:r>
      <w:r>
        <w:rPr>
          <w:rFonts w:ascii="Arial" w:cs="Arial" w:eastAsia="Arial" w:hAnsi="Arial"/>
          <w:sz w:val="18"/>
          <w:szCs w:val="18"/>
          <w:color w:val="auto"/>
        </w:rPr>
        <w:t xml:space="preserve"> Effective as of the Amendment No. 3 Effective Date, the Credit Agreement is hereby amended as follows:</w:t>
      </w:r>
    </w:p>
    <w:p>
      <w:pPr>
        <w:spacing w:after="0" w:line="17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defined terms are added in alphabetical order to Section 1.01 of the Credit Agreement: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auto"/>
        </w:rPr>
        <w:t>“Amendment No. 3</w:t>
      </w:r>
      <w:r>
        <w:rPr>
          <w:rFonts w:ascii="Arial" w:cs="Arial" w:eastAsia="Arial" w:hAnsi="Arial"/>
          <w:sz w:val="18"/>
          <w:szCs w:val="18"/>
          <w:color w:val="auto"/>
        </w:rPr>
        <w:t>” means that certain Amendment No. 3 to this Agreement, dated as of the Amendment No. 3 Effective Date, by and among the Loan Parties, the Administrative Agent,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firstLine="1296"/>
        <w:spacing w:after="0" w:line="277" w:lineRule="auto"/>
        <w:rPr>
          <w:sz w:val="20"/>
          <w:szCs w:val="20"/>
          <w:color w:val="auto"/>
        </w:rPr>
      </w:pPr>
      <w:r>
        <w:rPr>
          <w:rFonts w:ascii="Arial" w:cs="Arial" w:eastAsia="Arial" w:hAnsi="Arial"/>
          <w:sz w:val="18"/>
          <w:szCs w:val="18"/>
          <w:u w:val="single" w:color="auto"/>
          <w:color w:val="auto"/>
        </w:rPr>
        <w:t>“Amendment No. 3 Arranger</w:t>
      </w:r>
      <w:r>
        <w:rPr>
          <w:rFonts w:ascii="Arial" w:cs="Arial" w:eastAsia="Arial" w:hAnsi="Arial"/>
          <w:sz w:val="18"/>
          <w:szCs w:val="18"/>
          <w:color w:val="auto"/>
        </w:rPr>
        <w:t>” means Wells Fargo Securities, LLC, in its capacity as sole lead arranger and sole bookrunner in respect of Amendment No. 3.</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has the meaning set forth in Amendment No. 3. For the avoidance of doubt, the Amendment No. 3 Effective Date is May 25, 2023.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“Phase I Environmental Site Assessment</w:t>
      </w:r>
      <w:r>
        <w:rPr>
          <w:rFonts w:ascii="Arial" w:cs="Arial" w:eastAsia="Arial" w:hAnsi="Arial"/>
          <w:sz w:val="16"/>
          <w:szCs w:val="16"/>
          <w:color w:val="auto"/>
        </w:rPr>
        <w:t>” means an environmental property assessment pursuant to ASTM E1527-21 (or then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standards.</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auto"/>
        </w:rPr>
        <w:t>“Phase II Environmental Site Assessment</w:t>
      </w:r>
      <w:r>
        <w:rPr>
          <w:rFonts w:ascii="Arial" w:cs="Arial" w:eastAsia="Arial" w:hAnsi="Arial"/>
          <w:sz w:val="18"/>
          <w:szCs w:val="18"/>
          <w:color w:val="auto"/>
        </w:rPr>
        <w:t>” means a subsurface investigation of soil, soil gas and/or groundwater to identify the presence of Hazardous Materials.</w:t>
      </w:r>
    </w:p>
    <w:p>
      <w:pPr>
        <w:spacing w:after="0" w:line="170" w:lineRule="exact"/>
        <w:rPr>
          <w:sz w:val="20"/>
          <w:szCs w:val="20"/>
          <w:color w:val="auto"/>
        </w:rPr>
      </w:pPr>
    </w:p>
    <w:p>
      <w:pPr>
        <w:ind w:left="1700" w:hanging="396"/>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to:</w:t>
      </w:r>
    </w:p>
    <w:p>
      <w:pPr>
        <w:spacing w:after="0" w:line="225" w:lineRule="exact"/>
        <w:rPr>
          <w:rFonts w:ascii="Arial" w:cs="Arial" w:eastAsia="Arial" w:hAnsi="Arial"/>
          <w:sz w:val="18"/>
          <w:szCs w:val="18"/>
          <w:color w:val="auto"/>
        </w:rPr>
      </w:pPr>
    </w:p>
    <w:p>
      <w:pPr>
        <w:ind w:left="660" w:right="20" w:firstLine="1292"/>
        <w:spacing w:after="0" w:line="263" w:lineRule="auto"/>
        <w:tabs>
          <w:tab w:leader="none" w:pos="2306" w:val="left"/>
        </w:tabs>
        <w:numPr>
          <w:ilvl w:val="2"/>
          <w:numId w:val="23"/>
        </w:numPr>
        <w:rPr>
          <w:rFonts w:ascii="Arial" w:cs="Arial" w:eastAsia="Arial" w:hAnsi="Arial"/>
          <w:sz w:val="18"/>
          <w:szCs w:val="18"/>
          <w:color w:val="auto"/>
        </w:rPr>
      </w:pPr>
      <w:r>
        <w:rPr>
          <w:rFonts w:ascii="Arial" w:cs="Arial" w:eastAsia="Arial" w:hAnsi="Arial"/>
          <w:sz w:val="18"/>
          <w:szCs w:val="18"/>
          <w:color w:val="auto"/>
        </w:rPr>
        <w:t>With respect to the definition of “Anti-Cash Hoarding Test Date”, (x) replace the reference to “calendar month” with “fiscal month”, (y) replace the reference to “February 28, 2023” with “May 28, 2023” and (z) replace each reference to “Amendment No. 1 Effective Date” with “Amendment No. 3 Effective Date”;</w:t>
      </w:r>
    </w:p>
    <w:p>
      <w:pPr>
        <w:spacing w:after="0" w:line="183" w:lineRule="exact"/>
        <w:rPr>
          <w:rFonts w:ascii="Arial" w:cs="Arial" w:eastAsia="Arial" w:hAnsi="Arial"/>
          <w:sz w:val="18"/>
          <w:szCs w:val="18"/>
          <w:color w:val="auto"/>
        </w:rPr>
      </w:pPr>
    </w:p>
    <w:p>
      <w:pPr>
        <w:ind w:left="660" w:right="840" w:firstLine="1292"/>
        <w:spacing w:after="0" w:line="277" w:lineRule="auto"/>
        <w:tabs>
          <w:tab w:leader="none" w:pos="2356" w:val="left"/>
        </w:tabs>
        <w:numPr>
          <w:ilvl w:val="2"/>
          <w:numId w:val="23"/>
        </w:numPr>
        <w:rPr>
          <w:rFonts w:ascii="Arial" w:cs="Arial" w:eastAsia="Arial" w:hAnsi="Arial"/>
          <w:sz w:val="18"/>
          <w:szCs w:val="18"/>
          <w:color w:val="auto"/>
        </w:rPr>
      </w:pPr>
      <w:r>
        <w:rPr>
          <w:rFonts w:ascii="Arial" w:cs="Arial" w:eastAsia="Arial" w:hAnsi="Arial"/>
          <w:sz w:val="18"/>
          <w:szCs w:val="18"/>
          <w:color w:val="auto"/>
        </w:rPr>
        <w:t>Add a new clause (iv) to the definition of “Lead Arranger” as follows: “(iv) in respect of Amendment No. 3, the Amendment No. 3 Arranger”;</w:t>
      </w:r>
    </w:p>
    <w:p>
      <w:pPr>
        <w:spacing w:after="0" w:line="170" w:lineRule="exact"/>
        <w:rPr>
          <w:rFonts w:ascii="Arial" w:cs="Arial" w:eastAsia="Arial" w:hAnsi="Arial"/>
          <w:sz w:val="18"/>
          <w:szCs w:val="18"/>
          <w:color w:val="auto"/>
        </w:rPr>
      </w:pPr>
    </w:p>
    <w:p>
      <w:pPr>
        <w:ind w:left="660" w:right="40" w:firstLine="1292"/>
        <w:spacing w:after="0" w:line="342" w:lineRule="auto"/>
        <w:tabs>
          <w:tab w:leader="none" w:pos="2406" w:val="left"/>
        </w:tabs>
        <w:numPr>
          <w:ilvl w:val="2"/>
          <w:numId w:val="23"/>
        </w:numPr>
        <w:rPr>
          <w:rFonts w:ascii="Arial" w:cs="Arial" w:eastAsia="Arial" w:hAnsi="Arial"/>
          <w:sz w:val="16"/>
          <w:szCs w:val="16"/>
          <w:color w:val="auto"/>
        </w:rPr>
      </w:pPr>
      <w:r>
        <w:rPr>
          <w:rFonts w:ascii="Arial" w:cs="Arial" w:eastAsia="Arial" w:hAnsi="Arial"/>
          <w:sz w:val="16"/>
          <w:szCs w:val="16"/>
          <w:color w:val="auto"/>
        </w:rPr>
        <w:t>With respect to the definition of “Liquidity”, after the reference to “Unrestricted Cash”, add “as of the last day of the most recently ended fiscal month for which an Anti-Cash Hoarding Certificate has been or is required to be delivered pursuant to Section 7.11(f)(vi)”</w:t>
      </w:r>
    </w:p>
    <w:p>
      <w:pPr>
        <w:spacing w:after="0" w:line="123" w:lineRule="exact"/>
        <w:rPr>
          <w:rFonts w:ascii="Arial" w:cs="Arial" w:eastAsia="Arial" w:hAnsi="Arial"/>
          <w:sz w:val="16"/>
          <w:szCs w:val="16"/>
          <w:color w:val="auto"/>
        </w:rPr>
      </w:pPr>
    </w:p>
    <w:p>
      <w:pPr>
        <w:ind w:left="2400" w:hanging="448"/>
        <w:spacing w:after="0"/>
        <w:tabs>
          <w:tab w:leader="none" w:pos="2400" w:val="left"/>
        </w:tabs>
        <w:numPr>
          <w:ilvl w:val="2"/>
          <w:numId w:val="23"/>
        </w:numPr>
        <w:rPr>
          <w:rFonts w:ascii="Arial" w:cs="Arial" w:eastAsia="Arial" w:hAnsi="Arial"/>
          <w:sz w:val="17"/>
          <w:szCs w:val="17"/>
          <w:color w:val="auto"/>
        </w:rPr>
      </w:pPr>
      <w:r>
        <w:rPr>
          <w:rFonts w:ascii="Arial" w:cs="Arial" w:eastAsia="Arial" w:hAnsi="Arial"/>
          <w:sz w:val="17"/>
          <w:szCs w:val="17"/>
          <w:color w:val="auto"/>
        </w:rPr>
        <w:t>With respect to the definition of “Liquidity Test Date”, (x) replace the reference to “calendar month” with “fiscal month”,</w:t>
      </w:r>
    </w:p>
    <w:p>
      <w:pPr>
        <w:spacing w:after="0" w:line="34" w:lineRule="exact"/>
        <w:rPr>
          <w:rFonts w:ascii="Arial" w:cs="Arial" w:eastAsia="Arial" w:hAnsi="Arial"/>
          <w:sz w:val="17"/>
          <w:szCs w:val="17"/>
          <w:color w:val="auto"/>
        </w:rPr>
      </w:pPr>
    </w:p>
    <w:p>
      <w:pPr>
        <w:ind w:left="660" w:right="160" w:hanging="4"/>
        <w:spacing w:after="0" w:line="260" w:lineRule="auto"/>
        <w:tabs>
          <w:tab w:leader="none" w:pos="9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replace the reference to “February 28, 2023” with “May 28, 2023” and (z) replace each reference to “Amendment No. 1 Effective Date” with “Amendment No. 3 Effective Date”;</w:t>
      </w:r>
    </w:p>
    <w:p>
      <w:pPr>
        <w:spacing w:after="0" w:line="185" w:lineRule="exact"/>
        <w:rPr>
          <w:rFonts w:ascii="Arial" w:cs="Arial" w:eastAsia="Arial" w:hAnsi="Arial"/>
          <w:sz w:val="18"/>
          <w:szCs w:val="18"/>
          <w:color w:val="auto"/>
        </w:rPr>
      </w:pPr>
    </w:p>
    <w:p>
      <w:pPr>
        <w:jc w:val="both"/>
        <w:ind w:left="660" w:right="120" w:firstLine="1292"/>
        <w:spacing w:after="0" w:line="291" w:lineRule="auto"/>
        <w:tabs>
          <w:tab w:leader="none" w:pos="2346" w:val="left"/>
        </w:tabs>
        <w:numPr>
          <w:ilvl w:val="2"/>
          <w:numId w:val="24"/>
        </w:numPr>
        <w:rPr>
          <w:rFonts w:ascii="Arial" w:cs="Arial" w:eastAsia="Arial" w:hAnsi="Arial"/>
          <w:sz w:val="16"/>
          <w:szCs w:val="16"/>
          <w:color w:val="auto"/>
        </w:rPr>
      </w:pPr>
      <w:r>
        <w:rPr>
          <w:rFonts w:ascii="Arial" w:cs="Arial" w:eastAsia="Arial" w:hAnsi="Arial"/>
          <w:sz w:val="16"/>
          <w:szCs w:val="16"/>
          <w:color w:val="auto"/>
        </w:rPr>
        <w:t>With respect to the definition of “Liquidity Test Period”, (x) in clause (i), replace each reference to “calendar month” with “fiscal month” and (y) amend and restate clause (ii) thereof in its entirety as follows: “with respect to any Liquidity Test Date pursuant to clauses</w:t>
      </w:r>
    </w:p>
    <w:p>
      <w:pPr>
        <w:ind w:left="660" w:right="320" w:hanging="4"/>
        <w:spacing w:after="0" w:line="260" w:lineRule="auto"/>
        <w:tabs>
          <w:tab w:leader="none" w:pos="9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 (iii) of the definition thereof, the twelve consecutive fiscal month period ending immediately prior to such Liquidity Test Date for which financial statements have been or are required to be delivered pursuant to Section 7.11(f)(i)”;</w:t>
      </w:r>
    </w:p>
    <w:p>
      <w:pPr>
        <w:spacing w:after="0" w:line="185" w:lineRule="exact"/>
        <w:rPr>
          <w:rFonts w:ascii="Arial" w:cs="Arial" w:eastAsia="Arial" w:hAnsi="Arial"/>
          <w:sz w:val="18"/>
          <w:szCs w:val="18"/>
          <w:color w:val="auto"/>
        </w:rPr>
      </w:pPr>
    </w:p>
    <w:p>
      <w:pPr>
        <w:ind w:left="2400" w:hanging="448"/>
        <w:spacing w:after="0"/>
        <w:tabs>
          <w:tab w:leader="none" w:pos="2400" w:val="left"/>
        </w:tabs>
        <w:numPr>
          <w:ilvl w:val="2"/>
          <w:numId w:val="25"/>
        </w:numPr>
        <w:rPr>
          <w:rFonts w:ascii="Arial" w:cs="Arial" w:eastAsia="Arial" w:hAnsi="Arial"/>
          <w:sz w:val="17"/>
          <w:szCs w:val="17"/>
          <w:color w:val="auto"/>
        </w:rPr>
      </w:pPr>
      <w:r>
        <w:rPr>
          <w:rFonts w:ascii="Arial" w:cs="Arial" w:eastAsia="Arial" w:hAnsi="Arial"/>
          <w:sz w:val="17"/>
          <w:szCs w:val="17"/>
          <w:color w:val="auto"/>
        </w:rPr>
        <w:t>With respect to the definition of “Total Leverage Ratio”, after each reference to “Test Period” add “or Liquidity Test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Period, as applicable”;</w:t>
      </w:r>
    </w:p>
    <w:p>
      <w:pPr>
        <w:spacing w:after="0" w:line="210" w:lineRule="exact"/>
        <w:rPr>
          <w:rFonts w:ascii="Arial" w:cs="Arial" w:eastAsia="Arial" w:hAnsi="Arial"/>
          <w:sz w:val="17"/>
          <w:szCs w:val="17"/>
          <w:color w:val="auto"/>
        </w:rPr>
      </w:pPr>
    </w:p>
    <w:p>
      <w:pPr>
        <w:ind w:left="1680" w:hanging="376"/>
        <w:spacing w:after="0"/>
        <w:tabs>
          <w:tab w:leader="none" w:pos="16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Section 4.02(e) is hereby amended to replace the reference to “Amendment No. 1 Effective Date” with “Amendment No. 3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180" w:firstLine="1304"/>
        <w:spacing w:after="0" w:line="279" w:lineRule="auto"/>
        <w:tabs>
          <w:tab w:leader="none" w:pos="168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Section 7.11(e) is hereby amended to add a new clause (xi) as follows: “make any change in any fiscal month; provided, however, that the Borrower may, upon written notice to the Administrative Agent, change one or more fiscal months to such other fiscal month(s) reasonably acceptable to the Administrative Agent, in which case, the Borrower and the Administrative Agent will, and are hereby authorized by the Revolving Lenders to, make any adjustments to this Agreement that are necessary to reflect such change in fiscal month(s)”;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right="500" w:firstLine="1304"/>
        <w:spacing w:after="0" w:line="277" w:lineRule="auto"/>
        <w:tabs>
          <w:tab w:leader="none" w:pos="16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Section 7.11(f)(i) is hereby amended to (i) replace each reference to “calendar month” with “fiscal month” and (ii) replace the reference to “February 28, 2023” with “May 28, 2023”;</w:t>
      </w:r>
    </w:p>
    <w:p>
      <w:pPr>
        <w:spacing w:after="0" w:line="170" w:lineRule="exact"/>
        <w:rPr>
          <w:rFonts w:ascii="Arial" w:cs="Arial" w:eastAsia="Arial" w:hAnsi="Arial"/>
          <w:sz w:val="18"/>
          <w:szCs w:val="18"/>
          <w:color w:val="auto"/>
        </w:rPr>
      </w:pPr>
    </w:p>
    <w:p>
      <w:pPr>
        <w:jc w:val="both"/>
        <w:ind w:right="60" w:firstLine="1304"/>
        <w:spacing w:after="0" w:line="291" w:lineRule="auto"/>
        <w:tabs>
          <w:tab w:leader="none" w:pos="1656" w:val="left"/>
        </w:tabs>
        <w:numPr>
          <w:ilvl w:val="1"/>
          <w:numId w:val="27"/>
        </w:numPr>
        <w:rPr>
          <w:rFonts w:ascii="Arial" w:cs="Arial" w:eastAsia="Arial" w:hAnsi="Arial"/>
          <w:sz w:val="16"/>
          <w:szCs w:val="16"/>
          <w:color w:val="auto"/>
        </w:rPr>
      </w:pPr>
      <w:r>
        <w:rPr>
          <w:rFonts w:ascii="Arial" w:cs="Arial" w:eastAsia="Arial" w:hAnsi="Arial"/>
          <w:sz w:val="16"/>
          <w:szCs w:val="16"/>
          <w:color w:val="auto"/>
        </w:rPr>
        <w:t>Section 7.11(f)(v) is hereby amended to replace the reference to “5 Business Days after each Liquidity Test Date” with “20 days (in the case of a Liquidity Test Date pursuant to clause (i) of the definition thereof) or 5 Business Days (in the case of a Liquidity Test Date pursuant to clauses</w:t>
      </w: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 (iii) of the definition thereof), in each case, after each Liquidity Test Date”; and</w:t>
      </w:r>
    </w:p>
    <w:p>
      <w:pPr>
        <w:spacing w:after="0" w:line="210" w:lineRule="exact"/>
        <w:rPr>
          <w:rFonts w:ascii="Arial" w:cs="Arial" w:eastAsia="Arial" w:hAnsi="Arial"/>
          <w:sz w:val="18"/>
          <w:szCs w:val="18"/>
          <w:color w:val="auto"/>
        </w:rPr>
      </w:pPr>
    </w:p>
    <w:p>
      <w:pPr>
        <w:ind w:right="40" w:firstLine="1304"/>
        <w:spacing w:after="0" w:line="293" w:lineRule="auto"/>
        <w:tabs>
          <w:tab w:leader="none" w:pos="1686" w:val="left"/>
        </w:tabs>
        <w:numPr>
          <w:ilvl w:val="1"/>
          <w:numId w:val="28"/>
        </w:numPr>
        <w:rPr>
          <w:rFonts w:ascii="Arial" w:cs="Arial" w:eastAsia="Arial" w:hAnsi="Arial"/>
          <w:sz w:val="16"/>
          <w:szCs w:val="16"/>
          <w:color w:val="auto"/>
        </w:rPr>
      </w:pPr>
      <w:r>
        <w:rPr>
          <w:rFonts w:ascii="Arial" w:cs="Arial" w:eastAsia="Arial" w:hAnsi="Arial"/>
          <w:sz w:val="16"/>
          <w:szCs w:val="16"/>
          <w:color w:val="auto"/>
        </w:rPr>
        <w:t>Section 7.11(g) is hereby amended to make the existing language clause (i) and add a new clause (ii) as follows: “Promptly (and, in any event within 60 days, or such longer time as may be approved by the Administrative Agent in its sole and reasonable discretion) upon request by the Administrative Agent (so long as, at such time (i) any Revolving Credit Loans are outstanding and (ii) the Total Leverage Ratio for the most recently ended Test Period is equal to or greater than the Total Leverage Ratio that is 0.75:1.00 below the maximum Total Leverage Ratio set forth in Section 7.11(a) for such Test Period), deliver to the Administrative Agent a Phase II Environmental Site Assessment (and, if necessary, an updated Phase I Environmental Site Assessment) with respect to the Headquarters and Manufacturing Property in form and substance reasonably satisfactory to the Administrative Agent.”</w:t>
      </w:r>
    </w:p>
    <w:p>
      <w:pPr>
        <w:spacing w:after="0" w:line="164" w:lineRule="exact"/>
        <w:rPr>
          <w:sz w:val="20"/>
          <w:szCs w:val="20"/>
          <w:color w:val="auto"/>
        </w:rPr>
      </w:pPr>
    </w:p>
    <w:p>
      <w:pPr>
        <w:jc w:val="both"/>
        <w:ind w:right="280" w:firstLine="1296"/>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Amendment Effectiveness.</w:t>
      </w:r>
      <w:r>
        <w:rPr>
          <w:rFonts w:ascii="Arial" w:cs="Arial" w:eastAsia="Arial" w:hAnsi="Arial"/>
          <w:sz w:val="18"/>
          <w:szCs w:val="18"/>
          <w:color w:val="auto"/>
        </w:rPr>
        <w:t xml:space="preserve"> Section 1.02 of this Amendment No. 3 shall become effective as of the date hereof (the “</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when, and only when, each of the following conditions have been satisfied (or waived by the Administrative Agent and the Required Revolving Credit Lenders):</w:t>
      </w:r>
    </w:p>
    <w:p>
      <w:pPr>
        <w:spacing w:after="0" w:line="184" w:lineRule="exact"/>
        <w:rPr>
          <w:sz w:val="20"/>
          <w:szCs w:val="20"/>
          <w:color w:val="auto"/>
        </w:rPr>
      </w:pPr>
    </w:p>
    <w:p>
      <w:pPr>
        <w:ind w:right="160" w:firstLine="1304"/>
        <w:spacing w:after="0" w:line="263" w:lineRule="auto"/>
        <w:tabs>
          <w:tab w:leader="none" w:pos="1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Administrative Agent shall have received duly executed counterparts of this Amendment No. 3 from (i) the Borrower, (ii) the other Loan Parties, (iii) Lenders constituting the Required Revolving Credit Lenders under the Credit Agreement on the Amendment No. 3 Effective Date and (iv) the Administrative Agent.</w:t>
      </w:r>
    </w:p>
    <w:p>
      <w:pPr>
        <w:spacing w:after="0" w:line="183" w:lineRule="exact"/>
        <w:rPr>
          <w:rFonts w:ascii="Arial" w:cs="Arial" w:eastAsia="Arial" w:hAnsi="Arial"/>
          <w:sz w:val="18"/>
          <w:szCs w:val="18"/>
          <w:color w:val="auto"/>
        </w:rPr>
      </w:pPr>
    </w:p>
    <w:p>
      <w:pPr>
        <w:ind w:firstLine="1304"/>
        <w:spacing w:after="0" w:line="257" w:lineRule="auto"/>
        <w:tabs>
          <w:tab w:leader="none" w:pos="16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and each other Loan Party contained in Section 2.01 hereof shall be true and correct in all material respects on and as of the Amendment No. 3 Effective Date; provided that, in each case, to the extent that any such representations and warranties specifically refer to an earlier date, they shall be true and correct in all material respects as of such earlier date; provided, further</w:t>
      </w:r>
      <w:r>
        <w:rPr>
          <w:rFonts w:ascii="Arial" w:cs="Arial" w:eastAsia="Arial" w:hAnsi="Arial"/>
          <w:sz w:val="18"/>
          <w:szCs w:val="18"/>
          <w:u w:val="single" w:color="auto"/>
          <w:color w:val="auto"/>
        </w:rPr>
        <w:t>,</w:t>
      </w:r>
      <w:r>
        <w:rPr>
          <w:rFonts w:ascii="Arial" w:cs="Arial" w:eastAsia="Arial" w:hAnsi="Arial"/>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7" w:lineRule="exact"/>
        <w:rPr>
          <w:rFonts w:ascii="Arial" w:cs="Arial" w:eastAsia="Arial" w:hAnsi="Arial"/>
          <w:sz w:val="18"/>
          <w:szCs w:val="18"/>
          <w:color w:val="auto"/>
        </w:rPr>
      </w:pPr>
    </w:p>
    <w:p>
      <w:pPr>
        <w:ind w:right="120" w:firstLine="1304"/>
        <w:spacing w:after="0" w:line="277" w:lineRule="auto"/>
        <w:tabs>
          <w:tab w:leader="none" w:pos="1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giving effect to this Amendment No. 3 and the transactions contemplated hereby on the Amendment No. 3 Effective Date, no Default or Event of Default shall have occurred and be continuing.</w:t>
      </w:r>
    </w:p>
    <w:p>
      <w:pPr>
        <w:spacing w:after="0" w:line="170" w:lineRule="exact"/>
        <w:rPr>
          <w:rFonts w:ascii="Arial" w:cs="Arial" w:eastAsia="Arial" w:hAnsi="Arial"/>
          <w:sz w:val="18"/>
          <w:szCs w:val="18"/>
          <w:color w:val="auto"/>
        </w:rPr>
      </w:pPr>
    </w:p>
    <w:p>
      <w:pPr>
        <w:ind w:right="500" w:firstLine="1304"/>
        <w:spacing w:after="0" w:line="277" w:lineRule="auto"/>
        <w:tabs>
          <w:tab w:leader="none" w:pos="16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signed by a Responsible Officer of the Borrower certifying that the conditions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 1.03 are satisfied.</w:t>
      </w:r>
    </w:p>
    <w:p>
      <w:pPr>
        <w:spacing w:after="0" w:line="170" w:lineRule="exact"/>
        <w:rPr>
          <w:rFonts w:ascii="Arial" w:cs="Arial" w:eastAsia="Arial" w:hAnsi="Arial"/>
          <w:sz w:val="18"/>
          <w:szCs w:val="18"/>
          <w:color w:val="auto"/>
        </w:rPr>
      </w:pPr>
    </w:p>
    <w:p>
      <w:pPr>
        <w:ind w:right="220" w:firstLine="1304"/>
        <w:spacing w:after="0" w:line="259" w:lineRule="auto"/>
        <w:tabs>
          <w:tab w:leader="none" w:pos="1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Amendment No. 3 Arranger shall have received, in immediately available funds, payment or reimbursement of all reasonable costs, fees, out-of-pocket expenses, compensation and other amounts then due and payable in connection with this Amendment, including, to the extent invoiced at least three (3) Business Days prior to the Amendment No. 3 Effective Date, the reasonable fees, charges and disbursements of counsel for the Administrative Agent and the Amendment No. 3 Arranger.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For purposes of determining whether the Amendment No. 3 Effective Date has occurred, each Lender that has executed this Amendment No. 3 shall be deemed to have consented to, approved or accepted, or to be satisfied with, each document or other matter required hereunder to be consented to or approved by or acceptable or satisfactory to the Administrative Agent or such Lender, as the case may be, unless such Lender has notified the Administrative Agent of any disagreement prior to the Amendment No. 3 Effective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 xml:space="preserve">Representations and Warranties. </w:t>
      </w:r>
      <w:r>
        <w:rPr>
          <w:rFonts w:ascii="Arial" w:cs="Arial" w:eastAsia="Arial" w:hAnsi="Arial"/>
          <w:sz w:val="16"/>
          <w:szCs w:val="16"/>
          <w:color w:val="auto"/>
        </w:rPr>
        <w:t>The Borrower and each other Loan Party hereby represent and warrant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the Amendment No. 3 Arranger and each Lender party hereto that:</w:t>
      </w:r>
    </w:p>
    <w:p>
      <w:pPr>
        <w:spacing w:after="0" w:line="211" w:lineRule="exact"/>
        <w:rPr>
          <w:sz w:val="20"/>
          <w:szCs w:val="20"/>
          <w:color w:val="auto"/>
        </w:rPr>
      </w:pPr>
    </w:p>
    <w:p>
      <w:pPr>
        <w:ind w:right="20" w:firstLine="1304"/>
        <w:spacing w:after="0" w:line="279" w:lineRule="auto"/>
        <w:tabs>
          <w:tab w:leader="none" w:pos="1676"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Each Loan Party (x) is a Person duly incorporated, organized or formed, and validly existing and, where applicable, in good standing under the Laws of the jurisdiction of its incorporation or organization, and (y) has all requisite power and authority to execute, deliver and perform its obligations under Amendment No. 3; except in each case referred to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(other than with respect to the Borrower), to the extent that failure to do so could not, individually or in the aggregate, reasonably be expected to have a Material Adverse Effect.</w:t>
      </w:r>
    </w:p>
    <w:p>
      <w:pPr>
        <w:spacing w:after="0" w:line="171" w:lineRule="exact"/>
        <w:rPr>
          <w:rFonts w:ascii="Arial" w:cs="Arial" w:eastAsia="Arial" w:hAnsi="Arial"/>
          <w:sz w:val="17"/>
          <w:szCs w:val="17"/>
          <w:color w:val="auto"/>
        </w:rPr>
      </w:pPr>
    </w:p>
    <w:p>
      <w:pPr>
        <w:ind w:right="160" w:firstLine="1304"/>
        <w:spacing w:after="0" w:line="291" w:lineRule="auto"/>
        <w:tabs>
          <w:tab w:leader="none" w:pos="1686"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execution, delivery and performance by each Loan Party of this Amendment No. 3, (w) have been duly authorized by all necessary corporate or other organizational action and (x) do not and will not (i) contravene the terms of any of such Person’s Organization Documents or</w:t>
      </w:r>
    </w:p>
    <w:p>
      <w:pPr>
        <w:ind w:right="40" w:firstLine="8"/>
        <w:spacing w:after="0" w:line="253"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conflict 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(y) result in the creation of any Lien or (z) violate any material Law; except (in the case of </w:t>
      </w:r>
      <w:r>
        <w:rPr>
          <w:rFonts w:ascii="Arial" w:cs="Arial" w:eastAsia="Arial" w:hAnsi="Arial"/>
          <w:sz w:val="18"/>
          <w:szCs w:val="18"/>
          <w:u w:val="single" w:color="auto"/>
          <w:color w:val="auto"/>
        </w:rPr>
        <w:t>clause (x)(ii)</w:t>
      </w:r>
      <w:r>
        <w:rPr>
          <w:rFonts w:ascii="Arial" w:cs="Arial" w:eastAsia="Arial" w:hAnsi="Arial"/>
          <w:sz w:val="18"/>
          <w:szCs w:val="18"/>
          <w:color w:val="auto"/>
        </w:rPr>
        <w:t>), to the extent that such conflict, breach, contravention, payment or violation could not, individually or in the aggregate, reasonably be expected to have a Material Adverse Effect.</w:t>
      </w:r>
    </w:p>
    <w:p>
      <w:pPr>
        <w:spacing w:after="0" w:line="190" w:lineRule="exact"/>
        <w:rPr>
          <w:rFonts w:ascii="Arial" w:cs="Arial" w:eastAsia="Arial" w:hAnsi="Arial"/>
          <w:sz w:val="18"/>
          <w:szCs w:val="18"/>
          <w:color w:val="auto"/>
        </w:rPr>
      </w:pPr>
    </w:p>
    <w:p>
      <w:pPr>
        <w:ind w:right="140" w:firstLine="1304"/>
        <w:spacing w:after="0" w:line="273" w:lineRule="auto"/>
        <w:tabs>
          <w:tab w:leader="none" w:pos="1676"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 approval, consent, exemption, authorization, or other action by, or notice to, or filing with, any Governmental Authority or any other Person is necessary or required in connection with (x) the execution, delivery or performance by, or enforcement against, any Loan Party of this Amendment No. 3, or (y) the exercise by the Administrative Agent or any Lender party hereto of its rights under this Amendment No. 3, except for (i) the approvals, consents, exemptions, authorizations, actions, notices and filings which have been duly obtained, taken, given or made and are in full force and effect and (ii) those approvals, consents, exemptions, authorizations or other actions, notices or filings, the failure of which to obtain or make could not, individually or in the aggregate, reasonably be expected to have a Material Adverse Effect.</w:t>
      </w:r>
    </w:p>
    <w:p>
      <w:pPr>
        <w:spacing w:after="0" w:line="177" w:lineRule="exact"/>
        <w:rPr>
          <w:rFonts w:ascii="Arial" w:cs="Arial" w:eastAsia="Arial" w:hAnsi="Arial"/>
          <w:sz w:val="17"/>
          <w:szCs w:val="17"/>
          <w:color w:val="auto"/>
        </w:rPr>
      </w:pPr>
    </w:p>
    <w:p>
      <w:pPr>
        <w:ind w:right="180" w:firstLine="1304"/>
        <w:spacing w:after="0" w:line="286" w:lineRule="auto"/>
        <w:tabs>
          <w:tab w:leader="none" w:pos="16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This Amendment No. 3 has been duly executed and delivered by each Loan Party that is party hereto. This Amendment No. 3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165" w:lineRule="exact"/>
        <w:rPr>
          <w:rFonts w:ascii="Arial" w:cs="Arial" w:eastAsia="Arial" w:hAnsi="Arial"/>
          <w:sz w:val="17"/>
          <w:szCs w:val="17"/>
          <w:color w:val="auto"/>
        </w:rPr>
      </w:pPr>
    </w:p>
    <w:p>
      <w:pPr>
        <w:ind w:left="1680" w:hanging="376"/>
        <w:spacing w:after="0"/>
        <w:tabs>
          <w:tab w:leader="none" w:pos="1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On the Amendment No. 3 Effective Date, the Borrower and its Subsidiaries, on a consolidated basis, are Solvent.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ind w:firstLine="1304"/>
        <w:spacing w:after="0" w:line="275" w:lineRule="auto"/>
        <w:tabs>
          <w:tab w:leader="none" w:pos="16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or any other Loan Document shall be true and correct in all material respects on and as of the Amendment No. 3 Effective Date; provided that, to the extent that such representations and warranties specifically refer to an earlier date, they shall be true and correct in all material respects as of such earlier date; provided</w:t>
      </w:r>
      <w:r>
        <w:rPr>
          <w:rFonts w:ascii="Arial" w:cs="Arial" w:eastAsia="Arial" w:hAnsi="Arial"/>
          <w:sz w:val="17"/>
          <w:szCs w:val="17"/>
          <w:u w:val="single" w:color="auto"/>
          <w:color w:val="auto"/>
        </w:rPr>
        <w:t>,</w:t>
      </w:r>
      <w:r>
        <w:rPr>
          <w:rFonts w:ascii="Arial" w:cs="Arial" w:eastAsia="Arial" w:hAnsi="Arial"/>
          <w:sz w:val="17"/>
          <w:szCs w:val="17"/>
          <w:color w:val="auto"/>
        </w:rPr>
        <w:t xml:space="preserve">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176" w:lineRule="exact"/>
        <w:rPr>
          <w:rFonts w:ascii="Arial" w:cs="Arial" w:eastAsia="Arial" w:hAnsi="Arial"/>
          <w:sz w:val="17"/>
          <w:szCs w:val="17"/>
          <w:color w:val="auto"/>
        </w:rPr>
      </w:pPr>
    </w:p>
    <w:p>
      <w:pPr>
        <w:ind w:right="140" w:firstLine="1304"/>
        <w:spacing w:after="0" w:line="277" w:lineRule="auto"/>
        <w:tabs>
          <w:tab w:leader="none" w:pos="16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giving effect to this Amendment No. 3 and the transactions contemplated hereby on the relevant date, no Default or Event of Default has occurred and is continuing on the Amendment No. 3 Effective Date.</w:t>
      </w:r>
    </w:p>
    <w:p>
      <w:pPr>
        <w:spacing w:after="0" w:line="170"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xml:space="preserve"> Except as expressly set forth herein, this Amendment No. 3 shall not by implication or otherwise limit, impair, constitute a 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The parties hereto acknowledge and agree that the amendment of the Credit Agreement pursuant to this Amendment No. 3 and all other Loan Documents amended and/or executed and delivered in connection herewith shall not constitute a novation of the Credit Agreement and the other Loan Documents as in effect prior to the Amendment No. 3 Effective Date.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 circumstances. This Amendment No. 3 shall apply to and be effective only with respect to the provisions of the Credit Agreement and the other Loan Documents specifically referred to herein.</w:t>
      </w:r>
    </w:p>
    <w:p>
      <w:pPr>
        <w:spacing w:after="0" w:line="182" w:lineRule="exact"/>
        <w:rPr>
          <w:sz w:val="20"/>
          <w:szCs w:val="20"/>
          <w:color w:val="auto"/>
        </w:rPr>
      </w:pPr>
    </w:p>
    <w:p>
      <w:pPr>
        <w:ind w:right="240" w:firstLine="1304"/>
        <w:spacing w:after="0" w:line="257" w:lineRule="auto"/>
        <w:tabs>
          <w:tab w:leader="none" w:pos="16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and after the Amendment No. 3 Effective Date, each reference in the Credit Agreement to “this Agreement”, “hereunder”, “hereof”, “herein” or words of like import, and each reference to the Credit Agreement, “thereunder”, “thereof”, “therein” or words of like import in any other Loan Document, shall be deemed a reference to the Credit Agreement, as amended hereby. This Amendment No. 3 shall constitute an amendment entered into pursuant to Section 10.01 of the Credit Agreement and a “Loan Document” for all purposes of the Credit Agreement and the other Loan Documents.</w:t>
      </w:r>
    </w:p>
    <w:p>
      <w:pPr>
        <w:spacing w:after="0" w:line="184"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b w:val="1"/>
          <w:bCs w:val="1"/>
          <w:u w:val="single" w:color="auto"/>
          <w:color w:val="auto"/>
        </w:rPr>
        <w:t>Reaffirmation</w:t>
      </w:r>
      <w:r>
        <w:rPr>
          <w:rFonts w:ascii="Arial" w:cs="Arial" w:eastAsia="Arial" w:hAnsi="Arial"/>
          <w:sz w:val="16"/>
          <w:szCs w:val="16"/>
          <w:b w:val="1"/>
          <w:bCs w:val="1"/>
          <w:color w:val="auto"/>
        </w:rPr>
        <w:t>.</w:t>
      </w:r>
    </w:p>
    <w:p>
      <w:pPr>
        <w:spacing w:after="0" w:line="229" w:lineRule="exact"/>
        <w:rPr>
          <w:sz w:val="20"/>
          <w:szCs w:val="20"/>
          <w:color w:val="auto"/>
        </w:rPr>
      </w:pPr>
    </w:p>
    <w:p>
      <w:pPr>
        <w:ind w:right="60" w:firstLine="1304"/>
        <w:spacing w:after="0" w:line="272" w:lineRule="auto"/>
        <w:tabs>
          <w:tab w:leader="none" w:pos="167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After giving effect to this Amendment No. 3, (i) the Borrower reaffirms the covenants, pledges, grants of Liens and agreements or other commitments contained in each Loan Document to which it is a party, including, in each case, such covenants, pledges, grants of Liens and agreements or other commitments as in effect immediately after giving effect to this Amendment No. 3, (ii) each Guarantor reaffirms its guarantee of the Obligations and (iii) each of the Borrower and each Guarantor reaffirms each Lien granted by it to the Collateral Agent for the benefit of the Secured Parties under each of the Loan Documents to which it is a party which Liens shall continue in full force and effect during the term of the Credit Agreement as amended by this Amendment No. 3, and shall continue to secure the Obligations, in each case, on and subject to the terms and conditions set forth in the Credit Agreement, as amended by this Amendment No. 3, and the other Loan Documents.</w:t>
      </w:r>
    </w:p>
    <w:p>
      <w:pPr>
        <w:spacing w:after="0" w:line="177" w:lineRule="exact"/>
        <w:rPr>
          <w:rFonts w:ascii="Arial" w:cs="Arial" w:eastAsia="Arial" w:hAnsi="Arial"/>
          <w:sz w:val="17"/>
          <w:szCs w:val="17"/>
          <w:color w:val="auto"/>
        </w:rPr>
      </w:pPr>
    </w:p>
    <w:p>
      <w:pPr>
        <w:ind w:right="240" w:firstLine="1304"/>
        <w:spacing w:after="0" w:line="259" w:lineRule="auto"/>
        <w:tabs>
          <w:tab w:leader="none" w:pos="16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Borrower and each Guarantor hereby acknowledges and agrees that neither the modification of the Credit Agreement effected pursuant to this Amendment No. 3 nor the execution, delivery, performance or effectiveness of this Amendment No. 3 impairs the validity, effectiveness or priority of the Liens granted pursuant to any Loan Document and such Liens continue unimpaired with the same priority to secure repayment of all Obligations, whether heretofore or hereafter incurred.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ind w:right="40" w:firstLine="1304"/>
        <w:spacing w:after="0" w:line="259" w:lineRule="auto"/>
        <w:tabs>
          <w:tab w:leader="none" w:pos="16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the Borrower and each Guarantor hereby acknowledges and agrees that (A) each Loan Document to which it is a party shall continue to be in full force and effect and (B) all guarantees, pledges, grants of Liens, covenants, agreements and other commitments by such Loan Party under the Loan Documents shall continue to be in full force and effect and shall accrue to the benefit of the Secured Parties and shall not be affected, impaired or discharged hereby or by the transactions contemplated in this Amendment No. 3.</w:t>
      </w:r>
    </w:p>
    <w:p>
      <w:pPr>
        <w:spacing w:after="0" w:line="18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1" w:lineRule="exact"/>
        <w:rPr>
          <w:sz w:val="20"/>
          <w:szCs w:val="20"/>
          <w:color w:val="auto"/>
        </w:rPr>
      </w:pPr>
    </w:p>
    <w:p>
      <w:pPr>
        <w:ind w:right="40" w:firstLine="1296"/>
        <w:spacing w:after="0" w:line="26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b w:val="1"/>
          <w:bCs w:val="1"/>
          <w:u w:val="single" w:color="auto"/>
          <w:color w:val="auto"/>
        </w:rPr>
        <w:t>Governing Law; Jurisdiction; Service of Process; Waiver of Right to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This Amendment No. 3 shall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 governed by, and construed in accordance with, the law of the State of New York. </w:t>
      </w:r>
      <w:r>
        <w:rPr>
          <w:rFonts w:ascii="Arial" w:cs="Arial" w:eastAsia="Arial" w:hAnsi="Arial"/>
          <w:sz w:val="18"/>
          <w:szCs w:val="18"/>
          <w:color w:val="auto"/>
        </w:rPr>
        <w:t>The provisions of Sections 10.14 and 10.15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apply to this Amendment No. 3 to the same extent as if fully set forth herein.</w:t>
      </w:r>
    </w:p>
    <w:p>
      <w:pPr>
        <w:spacing w:after="0" w:line="180" w:lineRule="exact"/>
        <w:rPr>
          <w:sz w:val="20"/>
          <w:szCs w:val="20"/>
          <w:color w:val="auto"/>
        </w:rPr>
      </w:pPr>
    </w:p>
    <w:p>
      <w:pPr>
        <w:ind w:right="80" w:firstLine="1296"/>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Amendment No. 3 may be executed in one or more counterparts, each of which shall be deemed an original, but all of which together shall constitute one and the same instrument. Delivery by telecopier or other electronic transmission of an executed counterpart of a signature page to this Amendment No. 3 shall be effective as delivery of an original executed counterpart of this Amendment No. 3. The words “execution,” “execute”, “signed,” “signature,” and words of like import in or related to this Amendment No. 3, any document to be signed in connection with this Amendment No. 3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2"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acknowledges Section 10.04 of the Credit Agreement applies to this Amendment No. 3 and the transactions, agreements and documents contemplate hereunder and the Borrower hereby agrees to pay all reasonable out-of-pocket expenses incurred by the Administrative Agent, the Amendment No. 3 Lead Arrangers and the Lenders party hereto in connection with the preparation, execution and delivery of this Amendment No. 3 in accordance therewith.</w:t>
      </w:r>
    </w:p>
    <w:p>
      <w:pPr>
        <w:spacing w:after="0" w:line="187" w:lineRule="exact"/>
        <w:rPr>
          <w:sz w:val="20"/>
          <w:szCs w:val="20"/>
          <w:color w:val="auto"/>
        </w:rPr>
      </w:pPr>
    </w:p>
    <w:p>
      <w:pPr>
        <w:ind w:right="100" w:firstLine="129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Releases</w:t>
      </w:r>
      <w:r>
        <w:rPr>
          <w:rFonts w:ascii="Arial" w:cs="Arial" w:eastAsia="Arial" w:hAnsi="Arial"/>
          <w:sz w:val="18"/>
          <w:szCs w:val="18"/>
          <w:color w:val="auto"/>
        </w:rPr>
        <w:t>. EACH LOAN PARTY, ON ITS OWN BEHALF AND ON BEHALF OF ITS DIRECT AND INDIRECT SUBSIDIARIES AND THEIR SUCCESSORS AND ASSIGNS (COLLECTIVELY, THE “</w:t>
      </w:r>
      <w:r>
        <w:rPr>
          <w:rFonts w:ascii="Arial" w:cs="Arial" w:eastAsia="Arial" w:hAnsi="Arial"/>
          <w:sz w:val="18"/>
          <w:szCs w:val="18"/>
          <w:u w:val="single" w:color="auto"/>
          <w:color w:val="auto"/>
        </w:rPr>
        <w:t>RELEASING PARTY</w:t>
      </w:r>
      <w:r>
        <w:rPr>
          <w:rFonts w:ascii="Arial" w:cs="Arial" w:eastAsia="Arial" w:hAnsi="Arial"/>
          <w:sz w:val="18"/>
          <w:szCs w:val="18"/>
          <w:color w:val="auto"/>
        </w:rPr>
        <w:t>”), HEREBY ACKNOWLEDGES AND STIPULATES THAT AS OF THE DATE HEREOF, THE RELEASING PARTY DOES NOT HAVE ANY CLAIMS, CAUSES OF ACTION, DEMANDS OR LIABILITIES OF ANY KIND WHATSOEVER, WHETHER DIRECT OR INDIRECT, FIXED OR CONTINGENT, LIQUIDATED OR UNLIQUIDATED, DISPUTED OR UNDISPUTED, KNOWN OR UNKNOWN, AGAINST, OR ANY GROUNDS OR CAUSE FOR REDUCTION, RECHARACTERIZATION, MODIFICATION,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line="269" w:lineRule="auto"/>
        <w:rPr>
          <w:sz w:val="20"/>
          <w:szCs w:val="20"/>
          <w:color w:val="auto"/>
        </w:rPr>
      </w:pPr>
      <w:r>
        <w:rPr>
          <w:rFonts w:ascii="Arial" w:cs="Arial" w:eastAsia="Arial" w:hAnsi="Arial"/>
          <w:sz w:val="17"/>
          <w:szCs w:val="17"/>
          <w:color w:val="auto"/>
        </w:rPr>
        <w:t>AVOIDANCE, SET ASIDE OR SUBORDINATION OF THE INDEBTEDNESS, IN EACH CASE WHICH ARISE OUT OF OR ARE RELATED TO THE CREDIT AGREEMENT OR THIS AMENDMENT NO. 3 (EACH, A “</w:t>
      </w:r>
      <w:r>
        <w:rPr>
          <w:rFonts w:ascii="Arial" w:cs="Arial" w:eastAsia="Arial" w:hAnsi="Arial"/>
          <w:sz w:val="17"/>
          <w:szCs w:val="17"/>
          <w:u w:val="single" w:color="auto"/>
          <w:color w:val="auto"/>
        </w:rPr>
        <w:t>RELEASED CLAIM</w:t>
      </w:r>
      <w:r>
        <w:rPr>
          <w:rFonts w:ascii="Arial" w:cs="Arial" w:eastAsia="Arial" w:hAnsi="Arial"/>
          <w:sz w:val="17"/>
          <w:szCs w:val="17"/>
          <w:color w:val="auto"/>
        </w:rPr>
        <w:t>”) AGAINST THE ADMINISTRATIVE AGENT OR ANY LENDER OR AGAINST ANY OF THE AFFILIATES, OFFICERS, DIRECTORS, EMPLOYEES, AGENTS, ATTORNEYS, ADVISORS, OR REPRESENTATIVES OF ANY OF THE FOREGOING (EACH OF THE FOREGOING,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IN PARTIAL CONSIDERATION FOR THE AGREEMENT OF THE ADMINISTRATIVE AGENT AND THE LENDERS PARTY HERETO TO ENTER INTO THIS AGREEMENT, THE RELEASING PARTY HEREBY UNCONDITIONALLY WAIVES AND FULLY AND FOREVER RELEASES, REMISES, DISCHARGES AND HOLDS HARMLESS THE RELEASED PARTIES FROM ANY AND ALL RELEASED CLAIMS, WHICH THE RELEASING PARTY HAS OR MAY ACQUIRE IN THE FUTURE RELATING IN ANY WAY TO ANY EVENT, CIRCUMSTANCE, ACTION OR FAILURE TO ACT AT ANY TIME ON OR PRIOR TO THE DATE HEREOF, SUCH WAIVER, RELEASE AND DISCHARGE, AND AFTER HAVING CONSULTED LEGAL COUNSEL OF ITS OWN CHOOSING WITH RESPECT THERETO. THIS PARAGRAPH IS IN ADDITION TO ANY OTHER RELEASE OF ANY OF THE RELEASED PARTIES BY THE RELEASING PARTY AND SHALL NOT IN ANY WAY LIMIT ANY OTHER RELEASE, COVENANT NOT TO SUE OR WAIVER BY THE RELEASING PARTY IN FAVOR OF THE RELEASED PARTIES.</w:t>
      </w:r>
    </w:p>
    <w:p>
      <w:pPr>
        <w:spacing w:after="0" w:line="179"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this Amendment No. 3 are for purposes of reference only and shall not limit or otherwise affect the meaning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Amendment No. 3 to be duly executed and delivered by their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HOLLEY INC.,</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 Jesse L.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5715</wp:posOffset>
            </wp:positionV>
            <wp:extent cx="2632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8"/>
          <w:szCs w:val="18"/>
          <w:color w:val="auto"/>
        </w:rPr>
        <w:t>Name: Jesse L. Weaver</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HOLLEY INTERMEDIATE HOLDINGS LLC,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HOLLEY PURCHASER,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HOLLEY HIGH PERFORMANCE HOLDINGS,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HIGH PERFORMANCE INDUSTRIES,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HOLLEY PERFORMANCE PRODUCTS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DRAKE AUTOMOTIVE GROUP,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SPEEDSHOP.COM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HOT ROD BRANDS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SIMPSON SAFETY SOLUTIONS,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MSD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POWERTEQ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HAMPTON ACCEL CORP.,</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ACCEL PERFORMANCE GROUP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B&amp;M RACING &amp; PERFORMANCE PRODUCTS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128 COMBUSTION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SIMPSON PERFORMANCE PRODUCTS,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TEAM SIMPSON PARTNERS, INC.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SIMPSON PARTNERS, INC.,</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each as a Guarantor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Jesse L.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5715</wp:posOffset>
            </wp:positionV>
            <wp:extent cx="2606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 Jesse L. Weaver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278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as Administrative Agent and a Revolving Credit Lender</w:t>
      </w:r>
    </w:p>
    <w:p>
      <w:pPr>
        <w:spacing w:after="0" w:line="200" w:lineRule="exact"/>
        <w:rPr>
          <w:sz w:val="20"/>
          <w:szCs w:val="20"/>
          <w:color w:val="auto"/>
        </w:rPr>
      </w:pPr>
    </w:p>
    <w:p>
      <w:pPr>
        <w:spacing w:after="0" w:line="250"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/s/Mish Warrier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115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115695" cy="825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Mish Warrier</w:t>
      </w:r>
    </w:p>
    <w:p>
      <w:pPr>
        <w:spacing w:after="0" w:line="9" w:lineRule="exact"/>
        <w:rPr>
          <w:sz w:val="20"/>
          <w:szCs w:val="20"/>
          <w:color w:val="auto"/>
        </w:rPr>
      </w:pPr>
    </w:p>
    <w:p>
      <w:pPr>
        <w:ind w:left="3200"/>
        <w:spacing w:after="0"/>
        <w:tabs>
          <w:tab w:leader="none" w:pos="3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245110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9" w:name="page50"/>
    <w:bookmarkEnd w:id="49"/>
    <w:p>
      <w:pPr>
        <w:ind w:left="2780"/>
        <w:spacing w:after="0"/>
        <w:rPr>
          <w:sz w:val="20"/>
          <w:szCs w:val="20"/>
          <w:color w:val="auto"/>
        </w:rPr>
      </w:pPr>
      <w:r>
        <w:rPr>
          <w:rFonts w:ascii="Arial" w:cs="Arial" w:eastAsia="Arial" w:hAnsi="Arial"/>
          <w:sz w:val="16"/>
          <w:szCs w:val="16"/>
          <w:color w:val="auto"/>
        </w:rPr>
        <w:t>Cadence Bank, as a Revolving Credit Lender</w:t>
      </w:r>
    </w:p>
    <w:p>
      <w:pPr>
        <w:spacing w:after="0" w:line="24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/s/Brian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514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Brian Young</w:t>
      </w:r>
    </w:p>
    <w:p>
      <w:pPr>
        <w:spacing w:after="0" w:line="9" w:lineRule="exact"/>
        <w:rPr>
          <w:sz w:val="20"/>
          <w:szCs w:val="20"/>
          <w:color w:val="auto"/>
        </w:rPr>
      </w:pPr>
    </w:p>
    <w:p>
      <w:pPr>
        <w:jc w:val="center"/>
        <w:ind w:right="23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50" w:name="page51"/>
    <w:bookmarkEnd w:id="50"/>
    <w:p>
      <w:pPr>
        <w:ind w:left="2780"/>
        <w:spacing w:after="0"/>
        <w:rPr>
          <w:sz w:val="20"/>
          <w:szCs w:val="20"/>
          <w:color w:val="auto"/>
        </w:rPr>
      </w:pPr>
      <w:r>
        <w:rPr>
          <w:rFonts w:ascii="Arial" w:cs="Arial" w:eastAsia="Arial" w:hAnsi="Arial"/>
          <w:sz w:val="16"/>
          <w:szCs w:val="16"/>
          <w:color w:val="auto"/>
        </w:rPr>
        <w:t>PNC Bank, National Association, as a Revolving Credit Lender</w:t>
      </w:r>
    </w:p>
    <w:p>
      <w:pPr>
        <w:spacing w:after="0" w:line="24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/s/Shelly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3550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Shelly Stephenson</w:t>
      </w:r>
    </w:p>
    <w:p>
      <w:pPr>
        <w:spacing w:after="0" w:line="9" w:lineRule="exact"/>
        <w:rPr>
          <w:sz w:val="20"/>
          <w:szCs w:val="20"/>
          <w:color w:val="auto"/>
        </w:rPr>
      </w:pPr>
    </w:p>
    <w:p>
      <w:pPr>
        <w:ind w:left="3200"/>
        <w:spacing w:after="0"/>
        <w:tabs>
          <w:tab w:leader="none" w:pos="3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245110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51" w:name="page52"/>
    <w:bookmarkEnd w:id="51"/>
    <w:p>
      <w:pPr>
        <w:ind w:left="2780"/>
        <w:spacing w:after="0"/>
        <w:rPr>
          <w:sz w:val="20"/>
          <w:szCs w:val="20"/>
          <w:color w:val="auto"/>
        </w:rPr>
      </w:pPr>
      <w:r>
        <w:rPr>
          <w:rFonts w:ascii="Arial" w:cs="Arial" w:eastAsia="Arial" w:hAnsi="Arial"/>
          <w:sz w:val="16"/>
          <w:szCs w:val="16"/>
          <w:color w:val="auto"/>
        </w:rPr>
        <w:t>TRUIST BANK, as a Revolving Credit Lender</w:t>
      </w:r>
    </w:p>
    <w:p>
      <w:pPr>
        <w:spacing w:after="0" w:line="24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/s/Steve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27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Steve Curran</w:t>
      </w:r>
    </w:p>
    <w:p>
      <w:pPr>
        <w:spacing w:after="0" w:line="9" w:lineRule="exact"/>
        <w:rPr>
          <w:sz w:val="20"/>
          <w:szCs w:val="20"/>
          <w:color w:val="auto"/>
        </w:rPr>
      </w:pPr>
    </w:p>
    <w:p>
      <w:pPr>
        <w:ind w:left="3200"/>
        <w:spacing w:after="0"/>
        <w:tabs>
          <w:tab w:leader="none" w:pos="3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52" w:name="page53"/>
    <w:bookmarkEnd w:id="52"/>
    <w:p>
      <w:pPr>
        <w:ind w:left="2780"/>
        <w:spacing w:after="0"/>
        <w:rPr>
          <w:sz w:val="20"/>
          <w:szCs w:val="20"/>
          <w:color w:val="auto"/>
        </w:rPr>
      </w:pPr>
      <w:r>
        <w:rPr>
          <w:rFonts w:ascii="Arial" w:cs="Arial" w:eastAsia="Arial" w:hAnsi="Arial"/>
          <w:sz w:val="17"/>
          <w:szCs w:val="17"/>
          <w:color w:val="auto"/>
        </w:rPr>
        <w:t>BANK OF AMERICA, N.A., as a Revolving Credit Lender</w:t>
      </w:r>
    </w:p>
    <w:p>
      <w:pPr>
        <w:spacing w:after="0" w:line="237"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/s/Patrice Futrell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243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Patrice Futrell</w:t>
      </w:r>
    </w:p>
    <w:p>
      <w:pPr>
        <w:spacing w:after="0" w:line="9" w:lineRule="exact"/>
        <w:rPr>
          <w:sz w:val="20"/>
          <w:szCs w:val="20"/>
          <w:color w:val="auto"/>
        </w:rPr>
      </w:pPr>
    </w:p>
    <w:p>
      <w:pPr>
        <w:ind w:left="3200"/>
        <w:spacing w:after="0"/>
        <w:tabs>
          <w:tab w:leader="none" w:pos="3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245110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53" w:name="page54"/>
    <w:bookmarkEnd w:id="53"/>
    <w:p>
      <w:pPr>
        <w:ind w:left="2780"/>
        <w:spacing w:after="0"/>
        <w:rPr>
          <w:sz w:val="20"/>
          <w:szCs w:val="20"/>
          <w:color w:val="auto"/>
        </w:rPr>
      </w:pPr>
      <w:r>
        <w:rPr>
          <w:rFonts w:ascii="Arial" w:cs="Arial" w:eastAsia="Arial" w:hAnsi="Arial"/>
          <w:sz w:val="16"/>
          <w:szCs w:val="16"/>
          <w:color w:val="auto"/>
        </w:rPr>
        <w:t>U.S. Bank National Association, as a Revolving Credit Lender</w:t>
      </w:r>
    </w:p>
    <w:p>
      <w:pPr>
        <w:spacing w:after="0" w:line="24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/s/Jake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0661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Jake Ernst</w:t>
      </w:r>
    </w:p>
    <w:p>
      <w:pPr>
        <w:spacing w:after="0" w:line="9" w:lineRule="exact"/>
        <w:rPr>
          <w:sz w:val="20"/>
          <w:szCs w:val="20"/>
          <w:color w:val="auto"/>
        </w:rPr>
      </w:pPr>
    </w:p>
    <w:p>
      <w:pPr>
        <w:ind w:left="3200"/>
        <w:spacing w:after="0"/>
        <w:tabs>
          <w:tab w:leader="none" w:pos="3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Holley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382270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10.2</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13th, 2023, between Holley Inc.,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Matthew Stevenson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Executive and to enter into this Agreement embodying the terms of such employment,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desires to enter into this Agreement and to accept such employment, subject to the terms and provisions of this Agreement.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covenants contained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mutually acknowledged, the Company and Executive hereby agree as follows:</w:t>
      </w:r>
    </w:p>
    <w:p>
      <w:pPr>
        <w:spacing w:after="0" w:line="162" w:lineRule="exact"/>
        <w:rPr>
          <w:sz w:val="20"/>
          <w:szCs w:val="20"/>
          <w:color w:val="auto"/>
        </w:rPr>
      </w:pPr>
    </w:p>
    <w:p>
      <w:pPr>
        <w:ind w:left="960" w:hanging="314"/>
        <w:spacing w:after="0"/>
        <w:tabs>
          <w:tab w:leader="none" w:pos="9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DUTIES.</w:t>
      </w:r>
    </w:p>
    <w:p>
      <w:pPr>
        <w:spacing w:after="0" w:line="229" w:lineRule="exact"/>
        <w:rPr>
          <w:sz w:val="20"/>
          <w:szCs w:val="20"/>
          <w:color w:val="auto"/>
        </w:rPr>
      </w:pPr>
    </w:p>
    <w:p>
      <w:pPr>
        <w:ind w:right="60" w:firstLine="646"/>
        <w:spacing w:after="0" w:line="263" w:lineRule="auto"/>
        <w:tabs>
          <w:tab w:leader="none" w:pos="10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During the Employment Term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Executive shall serve as the Chief Executive Officer of the Company. In this capacity, Executive shall have the duties, authorities and responsibilities of Chief Executive Officer as shall be determined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from time to time.</w:t>
      </w:r>
    </w:p>
    <w:p>
      <w:pPr>
        <w:spacing w:after="0" w:line="183" w:lineRule="exact"/>
        <w:rPr>
          <w:rFonts w:ascii="Arial" w:cs="Arial" w:eastAsia="Arial" w:hAnsi="Arial"/>
          <w:sz w:val="18"/>
          <w:szCs w:val="18"/>
          <w:color w:val="auto"/>
        </w:rPr>
      </w:pPr>
    </w:p>
    <w:p>
      <w:pPr>
        <w:ind w:right="20" w:firstLine="646"/>
        <w:spacing w:after="0" w:line="291" w:lineRule="auto"/>
        <w:tabs>
          <w:tab w:leader="none" w:pos="1038"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Employment Term, Executive shall devote all of Executive’s business time, energy, business judgment, knowledge and skill and Executive’s best efforts to the performance of Executive’s duties with the Company. Notwithstanding the foregoing, Executive may serve on boards of directors or similar bodies of for-profit and non-profit organizations, including those that are industry-related, in each case so long as (i) such activities do not unreasonably interfere with the Executive’s performance of Executive’s responsibilities and duties or create an actual or potential conflict of interest with the Company, and (ii) so long as Executive complies with the Company’s Corporate Governance Guidelines, which require that directors must obtain approval from the Chairman of the Board and the chairperson of the Nominating and Governance Committee in advance of accepting an invitation to serve on the board of another for- profit organization, with the understanding that such approval shall not be unreasonably withheld.</w:t>
      </w:r>
    </w:p>
    <w:p>
      <w:pPr>
        <w:spacing w:after="0" w:line="166" w:lineRule="exact"/>
        <w:rPr>
          <w:rFonts w:ascii="Arial" w:cs="Arial" w:eastAsia="Arial" w:hAnsi="Arial"/>
          <w:sz w:val="16"/>
          <w:szCs w:val="16"/>
          <w:color w:val="auto"/>
        </w:rPr>
      </w:pPr>
    </w:p>
    <w:p>
      <w:pPr>
        <w:ind w:right="100" w:firstLine="646"/>
        <w:spacing w:after="0" w:line="279" w:lineRule="auto"/>
        <w:tabs>
          <w:tab w:leader="none" w:pos="10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Executive’s principal place of employment shall be in Bowling Green, Kentucky, or such other headquarters office as the Company may designate from time to time. Executive will have the opportunity to work remotely as permitted by Executive’s duties. Further Executive understands and agrees that Executive will be required to spend sufficient time at the Company’s offices and elsewhere to effectively perform Executive’s duties and responsibilities, and that Executive may be required to travel from time to time for business reasons.</w:t>
      </w:r>
    </w:p>
    <w:p>
      <w:pPr>
        <w:spacing w:after="0" w:line="171" w:lineRule="exact"/>
        <w:rPr>
          <w:rFonts w:ascii="Arial" w:cs="Arial" w:eastAsia="Arial" w:hAnsi="Arial"/>
          <w:sz w:val="17"/>
          <w:szCs w:val="17"/>
          <w:color w:val="auto"/>
        </w:rPr>
      </w:pPr>
    </w:p>
    <w:p>
      <w:pPr>
        <w:ind w:right="280" w:firstLine="646"/>
        <w:spacing w:after="0" w:line="301" w:lineRule="auto"/>
        <w:tabs>
          <w:tab w:leader="none" w:pos="103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Executive will relocate to the Bowling Green, Kentucky area (inclusive of the Nashville metropolitan area) as soon as practicable but no later than twelve (12) months after the Effective Date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The Company agrees to reimburse Executive the reasonable Relocation Expenses up to a cap in the aggregate amount of $150,000, which will be grossed up for taxes. “</w:t>
      </w:r>
      <w:r>
        <w:rPr>
          <w:rFonts w:ascii="Arial" w:cs="Arial" w:eastAsia="Arial" w:hAnsi="Arial"/>
          <w:sz w:val="16"/>
          <w:szCs w:val="16"/>
          <w:u w:val="single" w:color="auto"/>
          <w:color w:val="auto"/>
        </w:rPr>
        <w:t>Relocation Expenses</w:t>
      </w:r>
      <w:r>
        <w:rPr>
          <w:rFonts w:ascii="Arial" w:cs="Arial" w:eastAsia="Arial" w:hAnsi="Arial"/>
          <w:sz w:val="16"/>
          <w:szCs w:val="16"/>
          <w:color w:val="auto"/>
        </w:rPr>
        <w:t>” means the following costs, in a reasonable amount, incurred by Executive in connection with the relocation to the Bowling Green area: packaging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331470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25" w:right="339" w:bottom="1440" w:gutter="0" w:footer="0" w:header="0"/>
        </w:sectPr>
      </w:pPr>
    </w:p>
    <w:bookmarkStart w:id="56" w:name="page57"/>
    <w:bookmarkEnd w:id="56"/>
    <w:p>
      <w:pPr>
        <w:jc w:val="both"/>
        <w:spacing w:after="0" w:line="269" w:lineRule="auto"/>
        <w:rPr>
          <w:sz w:val="20"/>
          <w:szCs w:val="20"/>
          <w:color w:val="auto"/>
        </w:rPr>
      </w:pPr>
      <w:r>
        <w:rPr>
          <w:rFonts w:ascii="Arial" w:cs="Arial" w:eastAsia="Arial" w:hAnsi="Arial"/>
          <w:sz w:val="17"/>
          <w:szCs w:val="17"/>
          <w:color w:val="auto"/>
        </w:rPr>
        <w:t xml:space="preserve">transportation of household goods and personal belongings; expenses associated with one house- hunting trip (inclusive of airfare, hotel, rental vehicle, and meals); customary closing costs associated with the sale of an existing residence and/or purchase of a new residence; and the cost of temporary housing of up to $2,000 per month for a period not to exceed 12 months from the Effective Date. Such Relocation Expenses will be paid to Executive within a reasonable time of Executive’s request for reimbursement accompanied by receipts or other evidence of payment and any other documentation as may be required by the Company’s policies. If Executive fails to report for employment or if following employment is terminated for the commission of acts of dishonesty or immorality affecting Executive’s employment, Executive agrees to reimburse the Company for 100% of such expenses which have been paid to Executive, or for which the Company is responsible, if such termination of employment occurs within twelve months following commencement of employment, and at a rate of 50% thereof if such termination of employment occurs within twenty-four months following commencement of employment but following the initial twelve months following commencement of employment. Reimbursement of the Relocation Expenses shall be subject to all applicable payroll tax withholdings. The Company shall also pay Executive such amounts as are necessary to compensate Executive for any additional out-of-pocket federal, state, and local income taxes incurred by Executive with respect to any compensation attributed to Executive for the reimbursements provided under this </w:t>
      </w:r>
      <w:r>
        <w:rPr>
          <w:rFonts w:ascii="Arial" w:cs="Arial" w:eastAsia="Arial" w:hAnsi="Arial"/>
          <w:sz w:val="17"/>
          <w:szCs w:val="17"/>
          <w:u w:val="single" w:color="auto"/>
          <w:color w:val="auto"/>
        </w:rPr>
        <w:t>Section 1(d)</w:t>
      </w:r>
      <w:r>
        <w:rPr>
          <w:rFonts w:ascii="Arial" w:cs="Arial" w:eastAsia="Arial" w:hAnsi="Arial"/>
          <w:sz w:val="17"/>
          <w:szCs w:val="17"/>
          <w:color w:val="auto"/>
        </w:rPr>
        <w:t>.</w:t>
      </w:r>
    </w:p>
    <w:p>
      <w:pPr>
        <w:spacing w:after="0" w:line="175" w:lineRule="exact"/>
        <w:rPr>
          <w:sz w:val="20"/>
          <w:szCs w:val="20"/>
          <w:color w:val="auto"/>
        </w:rPr>
      </w:pPr>
    </w:p>
    <w:p>
      <w:pPr>
        <w:ind w:right="120" w:firstLine="646"/>
        <w:spacing w:after="0" w:line="274" w:lineRule="auto"/>
        <w:tabs>
          <w:tab w:leader="none" w:pos="963"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EMPLOYMENT TERM. </w:t>
      </w:r>
      <w:r>
        <w:rPr>
          <w:rFonts w:ascii="Arial" w:cs="Arial" w:eastAsia="Arial" w:hAnsi="Arial"/>
          <w:sz w:val="17"/>
          <w:szCs w:val="17"/>
          <w:color w:val="auto"/>
        </w:rPr>
        <w:t>The term of Executive’s employment under this Agreement shall commence on a date mutually agreed upon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Executive, but no later than July 17, 2023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shall continue for a term of one (1) year thereafter (the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w:t>
      </w:r>
      <w:r>
        <w:rPr>
          <w:rFonts w:ascii="Arial" w:cs="Arial" w:eastAsia="Arial" w:hAnsi="Arial"/>
          <w:sz w:val="17"/>
          <w:szCs w:val="17"/>
          <w:color w:val="auto"/>
        </w:rPr>
        <w:t>”); provided, however, that the term of this Agreement shall automatically be renewed for successive terms of one (1) year each (each a “</w:t>
      </w:r>
      <w:r>
        <w:rPr>
          <w:rFonts w:ascii="Arial" w:cs="Arial" w:eastAsia="Arial" w:hAnsi="Arial"/>
          <w:sz w:val="17"/>
          <w:szCs w:val="17"/>
          <w:u w:val="single" w:color="auto"/>
          <w:color w:val="auto"/>
        </w:rPr>
        <w:t>Renewal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w:t>
      </w:r>
      <w:r>
        <w:rPr>
          <w:rFonts w:ascii="Arial" w:cs="Arial" w:eastAsia="Arial" w:hAnsi="Arial"/>
          <w:sz w:val="17"/>
          <w:szCs w:val="17"/>
          <w:color w:val="auto"/>
        </w:rPr>
        <w:t>”), unless either party elects to terminate this Agreement by providing written notice of non-renewal to the other party at least ninety (90) days prior to the expiration date of the then current term.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xml:space="preserve">” shall mean the Initial Term plus any Renewal Terms as provided above or such shorter period if terminated in accordance with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subject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pacing w:after="0" w:line="173" w:lineRule="exact"/>
        <w:rPr>
          <w:rFonts w:ascii="Arial" w:cs="Arial" w:eastAsia="Arial" w:hAnsi="Arial"/>
          <w:sz w:val="17"/>
          <w:szCs w:val="17"/>
          <w:b w:val="1"/>
          <w:bCs w:val="1"/>
          <w:color w:val="auto"/>
        </w:rPr>
      </w:pPr>
    </w:p>
    <w:p>
      <w:pPr>
        <w:ind w:left="960" w:hanging="314"/>
        <w:spacing w:after="0"/>
        <w:tabs>
          <w:tab w:leader="none" w:pos="9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ind w:right="40" w:firstLine="646"/>
        <w:spacing w:after="0" w:line="261" w:lineRule="auto"/>
        <w:tabs>
          <w:tab w:leader="none" w:pos="102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Term, the Company agrees to pay Executive a base salary at an annual rate of $700,000,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regular payroll practices of the Company. Executive’s base salary shall be subject to annual review by the Board (or a committee thereof), and may be increased from time to time by the Board. The base salary as determined herein and adjusted from time to time shall constitute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 for purposes of this Agreement.</w:t>
      </w:r>
    </w:p>
    <w:p>
      <w:pPr>
        <w:spacing w:after="0" w:line="179" w:lineRule="exact"/>
        <w:rPr>
          <w:rFonts w:ascii="Arial" w:cs="Arial" w:eastAsia="Arial" w:hAnsi="Arial"/>
          <w:sz w:val="18"/>
          <w:szCs w:val="18"/>
          <w:color w:val="auto"/>
        </w:rPr>
      </w:pPr>
    </w:p>
    <w:p>
      <w:pPr>
        <w:ind w:right="120" w:firstLine="646"/>
        <w:spacing w:after="0" w:line="294" w:lineRule="auto"/>
        <w:tabs>
          <w:tab w:leader="none" w:pos="1038"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During the Employment Term, Executive shall be eligible to participate in any bonus plan for senior executives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may be established by the Board or any committee thereof after consultation with the Executive from time to time (the “</w:t>
      </w:r>
      <w:r>
        <w:rPr>
          <w:rFonts w:ascii="Arial" w:cs="Arial" w:eastAsia="Arial" w:hAnsi="Arial"/>
          <w:sz w:val="16"/>
          <w:szCs w:val="16"/>
          <w:u w:val="single" w:color="auto"/>
          <w:color w:val="auto"/>
        </w:rPr>
        <w:t>Annual Bonus</w:t>
      </w:r>
      <w:r>
        <w:rPr>
          <w:rFonts w:ascii="Arial" w:cs="Arial" w:eastAsia="Arial" w:hAnsi="Arial"/>
          <w:sz w:val="16"/>
          <w:szCs w:val="16"/>
          <w:color w:val="auto"/>
        </w:rPr>
        <w:t>”), with a target bonus opportunity of 100% of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upon the attainment of one or more pre-established performance goals established by the Board or any committee thereof in its sole discretion, and a potential maximum bonus opportunity of 200% of Base Salary upon achievement of outperformance opportunities. To receive any Annual Bonus, the Executive must have been continuously employed by the Company or any of its subsidiaries through the date the applicable Annual Bonus becomes payable, in accordance with applicable</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 xml:space="preserve">plan terms or as determined by the Board, and be in “active working status” at the time of bonus payment, except as provided in </w:t>
      </w:r>
      <w:r>
        <w:rPr>
          <w:rFonts w:ascii="Arial" w:cs="Arial" w:eastAsia="Arial" w:hAnsi="Arial"/>
          <w:sz w:val="18"/>
          <w:szCs w:val="18"/>
          <w:u w:val="single" w:color="auto"/>
          <w:color w:val="auto"/>
        </w:rPr>
        <w:t>Section 7(b) and (c))</w:t>
      </w:r>
      <w:r>
        <w:rPr>
          <w:rFonts w:ascii="Arial" w:cs="Arial" w:eastAsia="Arial" w:hAnsi="Arial"/>
          <w:sz w:val="18"/>
          <w:szCs w:val="18"/>
          <w:color w:val="auto"/>
        </w:rPr>
        <w:t xml:space="preserve">. The Annual Bonus will become payable following completion and review by the Board of the Company’s audited consolidated financial statements for the applicable fiscal year, which completion and review shall not be unreasonably delayed. For purposes of this Agreement, “active working status” shall mean that Executive has not resigned (or given notice of his intention to resign) and has not been terminated (or been given notice of termination) for any reason, with or without “Cause,” as defined in </w:t>
      </w:r>
      <w:r>
        <w:rPr>
          <w:rFonts w:ascii="Arial" w:cs="Arial" w:eastAsia="Arial" w:hAnsi="Arial"/>
          <w:sz w:val="18"/>
          <w:szCs w:val="18"/>
          <w:u w:val="single" w:color="auto"/>
          <w:color w:val="auto"/>
        </w:rPr>
        <w:t>Section 6.</w:t>
      </w:r>
    </w:p>
    <w:p>
      <w:pPr>
        <w:spacing w:after="0" w:line="184" w:lineRule="exact"/>
        <w:rPr>
          <w:sz w:val="20"/>
          <w:szCs w:val="20"/>
          <w:color w:val="auto"/>
        </w:rPr>
      </w:pPr>
    </w:p>
    <w:p>
      <w:pPr>
        <w:ind w:left="960" w:hanging="31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SPECIAL EQUITY GRANTS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0" w:right="40" w:firstLine="654"/>
        <w:spacing w:after="0" w:line="286" w:lineRule="auto"/>
        <w:tabs>
          <w:tab w:leader="none" w:pos="16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Executive will receive a special one-time equity grant comprised of 1,000,000 Restricted Stock Units (</w:t>
      </w:r>
      <w:r>
        <w:rPr>
          <w:rFonts w:ascii="Arial" w:cs="Arial" w:eastAsia="Arial" w:hAnsi="Arial"/>
          <w:sz w:val="16"/>
          <w:szCs w:val="16"/>
          <w:u w:val="single" w:color="auto"/>
          <w:color w:val="auto"/>
        </w:rPr>
        <w:t>RSU</w:t>
      </w:r>
      <w:r>
        <w:rPr>
          <w:rFonts w:ascii="Arial" w:cs="Arial" w:eastAsia="Arial" w:hAnsi="Arial"/>
          <w:sz w:val="16"/>
          <w:szCs w:val="16"/>
          <w:color w:val="auto"/>
        </w:rPr>
        <w:t xml:space="preserve">s) vesting over a four year period with 25% of the RSUs vesting on the one year anniversary of the grant, 25% of the RSUs vesting on the two year anniversary of the grant, 25% of the RSUs vesting on the three year anniversary of the grant, and 25% of the RSUs vesting on the four year anniversary of the grant (each such anniversary, an “Anniversary </w:t>
      </w:r>
      <w:r>
        <w:rPr>
          <w:rFonts w:ascii="Arial" w:cs="Arial" w:eastAsia="Arial" w:hAnsi="Arial"/>
          <w:sz w:val="16"/>
          <w:szCs w:val="16"/>
          <w:u w:val="single" w:color="auto"/>
          <w:color w:val="auto"/>
        </w:rPr>
        <w:t>Vesting Date</w:t>
      </w:r>
      <w:r>
        <w:rPr>
          <w:rFonts w:ascii="Arial" w:cs="Arial" w:eastAsia="Arial" w:hAnsi="Arial"/>
          <w:sz w:val="16"/>
          <w:szCs w:val="16"/>
          <w:color w:val="auto"/>
        </w:rPr>
        <w:t>”), and provided, in each case, Executive remains continuously employed with the Company through each applicable vesting date, except as provided in Section 7(b) or (c) herein. The RSUs will be made pursuant and subject to the terms and conditions of a grant agreement prepared by the Company, and granted as an “employment inducement award” under New York Stock Exchange (“</w:t>
      </w:r>
      <w:r>
        <w:rPr>
          <w:rFonts w:ascii="Arial" w:cs="Arial" w:eastAsia="Arial" w:hAnsi="Arial"/>
          <w:sz w:val="16"/>
          <w:szCs w:val="16"/>
          <w:u w:val="single" w:color="auto"/>
          <w:color w:val="auto"/>
        </w:rPr>
        <w:t>NYSE</w:t>
      </w:r>
      <w:r>
        <w:rPr>
          <w:rFonts w:ascii="Arial" w:cs="Arial" w:eastAsia="Arial" w:hAnsi="Arial"/>
          <w:sz w:val="16"/>
          <w:szCs w:val="16"/>
          <w:color w:val="auto"/>
        </w:rPr>
        <w:t>”) Rule 303A.08, and consequently are intended to be exempt from the NYSE rules regarding stockholder approval of stock option plans or other equity compensation arrangements. The grant agreement and the terms and conditions of the RSUs shall be interpreted in accordance and consistent with such exemption. Notwithstanding the foregoing, the RSUs will be governed as if issued under the Company’s 2021 Omnibus Incentive Plan (as may be amended, restated or otherwise modified from time to time, the “</w:t>
      </w:r>
      <w:r>
        <w:rPr>
          <w:rFonts w:ascii="Arial" w:cs="Arial" w:eastAsia="Arial" w:hAnsi="Arial"/>
          <w:sz w:val="16"/>
          <w:szCs w:val="16"/>
          <w:u w:val="single" w:color="auto"/>
          <w:color w:val="auto"/>
        </w:rPr>
        <w:t>2021 Plan</w:t>
      </w:r>
      <w:r>
        <w:rPr>
          <w:rFonts w:ascii="Arial" w:cs="Arial" w:eastAsia="Arial" w:hAnsi="Arial"/>
          <w:sz w:val="16"/>
          <w:szCs w:val="16"/>
          <w:color w:val="auto"/>
        </w:rPr>
        <w:t xml:space="preserve">”). Notwithstanding the foregoing, in the event Executive’s employment is terminated by the Company without Cause as defined in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or Executive resigns for Good Reason as defined in </w:t>
      </w:r>
      <w:r>
        <w:rPr>
          <w:rFonts w:ascii="Arial" w:cs="Arial" w:eastAsia="Arial" w:hAnsi="Arial"/>
          <w:sz w:val="16"/>
          <w:szCs w:val="16"/>
          <w:u w:val="single" w:color="auto"/>
          <w:color w:val="auto"/>
        </w:rPr>
        <w:t>Section 6(f), in each case</w:t>
      </w:r>
      <w:r>
        <w:rPr>
          <w:rFonts w:ascii="Arial" w:cs="Arial" w:eastAsia="Arial" w:hAnsi="Arial"/>
          <w:sz w:val="16"/>
          <w:szCs w:val="16"/>
          <w:color w:val="auto"/>
        </w:rPr>
        <w:t xml:space="preserve"> within the ninety (90) day period immediately preceding the relevant Anniversary Vesting Date in the year such Executive’s employment terminates, or in the event the Company elects to terminate this Agreement by providing written notice of non-renewal in accordance with Section 2 of this Agreement, the tranche of RSUs eligible to vest during such year shall immediately vest and become non-forfeitable as of the date the Executive’s employment ceases.</w:t>
      </w:r>
    </w:p>
    <w:p>
      <w:pPr>
        <w:spacing w:after="0" w:line="167" w:lineRule="exact"/>
        <w:rPr>
          <w:rFonts w:ascii="Arial" w:cs="Arial" w:eastAsia="Arial" w:hAnsi="Arial"/>
          <w:sz w:val="16"/>
          <w:szCs w:val="16"/>
          <w:color w:val="auto"/>
        </w:rPr>
      </w:pPr>
    </w:p>
    <w:p>
      <w:pPr>
        <w:jc w:val="both"/>
        <w:ind w:left="640" w:right="180" w:firstLine="654"/>
        <w:spacing w:after="0" w:line="254" w:lineRule="auto"/>
        <w:tabs>
          <w:tab w:leader="none" w:pos="16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will receive a special one-time equity grant comprised of 1,520,000 Performance-based Stock Units (</w:t>
      </w:r>
      <w:r>
        <w:rPr>
          <w:rFonts w:ascii="Arial" w:cs="Arial" w:eastAsia="Arial" w:hAnsi="Arial"/>
          <w:sz w:val="18"/>
          <w:szCs w:val="18"/>
          <w:u w:val="single" w:color="auto"/>
          <w:color w:val="auto"/>
        </w:rPr>
        <w:t>PSU</w:t>
      </w:r>
      <w:r>
        <w:rPr>
          <w:rFonts w:ascii="Arial" w:cs="Arial" w:eastAsia="Arial" w:hAnsi="Arial"/>
          <w:sz w:val="18"/>
          <w:szCs w:val="18"/>
          <w:color w:val="auto"/>
        </w:rPr>
        <w:t>s) vesting as target stock price thresholds are achieved (with the threshold achieved if the stock trades at or above the target level for 20 consecutive trading days), with the following target stock price thresholds: (A) $5.00 stock price threshold for 300,000 PSUs; (B) $7.50 stock price threshold for 300,000 PSUs;</w:t>
      </w:r>
    </w:p>
    <w:p>
      <w:pPr>
        <w:spacing w:after="0" w:line="2" w:lineRule="exact"/>
        <w:rPr>
          <w:rFonts w:ascii="Arial" w:cs="Arial" w:eastAsia="Arial" w:hAnsi="Arial"/>
          <w:sz w:val="18"/>
          <w:szCs w:val="18"/>
          <w:color w:val="auto"/>
        </w:rPr>
      </w:pPr>
    </w:p>
    <w:p>
      <w:pPr>
        <w:jc w:val="both"/>
        <w:ind w:left="640"/>
        <w:spacing w:after="0" w:line="253" w:lineRule="auto"/>
        <w:rPr>
          <w:rFonts w:ascii="Arial" w:cs="Arial" w:eastAsia="Arial" w:hAnsi="Arial"/>
          <w:sz w:val="18"/>
          <w:szCs w:val="18"/>
          <w:color w:val="auto"/>
        </w:rPr>
      </w:pPr>
      <w:r>
        <w:rPr>
          <w:rFonts w:ascii="Arial" w:cs="Arial" w:eastAsia="Arial" w:hAnsi="Arial"/>
          <w:sz w:val="18"/>
          <w:szCs w:val="18"/>
          <w:color w:val="auto"/>
        </w:rPr>
        <w:t>(C) $10.00 stock price threshold for 300,000 PSUs; (D) $12.50 stock price threshold for 300,000 PSUs; and (E) $15.00 for 320,000 PSUs, provided, in each case, Executive remains continuously employed with the Company through the achievement of each applicable vesting threshold, except as provided in Section 7(c) herein. The eligibility to vest in such PSUs will in any event expire on the seven-year anniversary of the grant. The PSUs will be made pursuant and subject to the terms and conditions of a grant agreement prepared by the Company, and granted as an “employment inducement award” under</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58" w:name="page59"/>
    <w:bookmarkEnd w:id="58"/>
    <w:p>
      <w:pPr>
        <w:jc w:val="both"/>
        <w:ind w:left="640"/>
        <w:spacing w:after="0" w:line="311" w:lineRule="auto"/>
        <w:rPr>
          <w:sz w:val="20"/>
          <w:szCs w:val="20"/>
          <w:color w:val="auto"/>
        </w:rPr>
      </w:pPr>
      <w:r>
        <w:rPr>
          <w:rFonts w:ascii="Arial" w:cs="Arial" w:eastAsia="Arial" w:hAnsi="Arial"/>
          <w:sz w:val="16"/>
          <w:szCs w:val="16"/>
          <w:color w:val="auto"/>
        </w:rPr>
        <w:t>NYSE Rule 303A.08, and consequently are intended to be exempt from the NYSE rules regarding stockholder approval of stock option plans or other equity compensation arrangements. The grant agreement and the terms and conditions of the PSUs shall be interpreted in accordance and consistent with such exemption. Notwithstanding the foregoing, the PSUs will be governed as if issued under the Company’s 2021 Plan.</w:t>
      </w:r>
    </w:p>
    <w:p>
      <w:pPr>
        <w:spacing w:after="0" w:line="145" w:lineRule="exact"/>
        <w:rPr>
          <w:sz w:val="20"/>
          <w:szCs w:val="20"/>
          <w:color w:val="auto"/>
        </w:rPr>
      </w:pPr>
    </w:p>
    <w:p>
      <w:pPr>
        <w:ind w:right="40" w:firstLine="646"/>
        <w:spacing w:after="0" w:line="258" w:lineRule="auto"/>
        <w:tabs>
          <w:tab w:leader="none" w:pos="103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ANNUAL EQUITY AWARD</w:t>
      </w:r>
      <w:r>
        <w:rPr>
          <w:rFonts w:ascii="Arial" w:cs="Arial" w:eastAsia="Arial" w:hAnsi="Arial"/>
          <w:sz w:val="18"/>
          <w:szCs w:val="18"/>
          <w:color w:val="auto"/>
        </w:rPr>
        <w:t>. Commencing in 2026 on the first date annual incentive equity awards are granted to similarly situated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executives and subject to the terms of the 2021 Plan and the approval of the Compensation Committee of the Board, Executive will also be eligible to receive annual grants of equity-based incentive compensation in the amount of three- times Executive’s then-base salary;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any grant for 2026 will be prorated based on a fraction the numerator of which is the number of days from the third anniversary of the Effective Date to December 31, 2026 and the denominator of which is 365.</w:t>
      </w:r>
    </w:p>
    <w:p>
      <w:pPr>
        <w:spacing w:after="0" w:line="183" w:lineRule="exact"/>
        <w:rPr>
          <w:sz w:val="20"/>
          <w:szCs w:val="20"/>
          <w:color w:val="auto"/>
        </w:rPr>
      </w:pPr>
    </w:p>
    <w:p>
      <w:pPr>
        <w:ind w:left="960" w:hanging="314"/>
        <w:spacing w:after="0"/>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SIGNING BONUS</w:t>
      </w:r>
      <w:r>
        <w:rPr>
          <w:rFonts w:ascii="Arial" w:cs="Arial" w:eastAsia="Arial" w:hAnsi="Arial"/>
          <w:sz w:val="18"/>
          <w:szCs w:val="18"/>
          <w:color w:val="auto"/>
        </w:rPr>
        <w:t>. Executive shall receive a signing bonus in the amount of</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$700,000 (the “</w:t>
      </w:r>
      <w:r>
        <w:rPr>
          <w:rFonts w:ascii="Arial" w:cs="Arial" w:eastAsia="Arial" w:hAnsi="Arial"/>
          <w:sz w:val="18"/>
          <w:szCs w:val="18"/>
          <w:u w:val="single" w:color="auto"/>
          <w:color w:val="auto"/>
        </w:rPr>
        <w:t>Signing Bonus</w:t>
      </w:r>
      <w:r>
        <w:rPr>
          <w:rFonts w:ascii="Arial" w:cs="Arial" w:eastAsia="Arial" w:hAnsi="Arial"/>
          <w:sz w:val="18"/>
          <w:szCs w:val="18"/>
          <w:color w:val="auto"/>
        </w:rPr>
        <w:t xml:space="preserve">”), less applicable withholdings and deductions, to be paid on the first regularly scheduled payroll date after Executive begins performing work for the Company, which is at least seven (7) days following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Executive’s employment with the Company is terminated: (i) by the Company for Cause pursuant to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at any time prior to the eighteenth month anniversary of the Effective Date; (ii) by Executive without Good Reason pursuant to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at any time prior to the eighteenth month anniversary of the Effective Date; or (iii) as a result of Executive’s exercise of the right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not to renew during the Initial Term, Executive will repay the Signing Bonus to the Company as soon as practicable following the termination of employment and in no event more than sixty (60) days following the termination of employment.</w:t>
      </w:r>
    </w:p>
    <w:p>
      <w:pPr>
        <w:spacing w:after="0" w:line="188" w:lineRule="exact"/>
        <w:rPr>
          <w:sz w:val="20"/>
          <w:szCs w:val="20"/>
          <w:color w:val="auto"/>
        </w:rPr>
      </w:pPr>
    </w:p>
    <w:p>
      <w:pPr>
        <w:ind w:left="960" w:hanging="314"/>
        <w:spacing w:after="0"/>
        <w:tabs>
          <w:tab w:leader="none" w:pos="9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5" w:lineRule="exact"/>
        <w:rPr>
          <w:sz w:val="20"/>
          <w:szCs w:val="20"/>
          <w:color w:val="auto"/>
        </w:rPr>
      </w:pPr>
    </w:p>
    <w:p>
      <w:pPr>
        <w:ind w:right="60" w:firstLine="646"/>
        <w:spacing w:after="0" w:line="256" w:lineRule="auto"/>
        <w:tabs>
          <w:tab w:leader="none" w:pos="1028"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BENEFIT PLANS</w:t>
      </w:r>
      <w:r>
        <w:rPr>
          <w:rFonts w:ascii="Arial" w:cs="Arial" w:eastAsia="Arial" w:hAnsi="Arial"/>
          <w:sz w:val="18"/>
          <w:szCs w:val="18"/>
          <w:color w:val="auto"/>
        </w:rPr>
        <w:t>. During the Employment Term, Executive shall be eligible to participate in any employee benefit plan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adopted or may adopt, maintain or contribute to for the benefit of its senior executive employees generally, subject to the terms and conditions of such employee benefit plans, including satisfying the applicable eligibility requirements, except to the extent that such plans are duplicative of the benefits otherwise provided for hereunder. Executive’s participation will be subject to the terms of the applicable plan documents and generally applicable Company policies, as may be in effect from time to time. Notwithstanding the foregoing, the Company may modify or terminate any employee benefit plan at any time.</w:t>
      </w:r>
    </w:p>
    <w:p>
      <w:pPr>
        <w:spacing w:after="0" w:line="187" w:lineRule="exact"/>
        <w:rPr>
          <w:rFonts w:ascii="Arial" w:cs="Arial" w:eastAsia="Arial" w:hAnsi="Arial"/>
          <w:sz w:val="18"/>
          <w:szCs w:val="18"/>
          <w:color w:val="auto"/>
        </w:rPr>
      </w:pPr>
    </w:p>
    <w:p>
      <w:pPr>
        <w:ind w:right="60" w:firstLine="646"/>
        <w:spacing w:after="0" w:line="261" w:lineRule="auto"/>
        <w:tabs>
          <w:tab w:leader="none" w:pos="1038"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Upon presentation of reasonable substantiation and documentation as the Company may specify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Executive shall be reimbursed in accordance with the Company’s expense reimbursement policy, for all reasonable out-of-pocket business expenses incurred and paid by Executive during the Employment Term and in connection with the performance of Executive’s duties hereunder, in accordance with the Company’s policies with regard thereto.</w:t>
      </w:r>
    </w:p>
    <w:p>
      <w:pPr>
        <w:spacing w:after="0" w:line="179" w:lineRule="exact"/>
        <w:rPr>
          <w:rFonts w:ascii="Arial" w:cs="Arial" w:eastAsia="Arial" w:hAnsi="Arial"/>
          <w:sz w:val="18"/>
          <w:szCs w:val="18"/>
          <w:color w:val="auto"/>
        </w:rPr>
      </w:pPr>
    </w:p>
    <w:p>
      <w:pPr>
        <w:ind w:right="60" w:firstLine="646"/>
        <w:spacing w:after="0" w:line="282" w:lineRule="auto"/>
        <w:tabs>
          <w:tab w:leader="none" w:pos="1028"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VACATIONS</w:t>
      </w:r>
      <w:r>
        <w:rPr>
          <w:rFonts w:ascii="Arial" w:cs="Arial" w:eastAsia="Arial" w:hAnsi="Arial"/>
          <w:sz w:val="18"/>
          <w:szCs w:val="18"/>
          <w:color w:val="auto"/>
        </w:rPr>
        <w:t>. During the Employment Term, Executive shall be entitled to take vacation time with pay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policy, with a minimum of</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59" w:name="page60"/>
    <w:bookmarkEnd w:id="59"/>
    <w:p>
      <w:pPr>
        <w:ind w:left="2"/>
        <w:spacing w:after="0" w:line="277" w:lineRule="auto"/>
        <w:rPr>
          <w:sz w:val="20"/>
          <w:szCs w:val="20"/>
          <w:color w:val="auto"/>
        </w:rPr>
      </w:pPr>
      <w:r>
        <w:rPr>
          <w:rFonts w:ascii="Arial" w:cs="Arial" w:eastAsia="Arial" w:hAnsi="Arial"/>
          <w:sz w:val="18"/>
          <w:szCs w:val="18"/>
          <w:color w:val="auto"/>
        </w:rPr>
        <w:t>four weeks, as established and modified by the Board from time to time. The Executive shall use his best efforts to schedule vacation time in a manner that does not unduly interfere with the business of the Company.</w:t>
      </w:r>
    </w:p>
    <w:p>
      <w:pPr>
        <w:spacing w:after="0" w:line="166" w:lineRule="exact"/>
        <w:rPr>
          <w:sz w:val="20"/>
          <w:szCs w:val="20"/>
          <w:color w:val="auto"/>
        </w:rPr>
      </w:pPr>
    </w:p>
    <w:p>
      <w:pPr>
        <w:ind w:left="962" w:hanging="314"/>
        <w:spacing w:after="0"/>
        <w:tabs>
          <w:tab w:leader="none" w:pos="96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Executive’s employment and the Employment Term shall terminate on the first of the following to occur:</w:t>
      </w:r>
    </w:p>
    <w:p>
      <w:pPr>
        <w:spacing w:after="0" w:line="225" w:lineRule="exact"/>
        <w:rPr>
          <w:sz w:val="20"/>
          <w:szCs w:val="20"/>
          <w:color w:val="auto"/>
        </w:rPr>
      </w:pPr>
    </w:p>
    <w:p>
      <w:pPr>
        <w:ind w:left="2" w:right="20" w:firstLine="646"/>
        <w:spacing w:after="0" w:line="292" w:lineRule="auto"/>
        <w:tabs>
          <w:tab w:leader="none" w:pos="1030"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Upon ten (10) days’ prior written notice by the Company to Executive of termination due to Disability.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that Executive is unable, with or without reasonable accommodation, to perform the duties and responsibilities contemplated under this Agreement for ninety (90) or more consecutive days or one hundred eighty (180) days within any period of 365 days due to physical or mental incapacity or impairment, as determined by an independent qualified physician mutually acceptable to the Company and Executive (or his personal representative) or, if the Company and Executive are unable to agree on an independent qualified physician, as determined by a panel of three physicians, one designated by the Company, one designated by Executive (or his personal representative) and one designated by the two physicians so designated. Nothing in this Agreement shall alter the Company’s obligations under applicable law related to employees with disabilities.</w:t>
      </w:r>
    </w:p>
    <w:p>
      <w:pPr>
        <w:spacing w:after="0" w:line="161" w:lineRule="exact"/>
        <w:rPr>
          <w:rFonts w:ascii="Arial" w:cs="Arial" w:eastAsia="Arial" w:hAnsi="Arial"/>
          <w:sz w:val="16"/>
          <w:szCs w:val="16"/>
          <w:color w:val="auto"/>
        </w:rPr>
      </w:pPr>
    </w:p>
    <w:p>
      <w:pPr>
        <w:ind w:left="962" w:hanging="314"/>
        <w:spacing w:after="0"/>
        <w:tabs>
          <w:tab w:leader="none" w:pos="96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Automatically upon the date of death of Executive.</w:t>
      </w:r>
    </w:p>
    <w:p>
      <w:pPr>
        <w:spacing w:after="0" w:line="225" w:lineRule="exact"/>
        <w:rPr>
          <w:rFonts w:ascii="Arial" w:cs="Arial" w:eastAsia="Arial" w:hAnsi="Arial"/>
          <w:sz w:val="18"/>
          <w:szCs w:val="18"/>
          <w:color w:val="auto"/>
        </w:rPr>
      </w:pPr>
    </w:p>
    <w:p>
      <w:pPr>
        <w:ind w:left="2" w:right="60" w:firstLine="646"/>
        <w:spacing w:after="0" w:line="287" w:lineRule="auto"/>
        <w:tabs>
          <w:tab w:leader="none" w:pos="1030"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CAUSE</w:t>
      </w:r>
      <w:r>
        <w:rPr>
          <w:rFonts w:ascii="Arial" w:cs="Arial" w:eastAsia="Arial" w:hAnsi="Arial"/>
          <w:sz w:val="16"/>
          <w:szCs w:val="16"/>
          <w:color w:val="auto"/>
        </w:rPr>
        <w:t>. Immediately (or, if applicable, upon the expiration of the cure period provided below) upon written notice by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 a termination for Cause in accordance with this subsection (c).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Executive’s commission of, indictment or conviction for, or pleading no contest to: (A) a felony, (B) any crime involving moral turpitude, (C) any crime that is injurious to the financial condition, reputation, or goodwill of the Company or any of its Affiliates (including, without limitation, fraud or embezzlement),</w:t>
      </w:r>
    </w:p>
    <w:p>
      <w:pPr>
        <w:spacing w:after="0" w:line="2" w:lineRule="exact"/>
        <w:rPr>
          <w:rFonts w:ascii="Arial" w:cs="Arial" w:eastAsia="Arial" w:hAnsi="Arial"/>
          <w:sz w:val="16"/>
          <w:szCs w:val="16"/>
          <w:color w:val="auto"/>
        </w:rPr>
      </w:pPr>
    </w:p>
    <w:p>
      <w:pPr>
        <w:ind w:left="2" w:right="20" w:hanging="2"/>
        <w:spacing w:after="0" w:line="285" w:lineRule="auto"/>
        <w:tabs>
          <w:tab w:leader="none" w:pos="267"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Executive’s misappropriation of any of the Company’s or its Affiliate’s property or funds, (iii) Executive’s engaging in any illegal conduct in the performance of Executive’s duties and responsibilities for the Company (except minor motor vehicle infractions), (iv) conduct by Executive that brings or could reasonably be expected to bring the Company or any Affiliate of the Company into public disgrace or disrepute or otherwise injures the integrity, character or reputation, goodwill, or financial condition of the Company or any of its Affiliates, (v) gross negligence or willful misconduct by Executive with respect to the Company or any Affiliate of the Company, (vi) Executive’s gross or habitual neglect or non-performance of the material duties assigned to Executive or failure to carry out or comply with any lawful directives (including, without limitation, Executive’s failure to cooperate with the Company, or any of its Affiliates, or any governmental body’s investigation, inquiry, hearing, or similar proceeding and/or Executive’s failure to promptly notify the Board of, or material misstatements or omissions to the Board regarding, material developments regarding the Company, its Affiliates, customers, suppliers, employees or otherwise), (vii) Executive’s breach of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or any other applicable restrictive covenants with the Company or any of its Affiliates, (viii) Executive’s material violation or breach of any of the Company’s written policies or procedures, including without limitation, any policies applicable to Executive’s employment, business ethics policies, or code of conduct policies, (ix) any other material breach by Executive of this Agreement or any other agreement with the Company or any of its Affiliates,</w:t>
      </w:r>
    </w:p>
    <w:p>
      <w:pPr>
        <w:spacing w:after="0" w:line="172"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4" w:right="339" w:bottom="1440" w:gutter="0" w:footer="0" w:header="0"/>
        </w:sectPr>
      </w:pPr>
    </w:p>
    <w:bookmarkStart w:id="60" w:name="page61"/>
    <w:bookmarkEnd w:id="60"/>
    <w:p>
      <w:pPr>
        <w:ind w:left="2" w:hanging="2"/>
        <w:spacing w:after="0" w:line="287" w:lineRule="auto"/>
        <w:tabs>
          <w:tab w:leader="none" w:pos="3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Executive’s failure to work on a full-time basis in fulfilling Executive’s employment duties hereunder, except for periods in which Executive is absent for scheduled paid time off, sickness, injury, or other authorized leaves of absence, or (xi) reporting to work under the influence of alcohol or illegal drugs, or using drugs (illegal or prescribed) or alcohol, whether or not at the workplace, in such a fashion as to cause the Company or any of its Affiliates economic or reputational harm or to affect Executive’s ability to perform Executive’s assigned duties and responsibilities; (xii) Executive’s attempt to willfully obtain any personal profit from any transaction which is adverse to the interests of the Company or any of its Affiliates, or any intentional act or intentional omission aiding or abetting a competitor, supplier or customer of the Company or any of its Affiliates to the material disadvantage or detriment of the Company and its Affiliates; or (xiii) Executive’s making a material misstatement or misrepresentation in any employment application, resume, or similar document submitted by Executive in connection with his employment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“Cause” will exist under subparts (iv) through (x) only if the action giving rise to the Cause, to the extent such action is curable, remains uncured fifteen (15) calendar days after notice from the Company specifying in reasonable detail the nature of the Cause. The existence of “Cause” hereunder shall be determined by the Board in its good faith discretion. “</w:t>
      </w:r>
      <w:r>
        <w:rPr>
          <w:rFonts w:ascii="Arial" w:cs="Arial" w:eastAsia="Arial" w:hAnsi="Arial"/>
          <w:sz w:val="16"/>
          <w:szCs w:val="16"/>
          <w:u w:val="single" w:color="auto"/>
          <w:color w:val="auto"/>
        </w:rPr>
        <w:t>Affiliate</w:t>
      </w:r>
      <w:r>
        <w:rPr>
          <w:rFonts w:ascii="Arial" w:cs="Arial" w:eastAsia="Arial" w:hAnsi="Arial"/>
          <w:sz w:val="16"/>
          <w:szCs w:val="16"/>
          <w:color w:val="auto"/>
        </w:rPr>
        <w:t>,” as used in this section, shall have the meaning set forth in Section 7(d)(i) herein.</w:t>
      </w:r>
    </w:p>
    <w:p>
      <w:pPr>
        <w:spacing w:after="0" w:line="167" w:lineRule="exact"/>
        <w:rPr>
          <w:rFonts w:ascii="Arial" w:cs="Arial" w:eastAsia="Arial" w:hAnsi="Arial"/>
          <w:sz w:val="16"/>
          <w:szCs w:val="16"/>
          <w:color w:val="auto"/>
        </w:rPr>
      </w:pPr>
    </w:p>
    <w:p>
      <w:pPr>
        <w:ind w:left="2" w:right="20" w:firstLine="646"/>
        <w:spacing w:after="0" w:line="282"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WITHOUT CAUSE</w:t>
      </w:r>
      <w:r>
        <w:rPr>
          <w:rFonts w:ascii="Arial" w:cs="Arial" w:eastAsia="Arial" w:hAnsi="Arial"/>
          <w:sz w:val="18"/>
          <w:szCs w:val="18"/>
          <w:color w:val="auto"/>
        </w:rPr>
        <w:t>. Immediately upon written notice by the Company to Executive or, if provided in the written notice, such later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written notice, of an involuntary termination without Cause (other than for Death or Disability).</w:t>
      </w:r>
    </w:p>
    <w:p>
      <w:pPr>
        <w:spacing w:after="0" w:line="161" w:lineRule="exact"/>
        <w:rPr>
          <w:rFonts w:ascii="Arial" w:cs="Arial" w:eastAsia="Arial" w:hAnsi="Arial"/>
          <w:sz w:val="18"/>
          <w:szCs w:val="18"/>
          <w:color w:val="auto"/>
        </w:rPr>
      </w:pPr>
    </w:p>
    <w:p>
      <w:pPr>
        <w:jc w:val="both"/>
        <w:ind w:left="2" w:right="60" w:firstLine="646"/>
        <w:spacing w:after="0" w:line="266" w:lineRule="auto"/>
        <w:tabs>
          <w:tab w:leader="none" w:pos="103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BY EXECUTIVE WITHOUT GOOD REASON</w:t>
      </w:r>
      <w:r>
        <w:rPr>
          <w:rFonts w:ascii="Arial" w:cs="Arial" w:eastAsia="Arial" w:hAnsi="Arial"/>
          <w:sz w:val="18"/>
          <w:szCs w:val="18"/>
          <w:color w:val="auto"/>
        </w:rPr>
        <w:t>. Upon sixty (60) days’ prior written notice by Executive to the Company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termination of employment without Good Reason as defined below (which the Company may, in its sole discretion, make effective earlier than any notice date).</w:t>
      </w:r>
    </w:p>
    <w:p>
      <w:pPr>
        <w:spacing w:after="0" w:line="175" w:lineRule="exact"/>
        <w:rPr>
          <w:rFonts w:ascii="Arial" w:cs="Arial" w:eastAsia="Arial" w:hAnsi="Arial"/>
          <w:sz w:val="18"/>
          <w:szCs w:val="18"/>
          <w:color w:val="auto"/>
        </w:rPr>
      </w:pPr>
    </w:p>
    <w:p>
      <w:pPr>
        <w:ind w:left="2" w:firstLine="646"/>
        <w:spacing w:after="0" w:line="269" w:lineRule="auto"/>
        <w:tabs>
          <w:tab w:leader="none" w:pos="1010"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BY EXECUTIVE FOR GOOD REASON</w:t>
      </w:r>
      <w:r>
        <w:rPr>
          <w:rFonts w:ascii="Arial" w:cs="Arial" w:eastAsia="Arial" w:hAnsi="Arial"/>
          <w:sz w:val="17"/>
          <w:szCs w:val="17"/>
          <w:color w:val="auto"/>
        </w:rPr>
        <w:t>. Executive may terminate Executive’s employment for Good Reason by giving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of termination for Good Reason specifying in such notice the basis for the Good Reason termination and the condition(s) or action(s) for which Executive believes constitute Good Reason. For purposes of this Agreement, “Good Reason” means the occurrence of any of the following events without Executive’s consent: (i) the Board demotes Executive, materially limits Executive’s duties, or assigns Executive to perform duties that are materially inconsistent with Executive’s position as Chief Executive Officer, (ii) the Company materially reduces Executive’s Base Salary or bonus opportunity, (iii) the Executive no longer reports directly to the Board; provided, however, in each instance, the Company will have thirty30) days from its receipt of Executive’s written notice of the Good Reason termination in which to take corrective action to cure the Good Reason event, and if the Company does not cure the Good Reason event, the Good Reason termination will be effective at the end of the thirtieth (30th) day after the Company receives the written notice of Good Reason termination; and provided further, however, for Executive to exercise the right to terminate for Good Reason, Executive must provide written notice of termination for Good Reason within ninety (90) days after the occurrence of the event giving rise to the basis for the Good Reason termination.</w:t>
      </w:r>
    </w:p>
    <w:p>
      <w:pPr>
        <w:spacing w:after="0" w:line="186"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2"/>
          </w:cols>
          <w:pgMar w:left="418" w:top="584" w:right="359" w:bottom="1440" w:gutter="0" w:footer="0" w:header="0"/>
        </w:sectPr>
      </w:pPr>
    </w:p>
    <w:bookmarkStart w:id="61" w:name="page62"/>
    <w:bookmarkEnd w:id="61"/>
    <w:p>
      <w:pPr>
        <w:ind w:left="962" w:hanging="314"/>
        <w:spacing w:after="0"/>
        <w:tabs>
          <w:tab w:leader="none" w:pos="96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TERMINATION.</w:t>
      </w:r>
    </w:p>
    <w:p>
      <w:pPr>
        <w:spacing w:after="0" w:line="225" w:lineRule="exact"/>
        <w:rPr>
          <w:sz w:val="20"/>
          <w:szCs w:val="20"/>
          <w:color w:val="auto"/>
        </w:rPr>
      </w:pPr>
    </w:p>
    <w:p>
      <w:pPr>
        <w:ind w:left="2" w:right="660" w:firstLine="646"/>
        <w:spacing w:after="0" w:line="261" w:lineRule="auto"/>
        <w:tabs>
          <w:tab w:leader="none" w:pos="103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TERMINATION FOR CAUSE, NON-RENEWAL OF EMPLOYMENT TERM BY EXECUTIVE, OR RESIGNATION BY EXECUTIVE WITHOUT GOOD</w:t>
      </w:r>
    </w:p>
    <w:p>
      <w:pPr>
        <w:ind w:left="2"/>
        <w:spacing w:after="0"/>
        <w:rPr>
          <w:rFonts w:ascii="Arial" w:cs="Arial" w:eastAsia="Arial" w:hAnsi="Arial"/>
          <w:sz w:val="18"/>
          <w:szCs w:val="18"/>
          <w:color w:val="auto"/>
        </w:rPr>
      </w:pPr>
      <w:r>
        <w:rPr>
          <w:rFonts w:ascii="Arial" w:cs="Arial" w:eastAsia="Arial" w:hAnsi="Arial"/>
          <w:sz w:val="18"/>
          <w:szCs w:val="18"/>
          <w:b w:val="1"/>
          <w:bCs w:val="1"/>
          <w:color w:val="auto"/>
        </w:rPr>
        <w:t>REASON</w:t>
      </w:r>
      <w:r>
        <w:rPr>
          <w:rFonts w:ascii="Arial" w:cs="Arial" w:eastAsia="Arial" w:hAnsi="Arial"/>
          <w:sz w:val="18"/>
          <w:szCs w:val="18"/>
          <w:color w:val="auto"/>
        </w:rPr>
        <w:t>. If Executive’s employment is terminated at any time (1) by the Company for Cause,</w:t>
      </w:r>
    </w:p>
    <w:p>
      <w:pPr>
        <w:spacing w:after="0" w:line="9" w:lineRule="exact"/>
        <w:rPr>
          <w:rFonts w:ascii="Arial" w:cs="Arial" w:eastAsia="Arial" w:hAnsi="Arial"/>
          <w:sz w:val="18"/>
          <w:szCs w:val="18"/>
          <w:color w:val="auto"/>
        </w:rPr>
      </w:pPr>
    </w:p>
    <w:p>
      <w:pPr>
        <w:jc w:val="both"/>
        <w:ind w:left="2" w:hanging="2"/>
        <w:spacing w:after="0" w:line="255" w:lineRule="auto"/>
        <w:tabs>
          <w:tab w:leader="none" w:pos="2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as a result of non-renewal of the Employment Term by the Executive, or (3) by Executive without Good Reason, then the Company shall pay to Executive the following (with the amounts due under this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to be paid within sixty (60) days following termination of employment, or such earlier date as may be required by applicable law):</w:t>
      </w:r>
    </w:p>
    <w:p>
      <w:pPr>
        <w:spacing w:after="0" w:line="189" w:lineRule="exact"/>
        <w:rPr>
          <w:rFonts w:ascii="Arial" w:cs="Arial" w:eastAsia="Arial" w:hAnsi="Arial"/>
          <w:sz w:val="18"/>
          <w:szCs w:val="18"/>
          <w:color w:val="auto"/>
        </w:rPr>
      </w:pPr>
    </w:p>
    <w:p>
      <w:pPr>
        <w:ind w:left="1622" w:hanging="326"/>
        <w:spacing w:after="0"/>
        <w:tabs>
          <w:tab w:leader="none" w:pos="1622"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unpaid Base Salary through the date of termination;</w:t>
      </w:r>
    </w:p>
    <w:p>
      <w:pPr>
        <w:spacing w:after="0" w:line="225" w:lineRule="exact"/>
        <w:rPr>
          <w:rFonts w:ascii="Arial" w:cs="Arial" w:eastAsia="Arial" w:hAnsi="Arial"/>
          <w:sz w:val="18"/>
          <w:szCs w:val="18"/>
          <w:color w:val="auto"/>
        </w:rPr>
      </w:pPr>
    </w:p>
    <w:p>
      <w:pPr>
        <w:ind w:left="1702" w:hanging="406"/>
        <w:spacing w:after="0"/>
        <w:tabs>
          <w:tab w:leader="none" w:pos="1702" w:val="left"/>
        </w:tabs>
        <w:numPr>
          <w:ilvl w:val="2"/>
          <w:numId w:val="51"/>
        </w:numPr>
        <w:rPr>
          <w:rFonts w:ascii="Arial" w:cs="Arial" w:eastAsia="Arial" w:hAnsi="Arial"/>
          <w:sz w:val="18"/>
          <w:szCs w:val="18"/>
          <w:color w:val="auto"/>
        </w:rPr>
      </w:pPr>
      <w:r>
        <w:rPr>
          <w:rFonts w:ascii="Arial" w:cs="Arial" w:eastAsia="Arial" w:hAnsi="Arial"/>
          <w:sz w:val="18"/>
          <w:szCs w:val="18"/>
          <w:color w:val="auto"/>
        </w:rPr>
        <w:t>reimbursement for any unreimbursed business expenses incurred through the date of termination;</w:t>
      </w:r>
    </w:p>
    <w:p>
      <w:pPr>
        <w:spacing w:after="0" w:line="225" w:lineRule="exact"/>
        <w:rPr>
          <w:rFonts w:ascii="Arial" w:cs="Arial" w:eastAsia="Arial" w:hAnsi="Arial"/>
          <w:sz w:val="18"/>
          <w:szCs w:val="18"/>
          <w:color w:val="auto"/>
        </w:rPr>
      </w:pPr>
    </w:p>
    <w:p>
      <w:pPr>
        <w:ind w:left="1742" w:hanging="446"/>
        <w:spacing w:after="0"/>
        <w:tabs>
          <w:tab w:leader="none" w:pos="1742"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accrued but unused vacation time as may be payable in accordance with Company policy; and</w:t>
      </w:r>
    </w:p>
    <w:p>
      <w:pPr>
        <w:spacing w:after="0" w:line="225" w:lineRule="exact"/>
        <w:rPr>
          <w:rFonts w:ascii="Arial" w:cs="Arial" w:eastAsia="Arial" w:hAnsi="Arial"/>
          <w:sz w:val="18"/>
          <w:szCs w:val="18"/>
          <w:color w:val="auto"/>
        </w:rPr>
      </w:pPr>
    </w:p>
    <w:p>
      <w:pPr>
        <w:ind w:left="642" w:right="20" w:firstLine="654"/>
        <w:spacing w:after="0" w:line="291" w:lineRule="auto"/>
        <w:tabs>
          <w:tab w:leader="none" w:pos="1730" w:val="left"/>
        </w:tabs>
        <w:numPr>
          <w:ilvl w:val="2"/>
          <w:numId w:val="51"/>
        </w:numPr>
        <w:rPr>
          <w:rFonts w:ascii="Arial" w:cs="Arial" w:eastAsia="Arial" w:hAnsi="Arial"/>
          <w:sz w:val="16"/>
          <w:szCs w:val="16"/>
          <w:color w:val="auto"/>
        </w:rPr>
      </w:pPr>
      <w:r>
        <w:rPr>
          <w:rFonts w:ascii="Arial" w:cs="Arial" w:eastAsia="Arial" w:hAnsi="Arial"/>
          <w:sz w:val="16"/>
          <w:szCs w:val="16"/>
          <w:color w:val="auto"/>
        </w:rPr>
        <w:t xml:space="preserve">all other payments, benefits or fringe benefits to which Executive shall be entitled under the terms of any applicable compensation arrangement or benefit, equity or fringe benefit plan or program or grant, in each case in accordance with their terms (collectively, </w:t>
      </w:r>
      <w:r>
        <w:rPr>
          <w:rFonts w:ascii="Arial" w:cs="Arial" w:eastAsia="Arial" w:hAnsi="Arial"/>
          <w:sz w:val="16"/>
          <w:szCs w:val="16"/>
          <w:u w:val="single" w:color="auto"/>
          <w:color w:val="auto"/>
        </w:rPr>
        <w:t>Sections 7(a)</w:t>
      </w:r>
    </w:p>
    <w:p>
      <w:pPr>
        <w:ind w:left="862" w:hanging="214"/>
        <w:spacing w:after="0"/>
        <w:tabs>
          <w:tab w:leader="none" w:pos="862" w:val="left"/>
        </w:tabs>
        <w:numPr>
          <w:ilvl w:val="1"/>
          <w:numId w:val="51"/>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7(a)(iv)</w:t>
      </w:r>
      <w:r>
        <w:rPr>
          <w:rFonts w:ascii="Arial" w:cs="Arial" w:eastAsia="Arial" w:hAnsi="Arial"/>
          <w:sz w:val="18"/>
          <w:szCs w:val="18"/>
          <w:color w:val="auto"/>
        </w:rPr>
        <w:t xml:space="preserve"> hereof shall be hereafter referred to as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w:t>
      </w:r>
    </w:p>
    <w:p>
      <w:pPr>
        <w:spacing w:after="0" w:line="207" w:lineRule="exact"/>
        <w:rPr>
          <w:sz w:val="20"/>
          <w:szCs w:val="20"/>
          <w:color w:val="auto"/>
        </w:rPr>
      </w:pPr>
    </w:p>
    <w:p>
      <w:pPr>
        <w:ind w:left="2" w:right="300" w:firstLine="646"/>
        <w:spacing w:after="0" w:line="25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TERMINATION OF EXECUTIVE</w:t>
      </w:r>
      <w:r>
        <w:rPr>
          <w:rFonts w:ascii="Arial" w:cs="Arial" w:eastAsia="Arial" w:hAnsi="Arial"/>
          <w:sz w:val="18"/>
          <w:szCs w:val="18"/>
          <w:color w:val="auto"/>
        </w:rPr>
        <w:t>’</w:t>
      </w:r>
      <w:r>
        <w:rPr>
          <w:rFonts w:ascii="Arial" w:cs="Arial" w:eastAsia="Arial" w:hAnsi="Arial"/>
          <w:sz w:val="18"/>
          <w:szCs w:val="18"/>
          <w:b w:val="1"/>
          <w:bCs w:val="1"/>
          <w:color w:val="auto"/>
        </w:rPr>
        <w:t>S EMPLOYMENT BY THE COMPANY WITHOUT CAUSE, DUE TO EXECUTIVE</w:t>
      </w:r>
      <w:r>
        <w:rPr>
          <w:rFonts w:ascii="Arial" w:cs="Arial" w:eastAsia="Arial" w:hAnsi="Arial"/>
          <w:sz w:val="18"/>
          <w:szCs w:val="18"/>
          <w:color w:val="auto"/>
        </w:rPr>
        <w:t>’</w:t>
      </w:r>
      <w:r>
        <w:rPr>
          <w:rFonts w:ascii="Arial" w:cs="Arial" w:eastAsia="Arial" w:hAnsi="Arial"/>
          <w:sz w:val="18"/>
          <w:szCs w:val="18"/>
          <w:b w:val="1"/>
          <w:bCs w:val="1"/>
          <w:color w:val="auto"/>
        </w:rPr>
        <w:t>S DEATH OR EXECUTIVE</w:t>
      </w:r>
      <w:r>
        <w:rPr>
          <w:rFonts w:ascii="Arial" w:cs="Arial" w:eastAsia="Arial" w:hAnsi="Arial"/>
          <w:sz w:val="18"/>
          <w:szCs w:val="18"/>
          <w:color w:val="auto"/>
        </w:rPr>
        <w:t>’</w:t>
      </w:r>
      <w:r>
        <w:rPr>
          <w:rFonts w:ascii="Arial" w:cs="Arial" w:eastAsia="Arial" w:hAnsi="Arial"/>
          <w:sz w:val="18"/>
          <w:szCs w:val="18"/>
          <w:b w:val="1"/>
          <w:bCs w:val="1"/>
          <w:color w:val="auto"/>
        </w:rPr>
        <w:t>S DISABILITY, NON-RENEWAL OF EMPLOYMENT TERM BY THE COMPANY, OR BY EXECUTIVE FOR GOOD REASON OUTSIDE OF THE CHANGE IN CONTROL PERIOD</w:t>
      </w:r>
      <w:r>
        <w:rPr>
          <w:rFonts w:ascii="Arial" w:cs="Arial" w:eastAsia="Arial" w:hAnsi="Arial"/>
          <w:sz w:val="18"/>
          <w:szCs w:val="18"/>
          <w:color w:val="auto"/>
        </w:rPr>
        <w:t>. If, outside</w:t>
      </w:r>
    </w:p>
    <w:p>
      <w:pPr>
        <w:spacing w:after="0" w:line="1" w:lineRule="exact"/>
        <w:rPr>
          <w:rFonts w:ascii="Arial" w:cs="Arial" w:eastAsia="Arial" w:hAnsi="Arial"/>
          <w:sz w:val="18"/>
          <w:szCs w:val="18"/>
          <w:color w:val="auto"/>
        </w:rPr>
      </w:pPr>
    </w:p>
    <w:p>
      <w:pPr>
        <w:jc w:val="both"/>
        <w:ind w:left="2"/>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Change in Control Period (as defined below), Executive’s employment is terminated (1) by the Company other than for Cause (including due to Executive’s Death or Disability), (2) as a result of non-renewal of the Employment Term by the Company, or (3) by the Executive with Good Reason, then the Company shall pay or provide Executive, or Executive’s estate, as applicable, with the following, subject to the provisions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(with the amounts due under </w:t>
      </w:r>
      <w:r>
        <w:rPr>
          <w:rFonts w:ascii="Arial" w:cs="Arial" w:eastAsia="Arial" w:hAnsi="Arial"/>
          <w:sz w:val="18"/>
          <w:szCs w:val="18"/>
          <w:u w:val="single" w:color="auto"/>
          <w:color w:val="auto"/>
        </w:rPr>
        <w:t>Section 7(b)(i)</w:t>
      </w:r>
      <w:r>
        <w:rPr>
          <w:rFonts w:ascii="Arial" w:cs="Arial" w:eastAsia="Arial" w:hAnsi="Arial"/>
          <w:sz w:val="18"/>
          <w:szCs w:val="18"/>
          <w:color w:val="auto"/>
        </w:rPr>
        <w:t xml:space="preserve"> hereof to be paid within sixty (60) days following termination of employment, or such earlier date as may be required by applicable law):</w:t>
      </w:r>
    </w:p>
    <w:p>
      <w:pPr>
        <w:spacing w:after="0" w:line="190" w:lineRule="exact"/>
        <w:rPr>
          <w:rFonts w:ascii="Arial" w:cs="Arial" w:eastAsia="Arial" w:hAnsi="Arial"/>
          <w:sz w:val="18"/>
          <w:szCs w:val="18"/>
          <w:color w:val="auto"/>
        </w:rPr>
      </w:pPr>
    </w:p>
    <w:p>
      <w:pPr>
        <w:ind w:left="1622" w:hanging="326"/>
        <w:spacing w:after="0"/>
        <w:tabs>
          <w:tab w:leader="none" w:pos="162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ind w:left="642" w:right="80" w:firstLine="654"/>
        <w:spacing w:after="0" w:line="254" w:lineRule="auto"/>
        <w:tabs>
          <w:tab w:leader="none" w:pos="16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subject to and conditioned on Executive’s satisfaction and compliance with the conditions and obligations in </w:t>
      </w:r>
      <w:r>
        <w:rPr>
          <w:rFonts w:ascii="Arial" w:cs="Arial" w:eastAsia="Arial" w:hAnsi="Arial"/>
          <w:sz w:val="18"/>
          <w:szCs w:val="18"/>
          <w:u w:val="single" w:color="auto"/>
          <w:color w:val="auto"/>
        </w:rPr>
        <w:t>Sections 8, 9 and 10</w:t>
      </w:r>
      <w:r>
        <w:rPr>
          <w:rFonts w:ascii="Arial" w:cs="Arial" w:eastAsia="Arial" w:hAnsi="Arial"/>
          <w:sz w:val="18"/>
          <w:szCs w:val="18"/>
          <w:color w:val="auto"/>
        </w:rPr>
        <w:t xml:space="preserve"> hereof, severance compensation as follows: (A) salary continuation payments at Executive’s monthly Base Salary rate as in effect on the date of termination for a period of twelve (12) months following Executive’s termination of employment in accordance with the Company’s regular payroll processes in effect on the date of such termination of employment, and (B) the Annual Bonus, if any, Executive would have been entitled to receive for the year in which termination occurs (on a pro-rated basis for any partial year) had Executive’s employment not terminated, based on actual financial results for such year and on an assumed target-level achievement by Executive of any personal performance objectives, paid on the same date as the payment</w:t>
      </w:r>
    </w:p>
    <w:p>
      <w:pPr>
        <w:spacing w:after="0" w:line="195" w:lineRule="exact"/>
        <w:rPr>
          <w:sz w:val="20"/>
          <w:szCs w:val="20"/>
          <w:color w:val="auto"/>
        </w:rPr>
      </w:pPr>
    </w:p>
    <w:p>
      <w:pPr>
        <w:jc w:val="center"/>
        <w:ind w:right="9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62" w:name="page63"/>
    <w:bookmarkEnd w:id="62"/>
    <w:p>
      <w:pPr>
        <w:jc w:val="both"/>
        <w:ind w:left="640"/>
        <w:spacing w:after="0" w:line="254" w:lineRule="auto"/>
        <w:rPr>
          <w:sz w:val="20"/>
          <w:szCs w:val="20"/>
          <w:color w:val="auto"/>
        </w:rPr>
      </w:pPr>
      <w:r>
        <w:rPr>
          <w:rFonts w:ascii="Arial" w:cs="Arial" w:eastAsia="Arial" w:hAnsi="Arial"/>
          <w:sz w:val="18"/>
          <w:szCs w:val="18"/>
          <w:color w:val="auto"/>
        </w:rPr>
        <w:t xml:space="preserve">of annual bonuses to other senior executives of the Company following completion and review by the Board of the Company’s audited consolidated financial statements for the applicable fiscal year, which completion and review shall not be unreasonably delayed; provided that to the extent that the payment of any amount constitutes “nonqualified deferred compensation” for purposes of Code Section 409A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as otherwise required to avoid any additional taxes or penalties under Code Section 409A, any such payment scheduled to occur during the first sixty (60) days following the termination of employment shall not be paid until the first regularly scheduled pay period following the sixtieth (60th) day following such termination and shall include payment of any amount that was otherwise scheduled to be paid prior thereto;</w:t>
      </w:r>
    </w:p>
    <w:p>
      <w:pPr>
        <w:spacing w:after="0" w:line="195" w:lineRule="exact"/>
        <w:rPr>
          <w:sz w:val="20"/>
          <w:szCs w:val="20"/>
          <w:color w:val="auto"/>
        </w:rPr>
      </w:pPr>
    </w:p>
    <w:p>
      <w:pPr>
        <w:ind w:left="640" w:right="60" w:firstLine="654"/>
        <w:spacing w:after="0" w:line="253" w:lineRule="auto"/>
        <w:tabs>
          <w:tab w:leader="none" w:pos="17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subject to the timely election of continuation coverage under the Consolidated Omnibus Budget Reconciliation Act of 1985, as amended (“COBRA”) for Executive and his eligible dependents, and Executive’s continued copayment of premiums associated with such coverage, a reimbursement, on a monthly basis, for the costs of continued health benefits for himself and his covered dependents from the end of the Employment Term through the date that is twelve (12) months following the end of the Employment Term or such earlier date on which COBRA coverage for Executive and his covered dependents terminates in accordance with COBRA; provided that Executive is eligible and remains eligible for COBRA coverage. Reimbursements under this Section 7(b)(iii) shall be made on a monthly basis, with the reimbursement for any month being paid in the immediately following month. The Company may modify its obligation under this Section 7(b)(iii) to the extent necessary to avoid any penalty or excise taxes imposes on the Company or its Affiliates (or the insurer) under the Patient Protection and Affordable Care Act; and</w:t>
      </w:r>
    </w:p>
    <w:p>
      <w:pPr>
        <w:spacing w:after="0" w:line="196" w:lineRule="exact"/>
        <w:rPr>
          <w:rFonts w:ascii="Arial" w:cs="Arial" w:eastAsia="Arial" w:hAnsi="Arial"/>
          <w:sz w:val="18"/>
          <w:szCs w:val="18"/>
          <w:color w:val="auto"/>
        </w:rPr>
      </w:pPr>
    </w:p>
    <w:p>
      <w:pPr>
        <w:ind w:left="1740" w:hanging="446"/>
        <w:spacing w:after="0"/>
        <w:tabs>
          <w:tab w:leader="none" w:pos="1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vesting of RSUs eligible to vest in the year of termination, to the extent provided in Section 3(c)(i) herein.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20" w:hanging="37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TERMINATION OF EXECUTIVE</w:t>
      </w:r>
      <w:r>
        <w:rPr>
          <w:rFonts w:ascii="Arial" w:cs="Arial" w:eastAsia="Arial" w:hAnsi="Arial"/>
          <w:sz w:val="18"/>
          <w:szCs w:val="18"/>
          <w:color w:val="auto"/>
        </w:rPr>
        <w:t>’</w:t>
      </w:r>
      <w:r>
        <w:rPr>
          <w:rFonts w:ascii="Arial" w:cs="Arial" w:eastAsia="Arial" w:hAnsi="Arial"/>
          <w:sz w:val="18"/>
          <w:szCs w:val="18"/>
          <w:b w:val="1"/>
          <w:bCs w:val="1"/>
          <w:color w:val="auto"/>
        </w:rPr>
        <w:t>S EMPLOYMENT BY THE COMPANY WITHOUT CAUSE, BY EXECUTIVE FOR GOOD</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REASON, OR BY NON-RENEWAL OF THE EMPLOYMENT TERM BY THE COMPANY DURING THE CHANGE IN</w:t>
      </w:r>
    </w:p>
    <w:p>
      <w:pPr>
        <w:spacing w:after="0" w:line="9"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CONTROL PERIOD</w:t>
      </w:r>
      <w:r>
        <w:rPr>
          <w:rFonts w:ascii="Arial" w:cs="Arial" w:eastAsia="Arial" w:hAnsi="Arial"/>
          <w:sz w:val="18"/>
          <w:szCs w:val="18"/>
          <w:color w:val="auto"/>
        </w:rPr>
        <w:t>. If, during the Change in Control Period, Executive’s employment is terminated (1) by the Company other than for Cause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due to Executive’s Death or Disability), (2) by the Executive with Good Reason, or (3) by the Company by non-renewal of the Employment Term, then the Company shall, in lieu of the benefits set forth in Section 7(b), pay or provide Executive with the following,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hereof (with the amounts due under </w:t>
      </w:r>
      <w:r>
        <w:rPr>
          <w:rFonts w:ascii="Arial" w:cs="Arial" w:eastAsia="Arial" w:hAnsi="Arial"/>
          <w:sz w:val="18"/>
          <w:szCs w:val="18"/>
          <w:u w:val="single" w:color="auto"/>
          <w:color w:val="auto"/>
        </w:rPr>
        <w:t>Section 7(c)(ii)</w:t>
      </w:r>
      <w:r>
        <w:rPr>
          <w:rFonts w:ascii="Arial" w:cs="Arial" w:eastAsia="Arial" w:hAnsi="Arial"/>
          <w:sz w:val="18"/>
          <w:szCs w:val="18"/>
          <w:color w:val="auto"/>
        </w:rPr>
        <w:t xml:space="preserve"> hereof to be paid within sixty (60) days following termination of employment, or such earlier date as may be required by applicable law):</w:t>
      </w:r>
    </w:p>
    <w:p>
      <w:pPr>
        <w:spacing w:after="0" w:line="190" w:lineRule="exact"/>
        <w:rPr>
          <w:rFonts w:ascii="Arial" w:cs="Arial" w:eastAsia="Arial" w:hAnsi="Arial"/>
          <w:sz w:val="18"/>
          <w:szCs w:val="18"/>
          <w:color w:val="auto"/>
        </w:rPr>
      </w:pPr>
    </w:p>
    <w:p>
      <w:pPr>
        <w:ind w:left="1620" w:hanging="326"/>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jc w:val="both"/>
        <w:ind w:left="640" w:right="40" w:firstLine="654"/>
        <w:spacing w:after="0" w:line="259" w:lineRule="auto"/>
        <w:tabs>
          <w:tab w:leader="none" w:pos="16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subject to and conditioned on Executive’s satisfaction and compliance with the conditions and obligations in </w:t>
      </w:r>
      <w:r>
        <w:rPr>
          <w:rFonts w:ascii="Arial" w:cs="Arial" w:eastAsia="Arial" w:hAnsi="Arial"/>
          <w:sz w:val="18"/>
          <w:szCs w:val="18"/>
          <w:u w:val="single" w:color="auto"/>
          <w:color w:val="auto"/>
        </w:rPr>
        <w:t>Sections 8, 9 and 10</w:t>
      </w:r>
      <w:r>
        <w:rPr>
          <w:rFonts w:ascii="Arial" w:cs="Arial" w:eastAsia="Arial" w:hAnsi="Arial"/>
          <w:sz w:val="18"/>
          <w:szCs w:val="18"/>
          <w:color w:val="auto"/>
        </w:rPr>
        <w:t xml:space="preserve"> hereof, severance compensation as follows: (A) salary continuation payments at Executive’s monthly Base Salary rate as in effect on the date of termination for a period of twenty-four (24) months following Executive’s termination of employment in accordance with the Company’s regular payroll</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63" w:name="page64"/>
    <w:bookmarkEnd w:id="63"/>
    <w:p>
      <w:pPr>
        <w:jc w:val="both"/>
        <w:spacing w:after="0" w:line="274" w:lineRule="auto"/>
        <w:rPr>
          <w:sz w:val="20"/>
          <w:szCs w:val="20"/>
          <w:color w:val="auto"/>
        </w:rPr>
      </w:pPr>
      <w:r>
        <w:rPr>
          <w:rFonts w:ascii="Arial" w:cs="Arial" w:eastAsia="Arial" w:hAnsi="Arial"/>
          <w:sz w:val="18"/>
          <w:szCs w:val="18"/>
          <w:color w:val="auto"/>
        </w:rPr>
        <w:t>processes in effect on the date of such termination of employment, and (B) an amount equal to Executive’s Target Bonus Executive would have been entitled to receive for the year in which termination occurs had Executive’s employment not terminated, paid in one lump sum on the sixtieth (60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date the Executive’s employment ceases; and</w:t>
      </w:r>
    </w:p>
    <w:p>
      <w:pPr>
        <w:spacing w:after="0" w:line="11" w:lineRule="exact"/>
        <w:rPr>
          <w:sz w:val="20"/>
          <w:szCs w:val="20"/>
          <w:color w:val="auto"/>
        </w:rPr>
      </w:pPr>
    </w:p>
    <w:p>
      <w:pPr>
        <w:ind w:right="20" w:firstLine="654"/>
        <w:spacing w:after="0" w:line="271" w:lineRule="auto"/>
        <w:tabs>
          <w:tab w:leader="none" w:pos="1098" w:val="left"/>
        </w:tabs>
        <w:numPr>
          <w:ilvl w:val="1"/>
          <w:numId w:val="55"/>
        </w:numPr>
        <w:rPr>
          <w:rFonts w:ascii="Arial" w:cs="Arial" w:eastAsia="Arial" w:hAnsi="Arial"/>
          <w:sz w:val="17"/>
          <w:szCs w:val="17"/>
          <w:color w:val="auto"/>
        </w:rPr>
      </w:pPr>
      <w:r>
        <w:rPr>
          <w:rFonts w:ascii="Arial" w:cs="Arial" w:eastAsia="Arial" w:hAnsi="Arial"/>
          <w:sz w:val="17"/>
          <w:szCs w:val="17"/>
          <w:color w:val="auto"/>
        </w:rPr>
        <w:t>subject to the timely election of continuation coverage under COBRA for Executive and his eligible dependents, and Executive’s continued copayment of premiums associated with such coverage, a reimbursement, on a monthly basis, for the costs of continued health benefits for himself and his covered dependents from the end of the Employment Term through the date that is twelve (12) months following the end of the Employment Term or such earlier date on which COBRA coverage for Executive and his covered dependents terminates in accordance with COBRA; provided that Executive is eligible and remains eligible for COBRA coverage. Reimbursements under this Section 7(c)(iii) shall be made on a monthly basis, with the reimbursement for any month being paid in the immediately following month. The Company may modify its obligation under this Section 7(c)(iii) to the extent necessary to avoid any penalty or excise taxes imposes on the Company or its Affiliates (or the insurer) under the Patient Protection and Affordable Care Act; and</w:t>
      </w:r>
    </w:p>
    <w:p>
      <w:pPr>
        <w:spacing w:after="0" w:line="178" w:lineRule="exact"/>
        <w:rPr>
          <w:rFonts w:ascii="Arial" w:cs="Arial" w:eastAsia="Arial" w:hAnsi="Arial"/>
          <w:sz w:val="17"/>
          <w:szCs w:val="17"/>
          <w:color w:val="auto"/>
        </w:rPr>
      </w:pPr>
    </w:p>
    <w:p>
      <w:pPr>
        <w:ind w:right="200" w:firstLine="654"/>
        <w:spacing w:after="0" w:line="263" w:lineRule="auto"/>
        <w:tabs>
          <w:tab w:leader="none" w:pos="10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then outstanding unvested RSUs shall immediately vest as to one hundred percent (100%) of the then unvested RSUs and all then outstanding unvested PSUs are eligible to vest to the extent that the applicable target stock price threshold is attained as of the date of the consummation of a Change in Control.</w:t>
      </w:r>
    </w:p>
    <w:p>
      <w:pPr>
        <w:spacing w:after="0" w:line="179" w:lineRule="exact"/>
        <w:rPr>
          <w:rFonts w:ascii="Arial" w:cs="Arial" w:eastAsia="Arial" w:hAnsi="Arial"/>
          <w:sz w:val="18"/>
          <w:szCs w:val="18"/>
          <w:color w:val="auto"/>
        </w:rPr>
      </w:pPr>
    </w:p>
    <w:p>
      <w:pPr>
        <w:ind w:left="320" w:hanging="314"/>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CERTAIN DEFINED TERMS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ind w:right="600" w:firstLine="744"/>
        <w:spacing w:after="0" w:line="277" w:lineRule="auto"/>
        <w:tabs>
          <w:tab w:leader="none" w:pos="998"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Person, any other Person that, directly or indirectly through one or more intermediaries, controls, is controlled by, or is under common control with, such Person.</w:t>
      </w:r>
    </w:p>
    <w:p>
      <w:pPr>
        <w:spacing w:after="0" w:line="170" w:lineRule="exact"/>
        <w:rPr>
          <w:rFonts w:ascii="Arial" w:cs="Arial" w:eastAsia="Arial" w:hAnsi="Arial"/>
          <w:sz w:val="18"/>
          <w:szCs w:val="18"/>
          <w:color w:val="auto"/>
        </w:rPr>
      </w:pPr>
    </w:p>
    <w:p>
      <w:pPr>
        <w:ind w:left="980" w:hanging="326"/>
        <w:spacing w:after="0"/>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right="60" w:firstLine="1302"/>
        <w:spacing w:after="0" w:line="290" w:lineRule="auto"/>
        <w:tabs>
          <w:tab w:leader="none" w:pos="1726" w:val="left"/>
        </w:tabs>
        <w:numPr>
          <w:ilvl w:val="3"/>
          <w:numId w:val="56"/>
        </w:numPr>
        <w:rPr>
          <w:rFonts w:ascii="Arial" w:cs="Arial" w:eastAsia="Arial" w:hAnsi="Arial"/>
          <w:sz w:val="16"/>
          <w:szCs w:val="16"/>
          <w:color w:val="auto"/>
        </w:rPr>
      </w:pPr>
      <w:r>
        <w:rPr>
          <w:rFonts w:ascii="Arial" w:cs="Arial" w:eastAsia="Arial" w:hAnsi="Arial"/>
          <w:sz w:val="16"/>
          <w:szCs w:val="16"/>
          <w:color w:val="auto"/>
        </w:rPr>
        <w:t>a change in ownership or control of the Company effected through a transaction or series of transactions (other than an offering of Stock to the general public through a registration statement filed with the U.S. Securities and Exchange Commission or similar non-U.S. regulatory agency or pursuant to a Non-Control Transaction) whereby any “person” (as defined in Section 3(a)(9) of the Exchange Act) or any two or more persons deemed to be one “person” (as used in Sections 13(d)(3) and 14(d)(2) of the Exchange Act), other than the Company or any of its Affiliates, an employee benefit plan sponsored or maintained by the Company or any of its Affiliates (or its related trust), or any underwriter temporarily holding securities pursuant to an offering of such securities, directly or indirectly acquire “beneficial ownership” (within the meaning of Rule 13d- 3 under the Exchange Act) of securities of the Company possessing more than fifty percent (50%) of the total combined voting power of the Company’s securities eligible to vote in the election of the Board (the “</w:t>
      </w:r>
      <w:r>
        <w:rPr>
          <w:rFonts w:ascii="Arial" w:cs="Arial" w:eastAsia="Arial" w:hAnsi="Arial"/>
          <w:sz w:val="16"/>
          <w:szCs w:val="16"/>
          <w:u w:val="single" w:color="auto"/>
          <w:color w:val="auto"/>
        </w:rPr>
        <w:t>Company Voting Securities</w:t>
      </w:r>
      <w:r>
        <w:rPr>
          <w:rFonts w:ascii="Arial" w:cs="Arial" w:eastAsia="Arial" w:hAnsi="Arial"/>
          <w:sz w:val="16"/>
          <w:szCs w:val="16"/>
          <w:color w:val="auto"/>
        </w:rPr>
        <w:t>”);</w:t>
      </w:r>
    </w:p>
    <w:p>
      <w:pPr>
        <w:spacing w:after="0" w:line="16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584" w:right="339" w:bottom="1440" w:gutter="0" w:footer="0" w:header="0"/>
        </w:sectPr>
      </w:pPr>
    </w:p>
    <w:bookmarkStart w:id="64" w:name="page65"/>
    <w:bookmarkEnd w:id="64"/>
    <w:p>
      <w:pPr>
        <w:ind w:left="-380" w:right="60" w:firstLine="1302"/>
        <w:spacing w:after="0" w:line="253" w:lineRule="auto"/>
        <w:tabs>
          <w:tab w:leader="none" w:pos="13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within any consecutive twenty-four (24)-month period, upon which individuals who constitute the Board as of the Effective Date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individual who becomes a director whose election or nomination for election by the Company’s stockholders or appointment was approved by a vote of at least a majority of the directors then constituting the Incumbent Board (either by a specific vote or by approval of the proxy statement of the Company in which such individual is named as a nominee for director, without objection to such nomination) shall be considered as though such individual were a member of the Incumbent Board, but excluding, for this purpose, any such individual whose initial assumption of office occurs as a result of an actual or threatened election contest (including, but not limited to, a consent solicitation) with respect to the election or removal of directors or other actual or threatened solicitation of proxies or consents by or on behalf of a person other than the Board; or</w:t>
      </w:r>
    </w:p>
    <w:p>
      <w:pPr>
        <w:spacing w:after="0" w:line="196" w:lineRule="exact"/>
        <w:rPr>
          <w:rFonts w:ascii="Arial" w:cs="Arial" w:eastAsia="Arial" w:hAnsi="Arial"/>
          <w:sz w:val="18"/>
          <w:szCs w:val="18"/>
          <w:color w:val="auto"/>
        </w:rPr>
      </w:pPr>
    </w:p>
    <w:p>
      <w:pPr>
        <w:ind w:left="-380" w:firstLine="1302"/>
        <w:spacing w:after="0" w:line="286" w:lineRule="auto"/>
        <w:tabs>
          <w:tab w:leader="none" w:pos="13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consummation of a merger, consolidation, share exchange, or similar form of corporate transaction involving the Company or any of its Affiliates that requires the approval of the Company’s stockholders (whether for such transaction, the issuance of securities in the transaction or otherwise) (a “</w:t>
      </w:r>
      <w:r>
        <w:rPr>
          <w:rFonts w:ascii="Arial" w:cs="Arial" w:eastAsia="Arial" w:hAnsi="Arial"/>
          <w:sz w:val="16"/>
          <w:szCs w:val="16"/>
          <w:u w:val="single" w:color="auto"/>
          <w:color w:val="auto"/>
        </w:rPr>
        <w:t>Reorganization</w:t>
      </w:r>
      <w:r>
        <w:rPr>
          <w:rFonts w:ascii="Arial" w:cs="Arial" w:eastAsia="Arial" w:hAnsi="Arial"/>
          <w:sz w:val="16"/>
          <w:szCs w:val="16"/>
          <w:color w:val="auto"/>
        </w:rPr>
        <w:t>”), unless immediately following such Reorganization (i) more than fifty percent (50%) of the total voting power of (A) the corporation resulting from such Reorganization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(B) if applicable, the ultimate parent corporation that has, directly or indirectly, beneficial ownership of one hundred percent (100%) of the voting securities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Company Voting Securities that were outstanding immediately prior to such Reorganization (or, if applicable, is represented by shares into which such Company Voting Securities were converted pursuant to such Reorganization), and such voting power among the holders thereof is in substantially the same proportion as the voting power of such Company Voting Securities among holders thereof immediately prior to such Reorganization, (ii) no person, other than an employee benefit plan sponsored or maintained by the Surviving Company or the Parent Company (or its related trust), is or becomes the beneficial owner, directly or indirectly, of fifty percent (50%) or more of the total voting power of the outstanding voting securities eligible to elect directors of the Parent Company, or if there is no Parent Company, the Surviving Company, and (iii) at least a majority of the members of the board of directors of the Parent Company, or if there is no Parent Company, the Surviving Company, following the consummation of such Reorganization are members of the Incumbent Board at the time of the Board’s approval of the execution of the initial agreement providing for such Reorganization (any Reorganization which satisfies all of the criteria specified in clauses (i), (ii), and (iii) above shall be a “</w:t>
      </w:r>
      <w:r>
        <w:rPr>
          <w:rFonts w:ascii="Arial" w:cs="Arial" w:eastAsia="Arial" w:hAnsi="Arial"/>
          <w:sz w:val="16"/>
          <w:szCs w:val="16"/>
          <w:u w:val="single" w:color="auto"/>
          <w:color w:val="auto"/>
        </w:rPr>
        <w:t>Non-Control Transaction</w:t>
      </w:r>
      <w:r>
        <w:rPr>
          <w:rFonts w:ascii="Arial" w:cs="Arial" w:eastAsia="Arial" w:hAnsi="Arial"/>
          <w:sz w:val="16"/>
          <w:szCs w:val="16"/>
          <w:color w:val="auto"/>
        </w:rPr>
        <w:t>”); or</w:t>
      </w:r>
    </w:p>
    <w:p>
      <w:pPr>
        <w:spacing w:after="0" w:line="167" w:lineRule="exact"/>
        <w:rPr>
          <w:rFonts w:ascii="Arial" w:cs="Arial" w:eastAsia="Arial" w:hAnsi="Arial"/>
          <w:sz w:val="16"/>
          <w:szCs w:val="16"/>
          <w:color w:val="auto"/>
        </w:rPr>
      </w:pPr>
    </w:p>
    <w:p>
      <w:pPr>
        <w:ind w:left="-380" w:right="40" w:firstLine="1302"/>
        <w:spacing w:after="0" w:line="263" w:lineRule="auto"/>
        <w:tabs>
          <w:tab w:leader="none" w:pos="13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sale or disposition, in one or a series of related transactions, of all or substantially all of the assets of the Company to any “person” (as defined in Section 3(a)(9) of the Exchange Act) or to any two or more persons deemed to be one “person” (as used in Sections 13(d)(3) and 14(d)(2) of the Exchange Act) other than the Company’s Affiliates.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584" w:right="399" w:bottom="1440" w:gutter="0" w:footer="0" w:header="0"/>
        </w:sectPr>
      </w:pPr>
    </w:p>
    <w:bookmarkStart w:id="65" w:name="page66"/>
    <w:bookmarkEnd w:id="65"/>
    <w:p>
      <w:pPr>
        <w:jc w:val="both"/>
        <w:ind w:left="640"/>
        <w:spacing w:after="0" w:line="290" w:lineRule="auto"/>
        <w:rPr>
          <w:sz w:val="20"/>
          <w:szCs w:val="20"/>
          <w:color w:val="auto"/>
        </w:rPr>
      </w:pPr>
      <w:r>
        <w:rPr>
          <w:rFonts w:ascii="Arial" w:cs="Arial" w:eastAsia="Arial" w:hAnsi="Arial"/>
          <w:sz w:val="16"/>
          <w:szCs w:val="16"/>
          <w:color w:val="auto"/>
        </w:rPr>
        <w:t xml:space="preserve">Notwithstanding the foregoing, (x) a Change in Control shall not be deemed to occur solely because any person acquires beneficial ownership of fifty percent (50%) or more of the Company Voting Securities as a result of an acquisition of Company Voting Securities by the Company that reduces the number of Company Voting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after such acquisition by the Company such person becomes the beneficial owner of additional Company Voting Securities that increases the percentage of outstanding Company Voting Securities beneficially owned by such person, a Change in Control shall then be deemed to occur, and (y) with respect to the payment of any amount that constitutes a deferral of compensation subject to Section 409A of the Code payable upon a Change in Control, a Change in Control shall not be deemed to have occurred, unless the Change in Control constitutes a change in the ownership or effective control of the Company or in the ownership of a substantial portion of the assets of the Company under Section 409A(a)(2)(A)(v) of the Code.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(iii) “</w:t>
      </w:r>
      <w:r>
        <w:rPr>
          <w:rFonts w:ascii="Arial" w:cs="Arial" w:eastAsia="Arial" w:hAnsi="Arial"/>
          <w:sz w:val="17"/>
          <w:szCs w:val="17"/>
          <w:u w:val="single" w:color="auto"/>
          <w:color w:val="auto"/>
        </w:rPr>
        <w:t>Change in Control Period</w:t>
      </w:r>
      <w:r>
        <w:rPr>
          <w:rFonts w:ascii="Arial" w:cs="Arial" w:eastAsia="Arial" w:hAnsi="Arial"/>
          <w:sz w:val="17"/>
          <w:szCs w:val="17"/>
          <w:color w:val="auto"/>
        </w:rPr>
        <w:t>” means the three (3)month period prior to or the twelve (12) month period following a Change in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Control.</w:t>
      </w:r>
    </w:p>
    <w:p>
      <w:pPr>
        <w:spacing w:after="0" w:line="211" w:lineRule="exact"/>
        <w:rPr>
          <w:sz w:val="20"/>
          <w:szCs w:val="20"/>
          <w:color w:val="auto"/>
        </w:rPr>
      </w:pPr>
    </w:p>
    <w:p>
      <w:pPr>
        <w:ind w:left="640" w:firstLine="654"/>
        <w:spacing w:after="0" w:line="277" w:lineRule="auto"/>
        <w:tabs>
          <w:tab w:leader="none" w:pos="1638"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firm, joint venture, association, joint-stock company, trust, unincorporated organization, or other entity.</w:t>
      </w:r>
    </w:p>
    <w:p>
      <w:pPr>
        <w:spacing w:after="0" w:line="170" w:lineRule="exact"/>
        <w:rPr>
          <w:rFonts w:ascii="Arial" w:cs="Arial" w:eastAsia="Arial" w:hAnsi="Arial"/>
          <w:sz w:val="18"/>
          <w:szCs w:val="18"/>
          <w:color w:val="auto"/>
        </w:rPr>
      </w:pPr>
    </w:p>
    <w:p>
      <w:pPr>
        <w:ind w:left="640" w:firstLine="699"/>
        <w:spacing w:after="0" w:line="257" w:lineRule="auto"/>
        <w:tabs>
          <w:tab w:leader="none" w:pos="1633"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“Restrictive Period” means the twelve (12) month period following the termination of Executive’s employment for any reason other than by the Company without Cause during the Change in Control Period or by the Executive for Good Reason during the Change in Control Period. In the event Executive’s employment is terminated by the Company without Cause during the Change in Control Period or by the Executive for Good Reason during the Change in Control Period, “Restrictive Period” means the twenty-four (24) month period following such termination of the Executive’s employment.</w:t>
      </w:r>
    </w:p>
    <w:p>
      <w:pPr>
        <w:spacing w:after="0" w:line="183" w:lineRule="exact"/>
        <w:rPr>
          <w:rFonts w:ascii="Arial" w:cs="Arial" w:eastAsia="Arial" w:hAnsi="Arial"/>
          <w:sz w:val="18"/>
          <w:szCs w:val="18"/>
          <w:color w:val="auto"/>
        </w:rPr>
      </w:pPr>
    </w:p>
    <w:p>
      <w:pPr>
        <w:ind w:right="120" w:firstLine="646"/>
        <w:spacing w:after="0" w:line="314" w:lineRule="auto"/>
        <w:tabs>
          <w:tab w:leader="none" w:pos="1028"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RESIGNATION OF ALL OTHER POSITIONS. </w:t>
      </w:r>
      <w:r>
        <w:rPr>
          <w:rFonts w:ascii="Arial" w:cs="Arial" w:eastAsia="Arial" w:hAnsi="Arial"/>
          <w:sz w:val="16"/>
          <w:szCs w:val="16"/>
          <w:color w:val="auto"/>
        </w:rPr>
        <w:t>Upon any termination of Executive’s employment with the Company, Executive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have immediately resigned from the Board and any other position as an officer, director, or fiduciary of the Company, any Affiliate or other Company-related entity. Executive agrees to any action reasonably requested by the Company to effect his resignations from any such positions.</w:t>
      </w:r>
    </w:p>
    <w:p>
      <w:pPr>
        <w:spacing w:after="0" w:line="141" w:lineRule="exact"/>
        <w:rPr>
          <w:rFonts w:ascii="Arial" w:cs="Arial" w:eastAsia="Arial" w:hAnsi="Arial"/>
          <w:sz w:val="16"/>
          <w:szCs w:val="16"/>
          <w:color w:val="auto"/>
        </w:rPr>
      </w:pPr>
    </w:p>
    <w:p>
      <w:pPr>
        <w:ind w:right="60" w:firstLine="646"/>
        <w:spacing w:after="0" w:line="272" w:lineRule="auto"/>
        <w:tabs>
          <w:tab w:leader="none" w:pos="1008"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EXCLUSIVE REMEDY</w:t>
      </w:r>
      <w:r>
        <w:rPr>
          <w:rFonts w:ascii="Arial" w:cs="Arial" w:eastAsia="Arial" w:hAnsi="Arial"/>
          <w:sz w:val="17"/>
          <w:szCs w:val="17"/>
          <w:color w:val="auto"/>
        </w:rPr>
        <w:t>. The amounts payable to Executive following termination of employment hereunder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b w:val="1"/>
          <w:bCs w:val="1"/>
          <w:color w:val="auto"/>
        </w:rPr>
        <w:t xml:space="preserve"> </w:t>
      </w:r>
      <w:r>
        <w:rPr>
          <w:rFonts w:ascii="Arial" w:cs="Arial" w:eastAsia="Arial" w:hAnsi="Arial"/>
          <w:sz w:val="17"/>
          <w:szCs w:val="17"/>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in full and complete satisfaction of Executive’s rights under this Agreement and (subject to Executive’s execution of a Release pursuant to Paragraph 8 below) any other claims that Executive may have in respect of Executive’s employment with the Company or any of its Affiliates, with the exception of any rights Executive may have pursuant to RSU and/or PSU Award Agreements and Plan Documents. Executive acknowledges that such amounts are fair and reasonable, and are Executive’s sole and exclusive remedy, in lieu of all other remedies at law or in equity, with respect to the termination of Executive’s employment hereunder or any breach of this Agreement, with the exception of any claim or rights Executive may have pursuant to the RSU and/or PSU Award Agreements and Plan Documents. Without limiting the foregoing, payments and benefits provided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be in lieu of any termination or severance payments or benefits for which Executive may be eligible</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66" w:name="page67"/>
    <w:bookmarkEnd w:id="66"/>
    <w:p>
      <w:pPr>
        <w:ind w:right="360"/>
        <w:spacing w:after="0" w:line="277" w:lineRule="auto"/>
        <w:rPr>
          <w:sz w:val="20"/>
          <w:szCs w:val="20"/>
          <w:color w:val="auto"/>
        </w:rPr>
      </w:pPr>
      <w:r>
        <w:rPr>
          <w:rFonts w:ascii="Arial" w:cs="Arial" w:eastAsia="Arial" w:hAnsi="Arial"/>
          <w:sz w:val="18"/>
          <w:szCs w:val="18"/>
          <w:color w:val="auto"/>
        </w:rPr>
        <w:t>under any of the plans, policies or programs of the Company or under the Worker Adjustment Retraining Notification Act of 1988 or any similar state statute or regulation.</w:t>
      </w:r>
    </w:p>
    <w:p>
      <w:pPr>
        <w:spacing w:after="0" w:line="166" w:lineRule="exact"/>
        <w:rPr>
          <w:sz w:val="20"/>
          <w:szCs w:val="20"/>
          <w:color w:val="auto"/>
        </w:rPr>
      </w:pPr>
    </w:p>
    <w:p>
      <w:pPr>
        <w:ind w:right="160" w:firstLine="691"/>
        <w:spacing w:after="0" w:line="303" w:lineRule="auto"/>
        <w:tabs>
          <w:tab w:leader="none" w:pos="1008"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RELEASE. </w:t>
      </w:r>
      <w:r>
        <w:rPr>
          <w:rFonts w:ascii="Arial" w:cs="Arial" w:eastAsia="Arial" w:hAnsi="Arial"/>
          <w:sz w:val="16"/>
          <w:szCs w:val="16"/>
          <w:color w:val="auto"/>
        </w:rPr>
        <w:t>Any and all amounts payable and benefits provided pursuant to Sections 7(b) and 7(c) (other than the Accrued Benefits)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only be payable if Executive delivers to the Company and does not revoke a general release of claims in favor of the Company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subject to modifications as may be reasonably requested by the Company to address changes in applicable law relating to waivers of claims or relating to any other provisions included in </w:t>
      </w:r>
      <w:r>
        <w:rPr>
          <w:rFonts w:ascii="Arial" w:cs="Arial" w:eastAsia="Arial" w:hAnsi="Arial"/>
          <w:sz w:val="16"/>
          <w:szCs w:val="16"/>
          <w:u w:val="single" w:color="auto"/>
          <w:color w:val="auto"/>
        </w:rPr>
        <w:t>Exhibit A</w:t>
      </w:r>
      <w:r>
        <w:rPr>
          <w:rFonts w:ascii="Arial" w:cs="Arial" w:eastAsia="Arial" w:hAnsi="Arial"/>
          <w:sz w:val="16"/>
          <w:szCs w:val="16"/>
          <w:color w:val="auto"/>
        </w:rPr>
        <w:t>, within sixty (60) days following Executive’s termination of employment.</w:t>
      </w:r>
    </w:p>
    <w:p>
      <w:pPr>
        <w:spacing w:after="0" w:line="150" w:lineRule="exact"/>
        <w:rPr>
          <w:rFonts w:ascii="Arial" w:cs="Arial" w:eastAsia="Arial" w:hAnsi="Arial"/>
          <w:sz w:val="16"/>
          <w:szCs w:val="16"/>
          <w:b w:val="1"/>
          <w:bCs w:val="1"/>
          <w:color w:val="auto"/>
        </w:rPr>
      </w:pPr>
    </w:p>
    <w:p>
      <w:pPr>
        <w:ind w:left="960" w:hanging="314"/>
        <w:spacing w:after="0"/>
        <w:tabs>
          <w:tab w:leader="none" w:pos="9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5" w:lineRule="exact"/>
        <w:rPr>
          <w:sz w:val="20"/>
          <w:szCs w:val="20"/>
          <w:color w:val="auto"/>
        </w:rPr>
      </w:pPr>
    </w:p>
    <w:p>
      <w:pPr>
        <w:ind w:left="960" w:hanging="31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NON-DISCLOSURE OF CONFIDENTIAL INFORMATION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0" w:firstLine="654"/>
        <w:spacing w:after="0" w:line="285" w:lineRule="auto"/>
        <w:tabs>
          <w:tab w:leader="none" w:pos="1638" w:val="left"/>
        </w:tabs>
        <w:numPr>
          <w:ilvl w:val="1"/>
          <w:numId w:val="62"/>
        </w:numPr>
        <w:rPr>
          <w:rFonts w:ascii="Arial" w:cs="Arial" w:eastAsia="Arial" w:hAnsi="Arial"/>
          <w:sz w:val="16"/>
          <w:szCs w:val="16"/>
          <w:color w:val="auto"/>
        </w:rPr>
      </w:pPr>
      <w:r>
        <w:rPr>
          <w:rFonts w:ascii="Arial" w:cs="Arial" w:eastAsia="Arial" w:hAnsi="Arial"/>
          <w:sz w:val="16"/>
          <w:szCs w:val="16"/>
          <w:color w:val="auto"/>
        </w:rPr>
        <w:t>During the course of Executive’s employment with the Company, Executive will have access to Confidential Information. 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non-public, proprietary data, information, lists,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including without limitation work product created by Executive in rendering services for the Company) whether now or hereafter existing, relating to or arising from the past, current or potential business, activities and/or operations of the Company or any of its Affiliates (or any of their respective predecessors, successors or permitted assigns), including, without limitation, any such information relating to or concerning finances, sales, marketing, advertising, transition and business plans or strategies, promotions, pricing, costs, personnel, customers, suppliers, distributors, vendors, partners and/or competitors, as well as prospective sales, personnel, customers, suppliers, distributors, vendors, partners and/or competitors; information from third parties that the Company agreed or is otherwise legally obligated to keep confidential; research and development information, engineering and technical information, software codes, and Inventions as defined below. Executive agrees that Executive shall not, directly or indirectly, use, make available, sell, disclose or otherwise communicate to any person, other than in the course of Executive’s assigned duties and for the benefit of the Company, either during the period of Executive’s employment or at any time thereafter, any Confidential Information or other confidential or proprietary information received from third parties subject to a duty on the Company’s and its Affiliates’ part to maintain the confidentiality of such information, and to use such information only for certain limited purposes strictly for the benefit of the Company or any of its Affiliates. Executive further agrees that the Company owns the Confidential Information and Executive has no rights, title, or interest in any of the Confidential Information.</w:t>
      </w:r>
    </w:p>
    <w:p>
      <w:pPr>
        <w:spacing w:after="0" w:line="171" w:lineRule="exact"/>
        <w:rPr>
          <w:rFonts w:ascii="Arial" w:cs="Arial" w:eastAsia="Arial" w:hAnsi="Arial"/>
          <w:sz w:val="16"/>
          <w:szCs w:val="16"/>
          <w:color w:val="auto"/>
        </w:rPr>
      </w:pPr>
    </w:p>
    <w:p>
      <w:pPr>
        <w:ind w:left="640" w:right="280" w:firstLine="654"/>
        <w:spacing w:after="0" w:line="277" w:lineRule="auto"/>
        <w:tabs>
          <w:tab w:leader="none" w:pos="16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Executive’s confidentiality and non-disclosure obligations under this Agreement shall continue: (A) with respect to trade secret information, for as long as such</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584" w:right="359" w:bottom="1440" w:gutter="0" w:footer="0" w:header="0"/>
        </w:sectPr>
      </w:pPr>
    </w:p>
    <w:bookmarkStart w:id="67" w:name="page68"/>
    <w:bookmarkEnd w:id="67"/>
    <w:p>
      <w:pPr>
        <w:jc w:val="both"/>
        <w:ind w:left="640"/>
        <w:spacing w:after="0" w:line="263" w:lineRule="auto"/>
        <w:rPr>
          <w:sz w:val="20"/>
          <w:szCs w:val="20"/>
          <w:color w:val="auto"/>
        </w:rPr>
      </w:pPr>
      <w:r>
        <w:rPr>
          <w:rFonts w:ascii="Arial" w:cs="Arial" w:eastAsia="Arial" w:hAnsi="Arial"/>
          <w:sz w:val="18"/>
          <w:szCs w:val="18"/>
          <w:color w:val="auto"/>
        </w:rPr>
        <w:t>information constitutes a trade secret under applicable law; and (B) with respect to Confidential Information that does not constitute a trade secret, for as long as such information remains confidential, and will not apply to information that becomes generally known to the public through no fault or action of Executive.</w:t>
      </w:r>
    </w:p>
    <w:p>
      <w:pPr>
        <w:spacing w:after="0" w:line="184" w:lineRule="exact"/>
        <w:rPr>
          <w:sz w:val="20"/>
          <w:szCs w:val="20"/>
          <w:color w:val="auto"/>
        </w:rPr>
      </w:pPr>
    </w:p>
    <w:p>
      <w:pPr>
        <w:ind w:left="640" w:right="60" w:firstLine="654"/>
        <w:spacing w:after="0" w:line="289" w:lineRule="auto"/>
        <w:tabs>
          <w:tab w:leader="none" w:pos="1738" w:val="left"/>
        </w:tabs>
        <w:numPr>
          <w:ilvl w:val="1"/>
          <w:numId w:val="63"/>
        </w:numPr>
        <w:rPr>
          <w:rFonts w:ascii="Arial" w:cs="Arial" w:eastAsia="Arial" w:hAnsi="Arial"/>
          <w:sz w:val="16"/>
          <w:szCs w:val="16"/>
          <w:color w:val="auto"/>
        </w:rPr>
      </w:pPr>
      <w:r>
        <w:rPr>
          <w:rFonts w:ascii="Arial" w:cs="Arial" w:eastAsia="Arial" w:hAnsi="Arial"/>
          <w:sz w:val="16"/>
          <w:szCs w:val="16"/>
          <w:color w:val="auto"/>
        </w:rPr>
        <w:t>Executive will abide by the Company’s policies protecting Confidential Information as well as information technology policies in all material respects, as such policies may exist from time to time. At the Company’s request or upon termination of Executive’s employment with the Company for any reason, Executive will immediately deliver to the Company any and all materials (including all copies and electronically stored data) containing any Confidential Information in Executive’s possession, custody or control. Executive agrees that upon termination of employment, Executive (A) will allow the Company access to Executive’s personal mobile phone and any other of Executive’s personal devices which may contain any of the Company’s Confidential Information and will cooperate with the Company in permanently transferring to the Company and deleting the Confidential Information from such devices, and (B) if requested by the Company, will provide the Company with a signed written statement disclosing whether Executive has returned to the Company all materials (including all copies and electronically stored data) containing any Confidential Information previously in Executive’s possession, custody, or control.</w:t>
      </w:r>
    </w:p>
    <w:p>
      <w:pPr>
        <w:spacing w:after="0" w:line="162" w:lineRule="exact"/>
        <w:rPr>
          <w:rFonts w:ascii="Arial" w:cs="Arial" w:eastAsia="Arial" w:hAnsi="Arial"/>
          <w:sz w:val="16"/>
          <w:szCs w:val="16"/>
          <w:color w:val="auto"/>
        </w:rPr>
      </w:pPr>
    </w:p>
    <w:p>
      <w:pPr>
        <w:ind w:right="20" w:firstLine="646"/>
        <w:spacing w:after="0" w:line="268" w:lineRule="auto"/>
        <w:tabs>
          <w:tab w:leader="none" w:pos="1038"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NONCOMPETITION</w:t>
      </w:r>
      <w:r>
        <w:rPr>
          <w:rFonts w:ascii="Arial" w:cs="Arial" w:eastAsia="Arial" w:hAnsi="Arial"/>
          <w:sz w:val="17"/>
          <w:szCs w:val="17"/>
          <w:color w:val="auto"/>
        </w:rPr>
        <w:t>. Executive acknowledges that (i) Executive performs services of a unique nature for the Company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irreplaceable, and that Executive’s performance of such services to a competing business will result in irreparable harm to the Company, (ii) Executive will have access to Confidential Information, which, if disclosed or utilized, would unfairly and inappropriately assist in competition against the Company or any of its subsidiaries, (iii) in the course of Executive’s employment by a competitor, Executive would inevitably use or disclose such Confidential Information, (iv) the Company and its Affiliates have substantial relationships with their customers and Executive will have access to these customers, (v) Executive will receive specialized training from the Company and its Affiliates, and (vi) Executive will help develop goodwill for the Company and its Affiliates in the course of Executive’s employment. Accordingly, during the Employment Term and for one (1) year thereafter, Executive agrees that Executive will not, directly or indirectly, own, manage, operate, control, be employed by (whether as an employee, consultant, independent contractor or otherwise, and whether or not for compensation) or render services to any person, firm, corporation or other entity, in whatever form, engaged in competition with the Company or any of its Affiliates or in any other material business in which the Company or any of its Affiliates is engaged on the date of termination or in which they have actively planned, on or prior to such date, to be engaged in on or after such date, in any locale of any country in which the Company conducts business or plans to conduct business, including, but not limited to, all states of the United States in which the Company or its Affiliates is conducting business or selling its products as of the date Executive’s employment terminates. Restricted competitive businesses under this paragraph 9(b) includes (1) any person or entity engaged in a business that competes with the Company or any of its Affiliates operating in the industry in which Company is actively engaged at end of the Employment Term; (2) any person or entity that offers, sells, designs, manufactures, or provides any Competing Product and competes with the business of Company or any of its Affiliates operating in the industry in which Company is actively engaged at the end of the Employment Term; and/or (3) any</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68" w:name="page69"/>
    <w:bookmarkEnd w:id="68"/>
    <w:p>
      <w:pPr>
        <w:jc w:val="both"/>
        <w:spacing w:after="0" w:line="287" w:lineRule="auto"/>
        <w:rPr>
          <w:sz w:val="20"/>
          <w:szCs w:val="20"/>
          <w:color w:val="auto"/>
        </w:rPr>
      </w:pPr>
      <w:r>
        <w:rPr>
          <w:rFonts w:ascii="Arial" w:cs="Arial" w:eastAsia="Arial" w:hAnsi="Arial"/>
          <w:sz w:val="16"/>
          <w:szCs w:val="16"/>
          <w:color w:val="auto"/>
        </w:rPr>
        <w:t>person or entity that plans to offer, sell or provide any Competing Product and is actively engaged in developing any Competing Product or starting a business to offer or sell any Competing Product. “</w:t>
      </w:r>
      <w:r>
        <w:rPr>
          <w:rFonts w:ascii="Arial" w:cs="Arial" w:eastAsia="Arial" w:hAnsi="Arial"/>
          <w:sz w:val="16"/>
          <w:szCs w:val="16"/>
          <w:u w:val="single" w:color="auto"/>
          <w:color w:val="auto"/>
        </w:rPr>
        <w:t>Competing Product</w:t>
      </w:r>
      <w:r>
        <w:rPr>
          <w:rFonts w:ascii="Arial" w:cs="Arial" w:eastAsia="Arial" w:hAnsi="Arial"/>
          <w:sz w:val="16"/>
          <w:szCs w:val="16"/>
          <w:color w:val="auto"/>
        </w:rPr>
        <w:t>” means (x) any product or service that is similar to and competitive with any product or service that the Company is manufacturing, offering, selling, distributing, providing, designing, and/or developing during, and as of the end of, the Employment Term, and/or (y) any product or service that is similar to and competitive with any product or service that the Company is manufacturing, offering, selling, distributing, providing, designing, and/or developing during, and as of the end of, the Employment Term; including but not limited to with respect to aftermarket performance products, including but not limited to carburetors, fuel injection systems, exhausts, safety equipment, suspension, brakes, tuning, accessories, lighting, transmission, drivetrain, off- road products, and automotive racing products. Notwithstanding the foregoing, nothing herein shall prohibit Executive from being a passive owner of not more than two percent (2%) of the equity securities of a publicly traded corporation engaged in a business that is in competition with the Company or any of its Affiliates known to Executive at the end of the Employment Term, so long as Executive has no active participation in the business of such corporation. For purposes of this Agreement, “control” means the possession, directly or indirectly, of the power to direct, or cause the direction of, the management and policies of any entity or person, whether through ownership of voting securities, contract or otherwise, and “controlled” and “controlling” shall have correlative meanings.</w:t>
      </w:r>
    </w:p>
    <w:p>
      <w:pPr>
        <w:spacing w:after="0" w:line="164" w:lineRule="exact"/>
        <w:rPr>
          <w:sz w:val="20"/>
          <w:szCs w:val="20"/>
          <w:color w:val="auto"/>
        </w:rPr>
      </w:pPr>
    </w:p>
    <w:p>
      <w:pPr>
        <w:ind w:left="960" w:hanging="31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NONSOLICITATION; NONINTERFERENCE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0" w:right="260" w:firstLine="654"/>
        <w:spacing w:after="0" w:line="291" w:lineRule="auto"/>
        <w:tabs>
          <w:tab w:leader="none" w:pos="1638" w:val="left"/>
        </w:tabs>
        <w:numPr>
          <w:ilvl w:val="1"/>
          <w:numId w:val="65"/>
        </w:numPr>
        <w:rPr>
          <w:rFonts w:ascii="Arial" w:cs="Arial" w:eastAsia="Arial" w:hAnsi="Arial"/>
          <w:sz w:val="16"/>
          <w:szCs w:val="16"/>
          <w:color w:val="auto"/>
        </w:rPr>
      </w:pPr>
      <w:r>
        <w:rPr>
          <w:rFonts w:ascii="Arial" w:cs="Arial" w:eastAsia="Arial" w:hAnsi="Arial"/>
          <w:sz w:val="16"/>
          <w:szCs w:val="16"/>
          <w:color w:val="auto"/>
        </w:rPr>
        <w:t>During the Employment Term and for one year thereafter, Executive agrees that Executive shall not, except in the furtherance of Executive’s duties hereunder, directly or indirectly, individually or on behalf of any other person, firm, corporation or other entity,</w:t>
      </w:r>
    </w:p>
    <w:p>
      <w:pPr>
        <w:jc w:val="both"/>
        <w:ind w:left="640"/>
        <w:spacing w:after="0" w:line="253" w:lineRule="auto"/>
        <w:rPr>
          <w:rFonts w:ascii="Arial" w:cs="Arial" w:eastAsia="Arial" w:hAnsi="Arial"/>
          <w:sz w:val="16"/>
          <w:szCs w:val="16"/>
          <w:color w:val="auto"/>
        </w:rPr>
      </w:pPr>
      <w:r>
        <w:rPr>
          <w:rFonts w:ascii="Arial" w:cs="Arial" w:eastAsia="Arial" w:hAnsi="Arial"/>
          <w:sz w:val="18"/>
          <w:szCs w:val="18"/>
          <w:color w:val="auto"/>
        </w:rPr>
        <w:t>(A) solicit, aid or induce any individual or entity that is, or was during the twelve-month period immediately prior to the termination of Executive’s employment for any reason, a customer of the Company or any of its Affiliates to purchase goods or services then sold by the Company or any of its Affiliates from another person, firm, corporation or other entity or assist or aid any other persons or entity in identifying or soliciting any such customer or (B) interfere, or aid or induce any other person or entity in interfering, with the relationship between the Company or any of its Affiliates and any of their respective vendors, or licensors.</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640" w:right="520" w:firstLine="654"/>
        <w:spacing w:after="0" w:line="291" w:lineRule="auto"/>
        <w:tabs>
          <w:tab w:leader="none" w:pos="1688" w:val="left"/>
        </w:tabs>
        <w:numPr>
          <w:ilvl w:val="1"/>
          <w:numId w:val="65"/>
        </w:numPr>
        <w:rPr>
          <w:rFonts w:ascii="Arial" w:cs="Arial" w:eastAsia="Arial" w:hAnsi="Arial"/>
          <w:sz w:val="16"/>
          <w:szCs w:val="16"/>
          <w:color w:val="auto"/>
        </w:rPr>
      </w:pPr>
      <w:r>
        <w:rPr>
          <w:rFonts w:ascii="Arial" w:cs="Arial" w:eastAsia="Arial" w:hAnsi="Arial"/>
          <w:sz w:val="16"/>
          <w:szCs w:val="16"/>
          <w:color w:val="auto"/>
        </w:rPr>
        <w:t>During the Employment Term and Restrictive Period, Executive agrees that Executive shall not, except in the furtherance of Executive’s duties hereunder, directly or indirectly, individually or on behalf of any other person, firm, corporation or other entity,</w:t>
      </w: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(A) solicit, aid or induce any employee of the Company or any of its Affiliates to leave such employment or to accept employment with any other person, firm, corporation or other entity unaffiliated with the Company or hire or retain any such employee, or take any action to materially assist or aid any other person, firm, corporation or other entity in identifying, hiring or soliciting any such employee, or (B) interfere, or aid or induce any other person or entity in interfering, with the relationship between the Company or any of its Affiliates known to Executive at the end of the Employment Term;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9(c)(ii)</w:t>
      </w:r>
      <w:r>
        <w:rPr>
          <w:rFonts w:ascii="Arial" w:cs="Arial" w:eastAsia="Arial" w:hAnsi="Arial"/>
          <w:sz w:val="18"/>
          <w:szCs w:val="18"/>
          <w:color w:val="auto"/>
        </w:rPr>
        <w:t xml:space="preserve"> shall not preclude Executive from (x) making generalized solicitations for employees of the Company through advertisements or search firms, (or hiring any such persons through such solicitation), provided that such solicitations are not</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69" w:name="page70"/>
    <w:bookmarkEnd w:id="69"/>
    <w:p>
      <w:pPr>
        <w:jc w:val="both"/>
        <w:ind w:left="640"/>
        <w:spacing w:after="0" w:line="263" w:lineRule="auto"/>
        <w:rPr>
          <w:sz w:val="20"/>
          <w:szCs w:val="20"/>
          <w:color w:val="auto"/>
        </w:rPr>
      </w:pPr>
      <w:r>
        <w:rPr>
          <w:rFonts w:ascii="Arial" w:cs="Arial" w:eastAsia="Arial" w:hAnsi="Arial"/>
          <w:sz w:val="18"/>
          <w:szCs w:val="18"/>
          <w:color w:val="auto"/>
        </w:rPr>
        <w:t>specifically targeted at any such employee of the Company, or (y) soliciting or hiring any former employee of the Company, whose employment with the Company was terminated by such party at least three (3) months prior to such solicitation or hiring and whose termination was not encouraged, solicited or induced by Executive.</w:t>
      </w:r>
    </w:p>
    <w:p>
      <w:pPr>
        <w:spacing w:after="0" w:line="180" w:lineRule="exact"/>
        <w:rPr>
          <w:sz w:val="20"/>
          <w:szCs w:val="20"/>
          <w:color w:val="auto"/>
        </w:rPr>
      </w:pPr>
    </w:p>
    <w:p>
      <w:pPr>
        <w:ind w:firstLine="646"/>
        <w:spacing w:after="0" w:line="270" w:lineRule="auto"/>
        <w:tabs>
          <w:tab w:leader="none" w:pos="1038"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PERMITTED USES OF TRADE SECRETS</w:t>
      </w:r>
      <w:r>
        <w:rPr>
          <w:rFonts w:ascii="Arial" w:cs="Arial" w:eastAsia="Arial" w:hAnsi="Arial"/>
          <w:sz w:val="17"/>
          <w:szCs w:val="17"/>
          <w:color w:val="auto"/>
        </w:rPr>
        <w:t>. Misappropriation of a trade secret of the Company or any Affiliate in breach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subject Executive to liability under, among other laws, the Defend Trade Secrets Act of 2016 (the “</w:t>
      </w:r>
      <w:r>
        <w:rPr>
          <w:rFonts w:ascii="Arial" w:cs="Arial" w:eastAsia="Arial" w:hAnsi="Arial"/>
          <w:sz w:val="17"/>
          <w:szCs w:val="17"/>
          <w:u w:val="single" w:color="auto"/>
          <w:color w:val="auto"/>
        </w:rPr>
        <w:t>DTSA</w:t>
      </w:r>
      <w:r>
        <w:rPr>
          <w:rFonts w:ascii="Arial" w:cs="Arial" w:eastAsia="Arial" w:hAnsi="Arial"/>
          <w:sz w:val="17"/>
          <w:szCs w:val="17"/>
          <w:color w:val="auto"/>
        </w:rPr>
        <w:t>”),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other proceeding, if such filing is made under seal. Executive is further notified that if Executive files a lawsuit for retaliation by the Company or 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76" w:lineRule="exact"/>
        <w:rPr>
          <w:rFonts w:ascii="Arial" w:cs="Arial" w:eastAsia="Arial" w:hAnsi="Arial"/>
          <w:sz w:val="17"/>
          <w:szCs w:val="17"/>
          <w:color w:val="auto"/>
        </w:rPr>
      </w:pPr>
    </w:p>
    <w:p>
      <w:pPr>
        <w:ind w:left="960" w:hanging="31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CONFIDENTIAL DISCLOSURE TO GOVERNMENTAL AND QUASI-</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GOVERNMENTAL ENTITIES</w:t>
      </w:r>
      <w:r>
        <w:rPr>
          <w:rFonts w:ascii="Arial" w:cs="Arial" w:eastAsia="Arial" w:hAnsi="Arial"/>
          <w:sz w:val="18"/>
          <w:szCs w:val="18"/>
          <w:color w:val="auto"/>
        </w:rPr>
        <w:t>. Nothing in this Agreement prohibits or restricts Executive from reporting possible violations of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spacing w:after="0" w:line="190" w:lineRule="exact"/>
        <w:rPr>
          <w:sz w:val="20"/>
          <w:szCs w:val="20"/>
          <w:color w:val="auto"/>
        </w:rPr>
      </w:pPr>
    </w:p>
    <w:p>
      <w:pPr>
        <w:ind w:left="960" w:hanging="31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0" w:right="620" w:firstLine="654"/>
        <w:spacing w:after="0" w:line="291" w:lineRule="auto"/>
        <w:tabs>
          <w:tab w:leader="none" w:pos="163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Executive acknowledges and agrees that all ideas, designs, methods, inventions, discoveries, improvements, developments, technology, works of authorship, and all work product of any kind or nature whatsoever, whether patentable or unpatentable,</w:t>
      </w: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(A) that relate to the business, products, activities, research, or development of the Company or Executive’s work with the Company, made or conceived or developed by Executive, solely or jointly with others, during the Employment Term, or (B) that arise from any work that Executive performs in connection with the Company, either while performing Executive’s duties with the Company or on Executive’s own time, and all rights therein including without limitation in claims related thereto (all of the foregoing “</w:t>
      </w:r>
      <w:r>
        <w:rPr>
          <w:rFonts w:ascii="Arial" w:cs="Arial" w:eastAsia="Arial" w:hAnsi="Arial"/>
          <w:sz w:val="18"/>
          <w:szCs w:val="18"/>
          <w:u w:val="single" w:color="auto"/>
          <w:color w:val="auto"/>
        </w:rPr>
        <w:t>Inventions</w:t>
      </w:r>
      <w:r>
        <w:rPr>
          <w:rFonts w:ascii="Arial" w:cs="Arial" w:eastAsia="Arial" w:hAnsi="Arial"/>
          <w:sz w:val="18"/>
          <w:szCs w:val="18"/>
          <w:color w:val="auto"/>
        </w:rPr>
        <w:t>”) shall belong exclusively to the Company (or its designee), whether or not patent applications are filed thereon. Executive hereby irrevocably conveys, transfers and assigns to the Company the Inventions and all intellectual property, proprietary, and other rights therein, including without limitation all rights in and to any patents, copyright</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70" w:name="page71"/>
    <w:bookmarkEnd w:id="70"/>
    <w:p>
      <w:pPr>
        <w:jc w:val="both"/>
        <w:spacing w:after="0" w:line="269" w:lineRule="auto"/>
        <w:rPr>
          <w:sz w:val="20"/>
          <w:szCs w:val="20"/>
          <w:color w:val="auto"/>
        </w:rPr>
      </w:pPr>
      <w:r>
        <w:rPr>
          <w:rFonts w:ascii="Arial" w:cs="Arial" w:eastAsia="Arial" w:hAnsi="Arial"/>
          <w:sz w:val="17"/>
          <w:szCs w:val="17"/>
          <w:color w:val="auto"/>
        </w:rPr>
        <w:t>registrations, trademark registrations, or other forms of protection that may issue thereon in any and all countries, whether during or subsequent to the Employment Term, together with the right to file, in Executive’s name or in the name of the Company (or its designee), applications for patents and other rights and registrations (the “</w:t>
      </w:r>
      <w:r>
        <w:rPr>
          <w:rFonts w:ascii="Arial" w:cs="Arial" w:eastAsia="Arial" w:hAnsi="Arial"/>
          <w:sz w:val="17"/>
          <w:szCs w:val="17"/>
          <w:u w:val="single" w:color="auto"/>
          <w:color w:val="auto"/>
        </w:rPr>
        <w:t>Applications</w:t>
      </w:r>
      <w:r>
        <w:rPr>
          <w:rFonts w:ascii="Arial" w:cs="Arial" w:eastAsia="Arial" w:hAnsi="Arial"/>
          <w:sz w:val="17"/>
          <w:szCs w:val="17"/>
          <w:color w:val="auto"/>
        </w:rPr>
        <w:t>”). Executive will, at the Company’s sole cost and expense and at any time during and subsequent to the Employment Term, make such applications, sign such papers, take all rightful oaths, and perform all acts as may be requested from time to time by the Company with respect to the Inventions including without limitation to the perfection, registration, maintenance, or enforcement of any rights therein. Executive will also execute assignments to the Company (or its designee) of the Applications, and give the Company and its attorneys all reasonable assistance (including the giving of testimony) to obtain the Inventions and all intellectual property, proprietary, and other rights therein for the Company’s benefit, all without additional compensation to Executive from the Company, but entirely at the Company’s expense.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 if the Company is unable for any other reason to secure Executive’s signature on any document for this purpose.</w:t>
      </w:r>
    </w:p>
    <w:p>
      <w:pPr>
        <w:spacing w:after="0" w:line="179" w:lineRule="exact"/>
        <w:rPr>
          <w:sz w:val="20"/>
          <w:szCs w:val="20"/>
          <w:color w:val="auto"/>
        </w:rPr>
      </w:pPr>
    </w:p>
    <w:p>
      <w:pPr>
        <w:ind w:right="40" w:firstLine="654"/>
        <w:spacing w:after="0" w:line="267" w:lineRule="auto"/>
        <w:tabs>
          <w:tab w:leader="none" w:pos="1048"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In addition, Executive acknowledges that the Inventions are and will be deemed “work made for hire”, as such term is defined under the copyright laws of the United States, on behalf of the Company and Executive agrees that the Company will be the sole owner of the Inventions, and all underlying rights therein, in all media now known or hereinafter devised, throughout the universe and in perpetuity without any further obligations to Executive. If the Inventions, or any portion thereof, are not or are deemed not to be “works made for hire”, Executive hereby irrevocably conveys, transfers and assigns to the Company, all rights, in all media now known or hereinafter devised, throughout the universe and in perpetuity, in and to the Inventions, including, without limitation, all of Executive’s right, title and interest in the copyrights, trademarks, and other intellectual property and proprietary rights (and all renewals, revivals and extensions thereof) in or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or any intellectual property or other proprietary rights therein, known or unknown, including without limitation prior to the date hereof, including, without limitation, the right to receive all proceeds and damages therefrom. In addition, Executive hereby waives any so-called “moral rights” with respect to the Inventions. To the extent that Executive has any rights in the results and proceeds of Executive’s service to the Company that cannot be assigned in the manner described herein, Executive agrees to and hereby does unconditionally waive the enforcement of such rights. Executive hereby waives any and all currently existing and future monetary rights in and to the Inventions and all patents, copyright registrations, trademark registrations, and other forms of protection that may issue thereon, including, without limitation, any rights that would otherwise accrue to Executive’s benefit by virtue of Executive being an employee of or other service provider to the Company. Nothing contained in this </w:t>
      </w:r>
      <w:r>
        <w:rPr>
          <w:rFonts w:ascii="Arial" w:cs="Arial" w:eastAsia="Arial" w:hAnsi="Arial"/>
          <w:sz w:val="17"/>
          <w:szCs w:val="17"/>
          <w:u w:val="single" w:color="auto"/>
          <w:color w:val="auto"/>
        </w:rPr>
        <w:t>Section 9(f)</w:t>
      </w:r>
      <w:r>
        <w:rPr>
          <w:rFonts w:ascii="Arial" w:cs="Arial" w:eastAsia="Arial" w:hAnsi="Arial"/>
          <w:sz w:val="17"/>
          <w:szCs w:val="17"/>
          <w:color w:val="auto"/>
        </w:rPr>
        <w:t xml:space="preserve"> or otherwise in this Agreement shall be construed to reduce</w:t>
      </w:r>
    </w:p>
    <w:p>
      <w:pPr>
        <w:spacing w:after="0" w:line="19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584" w:right="339" w:bottom="1440" w:gutter="0" w:footer="0" w:header="0"/>
        </w:sectPr>
      </w:pPr>
    </w:p>
    <w:bookmarkStart w:id="71" w:name="page72"/>
    <w:bookmarkEnd w:id="71"/>
    <w:p>
      <w:pPr>
        <w:ind w:left="640"/>
        <w:spacing w:after="0" w:line="277" w:lineRule="auto"/>
        <w:rPr>
          <w:sz w:val="20"/>
          <w:szCs w:val="20"/>
          <w:color w:val="auto"/>
        </w:rPr>
      </w:pPr>
      <w:r>
        <w:rPr>
          <w:rFonts w:ascii="Arial" w:cs="Arial" w:eastAsia="Arial" w:hAnsi="Arial"/>
          <w:sz w:val="18"/>
          <w:szCs w:val="18"/>
          <w:color w:val="auto"/>
        </w:rPr>
        <w:t>or limit the Company’s right, title, or interest in any Inventions or any intellectual property, proprietary, or other rights therein so as to be less in any respect than the Company would have had in the absence of this Agreement.</w:t>
      </w:r>
    </w:p>
    <w:p>
      <w:pPr>
        <w:spacing w:after="0" w:line="170" w:lineRule="exact"/>
        <w:rPr>
          <w:sz w:val="20"/>
          <w:szCs w:val="20"/>
          <w:color w:val="auto"/>
        </w:rPr>
      </w:pPr>
    </w:p>
    <w:p>
      <w:pPr>
        <w:ind w:left="640" w:right="20" w:firstLine="654"/>
        <w:spacing w:after="0" w:line="259" w:lineRule="auto"/>
        <w:tabs>
          <w:tab w:leader="none" w:pos="173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9(f)</w:t>
      </w:r>
      <w:r>
        <w:rPr>
          <w:rFonts w:ascii="Arial" w:cs="Arial" w:eastAsia="Arial" w:hAnsi="Arial"/>
          <w:sz w:val="18"/>
          <w:szCs w:val="18"/>
          <w:color w:val="auto"/>
        </w:rPr>
        <w:t xml:space="preserve"> does not apply to an invention for which no equipment, supplies, facility, or Confidential Information of Company was used and that was developed entirely on Executive’s own time, unless (A) the invention relates (1) directly to the business of Company, or (2) to Company’s actual or demonstrably anticipated research or development or (B) the invention results from any work performed by Executive for Company.</w:t>
      </w:r>
    </w:p>
    <w:p>
      <w:pPr>
        <w:spacing w:after="0" w:line="186" w:lineRule="exact"/>
        <w:rPr>
          <w:rFonts w:ascii="Arial" w:cs="Arial" w:eastAsia="Arial" w:hAnsi="Arial"/>
          <w:sz w:val="18"/>
          <w:szCs w:val="18"/>
          <w:color w:val="auto"/>
        </w:rPr>
      </w:pPr>
    </w:p>
    <w:p>
      <w:pPr>
        <w:ind w:left="640" w:right="60" w:firstLine="654"/>
        <w:spacing w:after="0" w:line="270" w:lineRule="auto"/>
        <w:tabs>
          <w:tab w:leader="none" w:pos="1728"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Executive shall not improperly use for the benefit of, bring to any premises of, divulge, disclose, communicate, reveal, transfer or provide access to, integrate into or use for or to create any Inventions, or share with the Company, any confidential, proprietary or non-public information or intellectual property relating to a former employer or other third party without the prior written permission of such third party and any other necessary rights. Executive represents and warrants that he does not possess or own any rights in or to any confidential, proprietary or non-public information or intellectual property related to the business of the Company. Executive shall comply with all relevant agreements, policies and guidelines of the Company regarding the protection of confidential information and intellectual property and potential conflicts of interest, provided the same are consistent with the terms of this Agreement and Executive’s duties to the Company and its Affiliates. Executive acknowledges that the Company may amend any such policies and guidelines from time to time, and that Executive remains at all times bound by their most current version.</w:t>
      </w:r>
    </w:p>
    <w:p>
      <w:pPr>
        <w:spacing w:after="0" w:line="176" w:lineRule="exact"/>
        <w:rPr>
          <w:rFonts w:ascii="Arial" w:cs="Arial" w:eastAsia="Arial" w:hAnsi="Arial"/>
          <w:sz w:val="17"/>
          <w:szCs w:val="17"/>
          <w:color w:val="auto"/>
        </w:rPr>
      </w:pPr>
    </w:p>
    <w:p>
      <w:pPr>
        <w:ind w:right="60" w:firstLine="646"/>
        <w:spacing w:after="0" w:line="291" w:lineRule="auto"/>
        <w:tabs>
          <w:tab w:leader="none" w:pos="1038"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On the date of Executive’s termination of employment with the Company for any reason (or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prior thereto at the Company’s request), Executive: (A) will as soon as reasonably practicable deliver to the Company all materials (including all copies and electronically stored data) containing any Confidential Information or other property belonging to the Company or any of its Affiliates in Executive’s possession, custody, or control (including, but not limited to, any Company-provided access cards, keys, credit cards, desktop computers, laptops, USB drives, discs, external hard drives, tablets, cellular phones, or other equipment, or documents and property belonging to the Company); (B) will not retain any copies (hard copy or digitally-stored) of the Confidential Information; and (C) if requested by the Company, will provide the Company with a signed written statement disclosing whether Executive has returned to the Company all materials (including all copies and electronically stored data) containing any Confidential Information and property of the Company previously in Executive's possession, custody, or control.</w:t>
      </w:r>
    </w:p>
    <w:p>
      <w:pPr>
        <w:spacing w:after="0" w:line="159" w:lineRule="exact"/>
        <w:rPr>
          <w:rFonts w:ascii="Arial" w:cs="Arial" w:eastAsia="Arial" w:hAnsi="Arial"/>
          <w:sz w:val="16"/>
          <w:szCs w:val="16"/>
          <w:color w:val="auto"/>
        </w:rPr>
      </w:pPr>
    </w:p>
    <w:p>
      <w:pPr>
        <w:ind w:right="260" w:firstLine="646"/>
        <w:spacing w:after="0" w:line="277" w:lineRule="auto"/>
        <w:tabs>
          <w:tab w:leader="none" w:pos="1038"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REASONABLENESS OF COVENANTS</w:t>
      </w:r>
      <w:r>
        <w:rPr>
          <w:rFonts w:ascii="Arial" w:cs="Arial" w:eastAsia="Arial" w:hAnsi="Arial"/>
          <w:sz w:val="17"/>
          <w:szCs w:val="17"/>
          <w:color w:val="auto"/>
        </w:rPr>
        <w:t>. In signing this Agreement, Executive gives the Company assurance that Executive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carefully read and considered all of the terms and conditions of this Agreement, including the restraints imposed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Executive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Executive from obtaining</w:t>
      </w:r>
    </w:p>
    <w:p>
      <w:pPr>
        <w:spacing w:after="0" w:line="1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72" w:name="page73"/>
    <w:bookmarkEnd w:id="72"/>
    <w:p>
      <w:pPr>
        <w:jc w:val="both"/>
        <w:spacing w:after="0" w:line="288" w:lineRule="auto"/>
        <w:rPr>
          <w:sz w:val="20"/>
          <w:szCs w:val="20"/>
          <w:color w:val="auto"/>
        </w:rPr>
      </w:pPr>
      <w:r>
        <w:rPr>
          <w:rFonts w:ascii="Arial" w:cs="Arial" w:eastAsia="Arial" w:hAnsi="Arial"/>
          <w:sz w:val="16"/>
          <w:szCs w:val="16"/>
          <w:color w:val="auto"/>
        </w:rPr>
        <w:t xml:space="preserve">other suitable employment during the period in which Executive is bound by the restraints. Executive agrees that, before providing services, whether as an employee or consultant, to any entity during the period of time that Executive is subject to the constraints in </w:t>
      </w:r>
      <w:r>
        <w:rPr>
          <w:rFonts w:ascii="Arial" w:cs="Arial" w:eastAsia="Arial" w:hAnsi="Arial"/>
          <w:sz w:val="16"/>
          <w:szCs w:val="16"/>
          <w:u w:val="single" w:color="auto"/>
          <w:color w:val="auto"/>
        </w:rPr>
        <w:t>Sections 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9(c)</w:t>
      </w:r>
      <w:r>
        <w:rPr>
          <w:rFonts w:ascii="Arial" w:cs="Arial" w:eastAsia="Arial" w:hAnsi="Arial"/>
          <w:sz w:val="16"/>
          <w:szCs w:val="16"/>
          <w:color w:val="auto"/>
        </w:rPr>
        <w:t xml:space="preserve"> hereof, Executive will provide a copy of this Agreement (including, without limitation,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to such entity, and the Company shall be entitled to share a copy of this Agreement (including, without limitation,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with such entity or any other entity to which Executive performs services. Executive acknowledges that each of these covenants has a unique, very substantial and immeasurable value to the Company and its Affiliates and that Executive has sufficient assets and skills to provide a livelihood while such covenants remain in force. Executive further covenants that Executive will not challenge the reasonableness or enforceability of any of the covenants set forth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It is also agreed that each of the Company’s Affiliates will have the right to enforce all of Executive’s obligations to that Affiliate under this Agreement and shall be third party beneficiaries hereunder, including without limitation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In the event an action is filed to enforce the covenants set forth in this Section 9, then the prevailing party or parties in such action shall be entitled to an award of its costs, including attorneys’ fees, from the party or parties not prevailing.</w:t>
      </w:r>
    </w:p>
    <w:p>
      <w:pPr>
        <w:spacing w:after="0" w:line="164" w:lineRule="exact"/>
        <w:rPr>
          <w:sz w:val="20"/>
          <w:szCs w:val="20"/>
          <w:color w:val="auto"/>
        </w:rPr>
      </w:pPr>
    </w:p>
    <w:p>
      <w:pPr>
        <w:ind w:right="220" w:firstLine="646"/>
        <w:spacing w:after="0" w:line="266" w:lineRule="auto"/>
        <w:tabs>
          <w:tab w:leader="none" w:pos="99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REFORMATION</w:t>
      </w:r>
      <w:r>
        <w:rPr>
          <w:rFonts w:ascii="Arial" w:cs="Arial" w:eastAsia="Arial" w:hAnsi="Arial"/>
          <w:sz w:val="18"/>
          <w:szCs w:val="18"/>
          <w:color w:val="auto"/>
        </w:rPr>
        <w:t>. If it is determined by a court of competent jurisdiction in any state that any restriction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is excessive in</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75" w:lineRule="exact"/>
        <w:rPr>
          <w:rFonts w:ascii="Arial" w:cs="Arial" w:eastAsia="Arial" w:hAnsi="Arial"/>
          <w:sz w:val="18"/>
          <w:szCs w:val="18"/>
          <w:color w:val="auto"/>
        </w:rPr>
      </w:pPr>
    </w:p>
    <w:p>
      <w:pPr>
        <w:ind w:right="220" w:firstLine="646"/>
        <w:spacing w:after="0" w:line="289" w:lineRule="auto"/>
        <w:tabs>
          <w:tab w:leader="none" w:pos="998"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TOLLING</w:t>
      </w:r>
      <w:r>
        <w:rPr>
          <w:rFonts w:ascii="Arial" w:cs="Arial" w:eastAsia="Arial" w:hAnsi="Arial"/>
          <w:sz w:val="17"/>
          <w:szCs w:val="17"/>
          <w:color w:val="auto"/>
        </w:rPr>
        <w:t>. In the event of any violation of the provisions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Executive acknowledges and agrees that the post-termination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restrictions contained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extended by a period of time equal to the period of such violation, it being the intention of the parties hereto that the running of the applicable post-termination restriction period shall be tolled during any period of such violation.</w:t>
      </w:r>
    </w:p>
    <w:p>
      <w:pPr>
        <w:spacing w:after="0" w:line="157" w:lineRule="exact"/>
        <w:rPr>
          <w:rFonts w:ascii="Arial" w:cs="Arial" w:eastAsia="Arial" w:hAnsi="Arial"/>
          <w:sz w:val="17"/>
          <w:szCs w:val="17"/>
          <w:color w:val="auto"/>
        </w:rPr>
      </w:pPr>
    </w:p>
    <w:p>
      <w:pPr>
        <w:ind w:right="260" w:firstLine="646"/>
        <w:spacing w:after="0" w:line="312" w:lineRule="auto"/>
        <w:tabs>
          <w:tab w:leader="none" w:pos="1038"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SURVIVAL OF PROVISIONS</w:t>
      </w:r>
      <w:r>
        <w:rPr>
          <w:rFonts w:ascii="Arial" w:cs="Arial" w:eastAsia="Arial" w:hAnsi="Arial"/>
          <w:sz w:val="17"/>
          <w:szCs w:val="17"/>
          <w:color w:val="auto"/>
        </w:rPr>
        <w:t>. The obligations contained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9</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b w:val="1"/>
          <w:bCs w:val="1"/>
          <w:color w:val="auto"/>
        </w:rPr>
        <w:t xml:space="preserve"> </w:t>
      </w:r>
      <w:r>
        <w:rPr>
          <w:rFonts w:ascii="Arial" w:cs="Arial" w:eastAsia="Arial" w:hAnsi="Arial"/>
          <w:sz w:val="17"/>
          <w:szCs w:val="17"/>
          <w:color w:val="auto"/>
        </w:rPr>
        <w:t>hereof shall survive the termination of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Term, the non-renewal of this Agreement and Executive’s employment with the Company and shall be fully enforceable thereafter.</w:t>
      </w:r>
    </w:p>
    <w:p>
      <w:pPr>
        <w:spacing w:after="0" w:line="140" w:lineRule="exact"/>
        <w:rPr>
          <w:sz w:val="20"/>
          <w:szCs w:val="20"/>
          <w:color w:val="auto"/>
        </w:rPr>
      </w:pPr>
    </w:p>
    <w:p>
      <w:pPr>
        <w:ind w:firstLine="646"/>
        <w:spacing w:after="0" w:line="289" w:lineRule="auto"/>
        <w:tabs>
          <w:tab w:leader="none" w:pos="1053"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COOPERATION. </w:t>
      </w:r>
      <w:r>
        <w:rPr>
          <w:rFonts w:ascii="Arial" w:cs="Arial" w:eastAsia="Arial" w:hAnsi="Arial"/>
          <w:sz w:val="16"/>
          <w:szCs w:val="16"/>
          <w:color w:val="auto"/>
        </w:rPr>
        <w:t>Upon the receipt of reasonable notice from the Company (including outside counsel), Executive agrees that while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employed by the Company and thereafter, Executive will utilize his best efforts, in good faith and in the best interest of Company, respond and provide information with regard to matters in which Executive has knowledge as a result of Executive’s employment with the Company, and will provide reasonable assistance to the Company, its Affiliates and their respective representatives in defense of any claims that may be made against the Company or its Affiliates, and will assist the Company and its Affiliates in the prosecution of any claims that may be made by the Company or its Affiliates, to the extent that such claims may relate to the period of Executive’s employment with the Company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all at the Company’s sole cost and expense. Executive agrees to promptly inform the Board if Executive becomes aware of any lawsuits involving Claims that may be filed or threatened against the Company or its Affiliates. Executive also agrees to promptly inform the Board (to the extent that Executive is legally permitted to do so) if Executive is asked to assist in any investigation of the Company or its Affiliates (or their actions) or another party attempts to</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73" w:name="page74"/>
    <w:bookmarkEnd w:id="73"/>
    <w:p>
      <w:pPr>
        <w:jc w:val="both"/>
        <w:spacing w:after="0" w:line="291" w:lineRule="auto"/>
        <w:rPr>
          <w:sz w:val="20"/>
          <w:szCs w:val="20"/>
          <w:color w:val="auto"/>
        </w:rPr>
      </w:pPr>
      <w:r>
        <w:rPr>
          <w:rFonts w:ascii="Arial" w:cs="Arial" w:eastAsia="Arial" w:hAnsi="Arial"/>
          <w:sz w:val="16"/>
          <w:szCs w:val="16"/>
          <w:color w:val="auto"/>
        </w:rPr>
        <w:t>obtain information or documents from Executive (other than in connection with any litigation or other proceeding in which Executive is a party-in-opposition) with respect to matters Executive believes in good faith to relate to any investigation of the Company or its 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Executive shall not communicate with anyone (other than Executive’s attorneys and tax and/or financial advisors and except to the extent that Executive determines in good faith is necessary in connection with the performance of Executive’s duties hereunder) with respect to the facts or subject matter of any pending or potential litigation or regulatory or administrative proceeding involving the Company or any of its Affiliates without giving prior written notice to the Board or the Company’s counsel.</w:t>
      </w:r>
    </w:p>
    <w:p>
      <w:pPr>
        <w:spacing w:after="0" w:line="162" w:lineRule="exact"/>
        <w:rPr>
          <w:sz w:val="20"/>
          <w:szCs w:val="20"/>
          <w:color w:val="auto"/>
        </w:rPr>
      </w:pPr>
    </w:p>
    <w:p>
      <w:pPr>
        <w:ind w:firstLine="646"/>
        <w:spacing w:after="0" w:line="289" w:lineRule="auto"/>
        <w:tabs>
          <w:tab w:leader="none" w:pos="104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EQUITABLE RELIEF AND OTHER REMEDIES. </w:t>
      </w:r>
      <w:r>
        <w:rPr>
          <w:rFonts w:ascii="Arial" w:cs="Arial" w:eastAsia="Arial" w:hAnsi="Arial"/>
          <w:sz w:val="16"/>
          <w:szCs w:val="16"/>
          <w:color w:val="auto"/>
        </w:rPr>
        <w:t>Executive acknowledges and agrees that the Company’s remedies at law for a breach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threatened breach of any of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would be inadequate and, in recognition of this fact, Executive agrees that, in the event of such a breach or threatened breach, in addition to any remedies at law, the Company, shall be entitled to obtain equitable relief in the form of specific performance, a temporary restraining order, a temporary or permanent injunction or any other equitable remedy which may then be available. In the event that a legal action is filed and a judgment entered ruling that Executive has violated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any severance or other benefits being paid or provided to Executive and/or Executive’s dependents pursuant to this Agreement or otherwise shall immediately cease, and any severance previously paid to Executive shall be immediately repaid to the Company upon the Company making written demand on the Executive for such payment; provided, however, that the Executive will, in any event, be entitled to receive or retain Five Hundred Dollars ($500.00) of the severance. The Company and Executive acknowledge and agree that such forfeiture and claw back are in addition to, and not in lieu of, any and all other legal and/or equitable remedies that may be available to the Company in connection with the Executive’s breach of any covenant or provision set forth in this Agreement.</w:t>
      </w:r>
    </w:p>
    <w:p>
      <w:pPr>
        <w:spacing w:after="0" w:line="160" w:lineRule="exact"/>
        <w:rPr>
          <w:rFonts w:ascii="Arial" w:cs="Arial" w:eastAsia="Arial" w:hAnsi="Arial"/>
          <w:sz w:val="16"/>
          <w:szCs w:val="16"/>
          <w:b w:val="1"/>
          <w:bCs w:val="1"/>
          <w:color w:val="auto"/>
        </w:rPr>
      </w:pPr>
    </w:p>
    <w:p>
      <w:pPr>
        <w:ind w:right="80" w:firstLine="646"/>
        <w:spacing w:after="0" w:line="292" w:lineRule="auto"/>
        <w:tabs>
          <w:tab w:leader="none" w:pos="1053"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be binding on and inure to the benefit of the parties hereto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heirs, executors and administrators, successors and assigns, except that the rights and obligations of Executive hereunder are personal and may not be assigned without the Company’s prior written consent. In addition, the Company may assign this Agreement and its rights and obligations to any successor to all of substantially all of the business and/or assets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Arial" w:cs="Arial" w:eastAsia="Arial" w:hAnsi="Arial"/>
          <w:sz w:val="16"/>
          <w:szCs w:val="16"/>
          <w:u w:val="single" w:color="auto"/>
          <w:color w:val="auto"/>
        </w:rPr>
        <w:t>Company</w:t>
      </w:r>
      <w:r>
        <w:rPr>
          <w:rFonts w:ascii="Arial" w:cs="Arial" w:eastAsia="Arial" w:hAnsi="Arial"/>
          <w:sz w:val="16"/>
          <w:szCs w:val="16"/>
          <w:color w:val="auto"/>
        </w:rPr>
        <w:t>” shall mean the Company and any assignee set forth above or successor to its business and/or assets, which assumes and agrees to perform the duties and obligations of the Company under this Agreement by operation of law or otherwise.</w:t>
      </w:r>
    </w:p>
    <w:p>
      <w:pPr>
        <w:spacing w:after="0" w:line="161" w:lineRule="exact"/>
        <w:rPr>
          <w:rFonts w:ascii="Arial" w:cs="Arial" w:eastAsia="Arial" w:hAnsi="Arial"/>
          <w:sz w:val="16"/>
          <w:szCs w:val="16"/>
          <w:b w:val="1"/>
          <w:bCs w:val="1"/>
          <w:color w:val="auto"/>
        </w:rPr>
      </w:pPr>
    </w:p>
    <w:p>
      <w:pPr>
        <w:ind w:right="20" w:firstLine="646"/>
        <w:spacing w:after="0" w:line="281" w:lineRule="auto"/>
        <w:tabs>
          <w:tab w:leader="none" w:pos="1053"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For purposes of this Agreement, notices and all other communications provided for in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duly given (a) on the date of delivery, if delivered by hand, (b) on the date of transmission, if delivered by confirmed mail or electronic mail, (c) on the first business day following the date of deposit, if delivered by guaranteed overnight delivery service, or (d) on the fourth business day following the date delivered or mailed by United States registered or certified mail, return receipt requested,</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postage prepaid, addressed, if to Executive at the address (or to the email address) shown in the books and records of the Company, and if to the Company, to the Board Chair or Executive Chair, the Chair of the Board’s Audit Committee, and the Company’s General Counsel or Chief Legal Officer, at the Company’s principal executive office, or to such other address as either party may have furnished to the other in writing in accordance herewith, except that notices of change of address shall be effective only upon receipt.</w:t>
      </w:r>
    </w:p>
    <w:p>
      <w:pPr>
        <w:spacing w:after="0" w:line="183" w:lineRule="exact"/>
        <w:rPr>
          <w:sz w:val="20"/>
          <w:szCs w:val="20"/>
          <w:color w:val="auto"/>
        </w:rPr>
      </w:pPr>
    </w:p>
    <w:p>
      <w:pPr>
        <w:ind w:right="280" w:firstLine="646"/>
        <w:spacing w:after="0" w:line="261" w:lineRule="auto"/>
        <w:tabs>
          <w:tab w:leader="none" w:pos="105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Executive will be covered by the Company’s director and officer insurance policy to the same extent as all other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of the Company. Subsequent to the cessation of Executive’s employment with the Company, the Company shall ensure that the insurance coverage is continued with respect to any claims made against the Executive with respect to acts or omissions during the time Executive was employed by the Company.</w:t>
      </w:r>
    </w:p>
    <w:p>
      <w:pPr>
        <w:spacing w:after="0" w:line="179" w:lineRule="exact"/>
        <w:rPr>
          <w:rFonts w:ascii="Arial" w:cs="Arial" w:eastAsia="Arial" w:hAnsi="Arial"/>
          <w:sz w:val="18"/>
          <w:szCs w:val="18"/>
          <w:b w:val="1"/>
          <w:bCs w:val="1"/>
          <w:color w:val="auto"/>
        </w:rPr>
      </w:pPr>
    </w:p>
    <w:p>
      <w:pPr>
        <w:ind w:left="960" w:hanging="314"/>
        <w:spacing w:after="0"/>
        <w:tabs>
          <w:tab w:leader="none" w:pos="9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HEADINGS; INCONSISTENCY; CONSTRUCTION. </w:t>
      </w:r>
      <w:r>
        <w:rPr>
          <w:rFonts w:ascii="Arial" w:cs="Arial" w:eastAsia="Arial" w:hAnsi="Arial"/>
          <w:sz w:val="18"/>
          <w:szCs w:val="18"/>
          <w:color w:val="auto"/>
        </w:rPr>
        <w:t>The section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headings used in this Agreement are included solely for convenience and shall not affect, or be used in connection with, the interpretation of this Agreement. In the event of any inconsistency between the terms of this Agreement and any policy of the Company, the terms of this Agreement shall govern and control. This Agreement is the result of negotiations between the parties, and no party shall be deemed the drafter of this Agreement. The language of this Agreement shall in all cases be construed as a whole, according to its fair meaning, and not strictly for or against either party.</w:t>
      </w:r>
    </w:p>
    <w:p>
      <w:pPr>
        <w:spacing w:after="0" w:line="157" w:lineRule="exact"/>
        <w:rPr>
          <w:sz w:val="20"/>
          <w:szCs w:val="20"/>
          <w:color w:val="auto"/>
        </w:rPr>
      </w:pPr>
    </w:p>
    <w:p>
      <w:pPr>
        <w:ind w:right="380" w:firstLine="646"/>
        <w:spacing w:after="0" w:line="282" w:lineRule="auto"/>
        <w:tabs>
          <w:tab w:leader="none" w:pos="105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shall be deemed severable and the invalidity or unenforceability of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validity or enforceability of the other provisions hereof</w:t>
      </w:r>
    </w:p>
    <w:p>
      <w:pPr>
        <w:spacing w:after="0" w:line="161" w:lineRule="exact"/>
        <w:rPr>
          <w:rFonts w:ascii="Arial" w:cs="Arial" w:eastAsia="Arial" w:hAnsi="Arial"/>
          <w:sz w:val="18"/>
          <w:szCs w:val="18"/>
          <w:b w:val="1"/>
          <w:bCs w:val="1"/>
          <w:color w:val="auto"/>
        </w:rPr>
      </w:pPr>
    </w:p>
    <w:p>
      <w:pPr>
        <w:jc w:val="both"/>
        <w:ind w:right="180" w:firstLine="646"/>
        <w:spacing w:after="0" w:line="261" w:lineRule="auto"/>
        <w:tabs>
          <w:tab w:leader="none" w:pos="105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several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will constitute one and the same instrument. Signatures transmitted by facsimile or other electronic means (including, without limitation, DocuSign, pdf format, or any electronic signature complying with the U.S. ESIGN Act of 2000) are acceptable the same as original signatures for execution of this Agreement.</w:t>
      </w:r>
    </w:p>
    <w:p>
      <w:pPr>
        <w:spacing w:after="0" w:line="179" w:lineRule="exact"/>
        <w:rPr>
          <w:rFonts w:ascii="Arial" w:cs="Arial" w:eastAsia="Arial" w:hAnsi="Arial"/>
          <w:sz w:val="18"/>
          <w:szCs w:val="18"/>
          <w:b w:val="1"/>
          <w:bCs w:val="1"/>
          <w:color w:val="auto"/>
        </w:rPr>
      </w:pPr>
    </w:p>
    <w:p>
      <w:pPr>
        <w:ind w:right="20" w:firstLine="646"/>
        <w:spacing w:after="0" w:line="271" w:lineRule="auto"/>
        <w:tabs>
          <w:tab w:leader="none" w:pos="1053"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JURISDICTION. </w:t>
      </w:r>
      <w:r>
        <w:rPr>
          <w:rFonts w:ascii="Arial" w:cs="Arial" w:eastAsia="Arial" w:hAnsi="Arial"/>
          <w:sz w:val="17"/>
          <w:szCs w:val="17"/>
          <w:color w:val="auto"/>
        </w:rPr>
        <w:t>This Agreement, the rights and obligations of the parties hereto, and any claims or disputes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thereto, shall be governed by and construed in accordance with the laws of the Commonwealth of Kentucky without giving effect to any choice-of-law rule or conflict-of-law principle that would cause the application of the laws of any jurisdiction other than Kentucky. Each of the parties agrees that any dispute between the parties arising out of or relating to this Agreement, Executive’s employment with the Company or any of its Affiliates shall be resolved exclusively a state or federal court having appropriate subject matter jurisdiction located in, or whose judicial district encompasses or serves, Warren County, Kentucky and the appellate courts having jurisdiction of appeals from such courts. In that context, and without limiting the generality of the foregoing, each of the parties hereto irrevocably and unconditionally (a) submits in any proceeding relating to this Agreement or Executive’s employment by the Company or any Affiliate, or for the recognition and enforcement of any judgment in respect thereof (a “</w:t>
      </w:r>
      <w:r>
        <w:rPr>
          <w:rFonts w:ascii="Arial" w:cs="Arial" w:eastAsia="Arial" w:hAnsi="Arial"/>
          <w:sz w:val="17"/>
          <w:szCs w:val="17"/>
          <w:u w:val="single" w:color="auto"/>
          <w:color w:val="auto"/>
        </w:rPr>
        <w:t>Proceeding</w:t>
      </w:r>
      <w:r>
        <w:rPr>
          <w:rFonts w:ascii="Arial" w:cs="Arial" w:eastAsia="Arial" w:hAnsi="Arial"/>
          <w:sz w:val="17"/>
          <w:szCs w:val="17"/>
          <w:color w:val="auto"/>
        </w:rPr>
        <w:t>”), to the exclusive jurisdiction of the courts located in,</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75" w:name="page76"/>
    <w:bookmarkEnd w:id="75"/>
    <w:p>
      <w:pPr>
        <w:jc w:val="both"/>
        <w:spacing w:after="0" w:line="252" w:lineRule="auto"/>
        <w:rPr>
          <w:sz w:val="20"/>
          <w:szCs w:val="20"/>
          <w:color w:val="auto"/>
        </w:rPr>
      </w:pPr>
      <w:r>
        <w:rPr>
          <w:rFonts w:ascii="Arial" w:cs="Arial" w:eastAsia="Arial" w:hAnsi="Arial"/>
          <w:sz w:val="18"/>
          <w:szCs w:val="18"/>
          <w:color w:val="auto"/>
        </w:rPr>
        <w:t>or whose judicial district encompasses or serves, Warren County, Kentucky and the appellate courts having jurisdiction of appeals from such courts, and agrees that all claims in respect of any such Proceeding shall be heard and determined in a state or federal court having appropriate subject matter jurisdiction located in, or whose judicial district encompasses or serves, Warren County, Kentucky and the appellate courts having jurisdiction of appeals from such courts, (b) consents that any such Proceeding may and shall be brought in such courts and waives any objection that Executive or the Company may now or thereafter have to the venue or personal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EXECUTIVE’S EMPLOYMENT BY THE COMPANY OR ANY AFFILIATE OF THE COMPANY, OR EXECUTIVE’S OR THE COMPANY’S PERFORMANCE UNDER, OR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ENFORCEMENT OF, THIS AGREEMENT, (d) agrees that service of process in any such Proceeding may be effected by mailing a copy of such process by registered or certified mail (or any substantially similar form of mail), postage prepaid, to such party at Executive’s or the Company’s address as provided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 and (e) agrees that nothing in this Agreement shall affect the right to effect service of process in any other manner permitted by the laws of the State of Kentucky.</w:t>
      </w:r>
    </w:p>
    <w:p>
      <w:pPr>
        <w:spacing w:after="0" w:line="189" w:lineRule="exact"/>
        <w:rPr>
          <w:sz w:val="20"/>
          <w:szCs w:val="20"/>
          <w:color w:val="auto"/>
        </w:rPr>
      </w:pPr>
    </w:p>
    <w:p>
      <w:pPr>
        <w:ind w:firstLine="646"/>
        <w:spacing w:after="0" w:line="289" w:lineRule="auto"/>
        <w:tabs>
          <w:tab w:leader="none" w:pos="105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No provision of this Agreement may be modified, waived or discharged unless such waiver, modification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discharge is agreed to in writing and signed by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hereto in respect of the subject matter contained herein and supersedes any and all prior agreements or understandings (including, without limitation, the offer letter dated April 26, 2023 (the “</w:t>
      </w:r>
      <w:r>
        <w:rPr>
          <w:rFonts w:ascii="Arial" w:cs="Arial" w:eastAsia="Arial" w:hAnsi="Arial"/>
          <w:sz w:val="16"/>
          <w:szCs w:val="16"/>
          <w:u w:val="single" w:color="auto"/>
          <w:color w:val="auto"/>
        </w:rPr>
        <w:t>Former Agreement</w:t>
      </w:r>
      <w:r>
        <w:rPr>
          <w:rFonts w:ascii="Arial" w:cs="Arial" w:eastAsia="Arial" w:hAnsi="Arial"/>
          <w:sz w:val="16"/>
          <w:szCs w:val="16"/>
          <w:color w:val="auto"/>
        </w:rPr>
        <w:t xml:space="preserve">”) and the Company and its Affiliates shall have no liability with respect to the Former Agreement) between Executive and the Company and its Affiliates with respect to the subject matter hereof; provided that in the event that Executive becomes a party to any other agreement providing for restrictive covenants similar to </w:t>
      </w:r>
      <w:r>
        <w:rPr>
          <w:rFonts w:ascii="Arial" w:cs="Arial" w:eastAsia="Arial" w:hAnsi="Arial"/>
          <w:sz w:val="16"/>
          <w:szCs w:val="16"/>
          <w:u w:val="single" w:color="auto"/>
          <w:color w:val="auto"/>
        </w:rPr>
        <w:t>Section 9</w:t>
      </w:r>
      <w:r>
        <w:rPr>
          <w:rFonts w:ascii="Arial" w:cs="Arial" w:eastAsia="Arial" w:hAnsi="Arial"/>
          <w:sz w:val="16"/>
          <w:szCs w:val="16"/>
          <w:color w:val="auto"/>
        </w:rPr>
        <w:t>, such agreement shall also apply pursuant to its terms. No agreements or representations, oral or otherwise, express or implied, with respect to the subject matter hereof have been made by either party which are not expressly set forth in this Agreement.</w:t>
      </w:r>
    </w:p>
    <w:p>
      <w:pPr>
        <w:spacing w:after="0" w:line="160" w:lineRule="exact"/>
        <w:rPr>
          <w:rFonts w:ascii="Arial" w:cs="Arial" w:eastAsia="Arial" w:hAnsi="Arial"/>
          <w:sz w:val="16"/>
          <w:szCs w:val="16"/>
          <w:b w:val="1"/>
          <w:bCs w:val="1"/>
          <w:color w:val="auto"/>
        </w:rPr>
      </w:pPr>
    </w:p>
    <w:p>
      <w:pPr>
        <w:ind w:left="960" w:hanging="314"/>
        <w:spacing w:after="0"/>
        <w:tabs>
          <w:tab w:leader="none" w:pos="9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9" w:lineRule="exact"/>
        <w:rPr>
          <w:sz w:val="20"/>
          <w:szCs w:val="20"/>
          <w:color w:val="auto"/>
        </w:rPr>
      </w:pPr>
    </w:p>
    <w:p>
      <w:pPr>
        <w:ind w:right="220" w:firstLine="646"/>
        <w:spacing w:after="0" w:line="257" w:lineRule="auto"/>
        <w:tabs>
          <w:tab w:leader="none" w:pos="10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 represents and warrants to the Company that (a) Executive has the legal right to enter into this Agreement and to perform all of the obligations on Executive’s part to be performed hereunder in accordance with its terms, (b) Executive is not a party to any agreement or understanding, written or oral, and is not subject to any restriction, which, in either case, could prevent Executive from entering into this Agreement or impede Executive from performing all of Executive’s duties and obligations hereunder, and (c) Executive has not provided and will not provide to the Company, and will not use or disclose during the performance of Executive’s</w:t>
      </w: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4" w:right="339" w:bottom="1440" w:gutter="0" w:footer="0" w:header="0"/>
        </w:sectPr>
      </w:pPr>
    </w:p>
    <w:bookmarkStart w:id="76" w:name="page77"/>
    <w:bookmarkEnd w:id="76"/>
    <w:p>
      <w:pPr>
        <w:ind w:right="520"/>
        <w:spacing w:after="0" w:line="277" w:lineRule="auto"/>
        <w:rPr>
          <w:sz w:val="20"/>
          <w:szCs w:val="20"/>
          <w:color w:val="auto"/>
        </w:rPr>
      </w:pPr>
      <w:r>
        <w:rPr>
          <w:rFonts w:ascii="Arial" w:cs="Arial" w:eastAsia="Arial" w:hAnsi="Arial"/>
          <w:sz w:val="18"/>
          <w:szCs w:val="18"/>
          <w:color w:val="auto"/>
        </w:rPr>
        <w:t>services for the Company, any third party’s documents, materials, or information subject to any legally enforceable restrictions or obligations as to confidentiality or secrecy.</w:t>
      </w:r>
    </w:p>
    <w:p>
      <w:pPr>
        <w:spacing w:after="0" w:line="170" w:lineRule="exact"/>
        <w:rPr>
          <w:sz w:val="20"/>
          <w:szCs w:val="20"/>
          <w:color w:val="auto"/>
        </w:rPr>
      </w:pPr>
    </w:p>
    <w:p>
      <w:pPr>
        <w:ind w:right="420" w:firstLine="640"/>
        <w:spacing w:after="0" w:line="277"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Executive’s start date, Executive shall execute and be subject to the Company’s Indemnification Agreement entered into between Holley Inc. and its officers and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 TAX MATTERS.</w:t>
      </w:r>
    </w:p>
    <w:p>
      <w:pPr>
        <w:spacing w:after="0" w:line="225" w:lineRule="exact"/>
        <w:rPr>
          <w:sz w:val="20"/>
          <w:szCs w:val="20"/>
          <w:color w:val="auto"/>
        </w:rPr>
      </w:pPr>
    </w:p>
    <w:p>
      <w:pPr>
        <w:ind w:right="60" w:firstLine="640"/>
        <w:spacing w:after="0" w:line="259" w:lineRule="auto"/>
        <w:tabs>
          <w:tab w:leader="none" w:pos="8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WITHHOLDING. The Company may withhold from any and all amounts payable under this Agreement or otherwise such federal, state and local taxes as may be required to be withheld pursuant to any applicable law or regulation. In the event that the Company fails to withhold any taxes required to be withheld by applicable law or regulation, Executive agrees to indemnify the Company for any amount paid with respect to any such taxes, together with any interest, penalty and/or expense related thereto.</w:t>
      </w:r>
    </w:p>
    <w:p>
      <w:pPr>
        <w:spacing w:after="0" w:line="186" w:lineRule="exact"/>
        <w:rPr>
          <w:rFonts w:ascii="Arial" w:cs="Arial" w:eastAsia="Arial" w:hAnsi="Arial"/>
          <w:sz w:val="18"/>
          <w:szCs w:val="18"/>
          <w:color w:val="auto"/>
        </w:rPr>
      </w:pPr>
    </w:p>
    <w:p>
      <w:pPr>
        <w:ind w:left="900" w:hanging="260"/>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SECTION 409A COMPLIANCE.</w:t>
      </w:r>
    </w:p>
    <w:p>
      <w:pPr>
        <w:spacing w:after="0" w:line="225" w:lineRule="exact"/>
        <w:rPr>
          <w:rFonts w:ascii="Arial" w:cs="Arial" w:eastAsia="Arial" w:hAnsi="Arial"/>
          <w:sz w:val="18"/>
          <w:szCs w:val="18"/>
          <w:color w:val="auto"/>
        </w:rPr>
      </w:pPr>
    </w:p>
    <w:p>
      <w:pPr>
        <w:ind w:right="120" w:firstLine="1288"/>
        <w:spacing w:after="0" w:line="301" w:lineRule="auto"/>
        <w:tabs>
          <w:tab w:leader="none" w:pos="1508"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intent of the parties is that payments and benefits under this Agreement comply with Internal Revenue Code Section 409A and the regulations and guidance promulgated thereunder (collectively “Code Section 409A”) and, accordingly, to the maximum extent permitted, this Agreement shall be interpreted to be in compliance therewith. In no event whatsoever shall the Company be liable for any additional tax, interest or penalty that may be imposed on Executive by Code Section 409A or damages for failing to comply with Code Section 409A.</w:t>
      </w:r>
    </w:p>
    <w:p>
      <w:pPr>
        <w:spacing w:after="0" w:line="157" w:lineRule="exact"/>
        <w:rPr>
          <w:rFonts w:ascii="Arial" w:cs="Arial" w:eastAsia="Arial" w:hAnsi="Arial"/>
          <w:sz w:val="16"/>
          <w:szCs w:val="16"/>
          <w:color w:val="auto"/>
        </w:rPr>
      </w:pPr>
    </w:p>
    <w:p>
      <w:pPr>
        <w:ind w:right="140" w:firstLine="1288"/>
        <w:spacing w:after="0" w:line="287" w:lineRule="auto"/>
        <w:tabs>
          <w:tab w:leader="none" w:pos="1551"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w:t>
      </w:r>
    </w:p>
    <w:p>
      <w:pPr>
        <w:spacing w:after="0" w:line="2" w:lineRule="exact"/>
        <w:rPr>
          <w:rFonts w:ascii="Arial" w:cs="Arial" w:eastAsia="Arial" w:hAnsi="Arial"/>
          <w:sz w:val="16"/>
          <w:szCs w:val="16"/>
          <w:color w:val="auto"/>
        </w:rPr>
      </w:pPr>
    </w:p>
    <w:p>
      <w:pPr>
        <w:ind w:right="80"/>
        <w:spacing w:after="0" w:line="265" w:lineRule="auto"/>
        <w:rPr>
          <w:rFonts w:ascii="Arial" w:cs="Arial" w:eastAsia="Arial" w:hAnsi="Arial"/>
          <w:sz w:val="16"/>
          <w:szCs w:val="16"/>
          <w:color w:val="auto"/>
        </w:rPr>
      </w:pPr>
      <w:r>
        <w:rPr>
          <w:rFonts w:ascii="Arial" w:cs="Arial" w:eastAsia="Arial" w:hAnsi="Arial"/>
          <w:sz w:val="17"/>
          <w:szCs w:val="17"/>
          <w:color w:val="auto"/>
        </w:rPr>
        <w:t>of employment” or like terms shall mean “separation from service.” Notwithstanding anything to the contrary in this Agreement, if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Code Section 409A. Upon the expiration of the foregoing delay period, all payments and benefits delayed pursuant to this</w:t>
      </w:r>
    </w:p>
    <w:p>
      <w:pPr>
        <w:spacing w:after="0" w:line="255" w:lineRule="auto"/>
        <w:rPr>
          <w:rFonts w:ascii="Arial" w:cs="Arial" w:eastAsia="Arial" w:hAnsi="Arial"/>
          <w:sz w:val="16"/>
          <w:szCs w:val="16"/>
          <w:color w:val="auto"/>
        </w:rPr>
      </w:pPr>
      <w:r>
        <w:rPr>
          <w:rFonts w:ascii="Arial" w:cs="Arial" w:eastAsia="Arial" w:hAnsi="Arial"/>
          <w:sz w:val="18"/>
          <w:szCs w:val="18"/>
          <w:color w:val="auto"/>
        </w:rPr>
        <w:t>Section 20(b)(ii)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80" w:top="584" w:right="379" w:bottom="1440" w:gutter="0" w:footer="0" w:header="0"/>
        </w:sectPr>
      </w:pPr>
    </w:p>
    <w:bookmarkStart w:id="77" w:name="page78"/>
    <w:bookmarkEnd w:id="77"/>
    <w:p>
      <w:pPr>
        <w:jc w:val="both"/>
        <w:ind w:right="40" w:firstLine="1288"/>
        <w:spacing w:after="0" w:line="287" w:lineRule="auto"/>
        <w:tabs>
          <w:tab w:leader="none" w:pos="160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the extent that reimbursements or other in-kind benefits under this Agreement constitute “nonqualified deferred compensation” for purposes of Code Section 409A, (A) all such expenses or other reimbursements hereunder shall be made on or prior to the last day of the taxable year following the taxable year in which such expenses were incurred by Executive, (B) any right to such reimbursement or in-kind benefits shall not</w:t>
      </w:r>
    </w:p>
    <w:p>
      <w:pPr>
        <w:spacing w:after="0" w:line="2" w:lineRule="exact"/>
        <w:rPr>
          <w:rFonts w:ascii="Arial" w:cs="Arial" w:eastAsia="Arial" w:hAnsi="Arial"/>
          <w:sz w:val="16"/>
          <w:szCs w:val="16"/>
          <w:color w:val="auto"/>
        </w:rPr>
      </w:pPr>
    </w:p>
    <w:p>
      <w:pPr>
        <w:ind w:right="400"/>
        <w:spacing w:after="0" w:line="255" w:lineRule="auto"/>
        <w:rPr>
          <w:rFonts w:ascii="Arial" w:cs="Arial" w:eastAsia="Arial" w:hAnsi="Arial"/>
          <w:sz w:val="16"/>
          <w:szCs w:val="16"/>
          <w:color w:val="auto"/>
        </w:rPr>
      </w:pPr>
      <w:r>
        <w:rPr>
          <w:rFonts w:ascii="Arial" w:cs="Arial" w:eastAsia="Arial" w:hAnsi="Arial"/>
          <w:sz w:val="18"/>
          <w:szCs w:val="18"/>
          <w:color w:val="auto"/>
        </w:rPr>
        <w:t>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9" w:lineRule="exact"/>
        <w:rPr>
          <w:rFonts w:ascii="Arial" w:cs="Arial" w:eastAsia="Arial" w:hAnsi="Arial"/>
          <w:sz w:val="16"/>
          <w:szCs w:val="16"/>
          <w:color w:val="auto"/>
        </w:rPr>
      </w:pPr>
    </w:p>
    <w:p>
      <w:pPr>
        <w:ind w:right="340" w:firstLine="1288"/>
        <w:spacing w:after="0" w:line="311" w:lineRule="auto"/>
        <w:tabs>
          <w:tab w:leader="none" w:pos="16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48" w:lineRule="exact"/>
        <w:rPr>
          <w:rFonts w:ascii="Arial" w:cs="Arial" w:eastAsia="Arial" w:hAnsi="Arial"/>
          <w:sz w:val="16"/>
          <w:szCs w:val="16"/>
          <w:color w:val="auto"/>
        </w:rPr>
      </w:pPr>
    </w:p>
    <w:p>
      <w:pPr>
        <w:ind w:firstLine="1288"/>
        <w:spacing w:after="0" w:line="263" w:lineRule="auto"/>
        <w:tabs>
          <w:tab w:leader="none" w:pos="15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584" w:right="359" w:bottom="1440" w:gutter="0" w:footer="0" w:header="0"/>
        </w:sectPr>
      </w:pPr>
    </w:p>
    <w:bookmarkStart w:id="78" w:name="page79"/>
    <w:bookmarkEnd w:id="78"/>
    <w:p>
      <w:pPr>
        <w:ind w:left="320"/>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ectPr>
          <w:pgSz w:w="11900" w:h="16838" w:orient="portrait"/>
          <w:cols w:equalWidth="0" w:num="1">
            <w:col w:w="9019"/>
          </w:cols>
          <w:pgMar w:left="1440" w:top="584" w:right="1440" w:bottom="1440" w:gutter="0" w:footer="0" w:header="0"/>
        </w:sectPr>
      </w:pPr>
    </w:p>
    <w:p>
      <w:pPr>
        <w:spacing w:after="0" w:line="244"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HOLLEY INC.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Matthew E. Rubel</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Name: Matthew Rubel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Title:  Executive Chairman</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Holley Inc</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Employment Agreement (Holly Inc. and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526415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type w:val="continuous"/>
        </w:sectPr>
      </w:pPr>
    </w:p>
    <w:bookmarkStart w:id="79" w:name="page80"/>
    <w:bookmarkEnd w:id="79"/>
    <w:p>
      <w:pPr>
        <w:ind w:left="19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auto"/>
        </w:rPr>
        <w:t>/s/Matthew J. Stevenson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Matthew Stevenson</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Employment Agreement (Holly Inc. and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0" w:name="page81"/>
    <w:bookmarkEnd w:id="80"/>
    <w:p>
      <w:pPr>
        <w:jc w:val="center"/>
        <w:ind w:right="-14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Form of Release</w:t>
      </w: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81" w:name="page82"/>
    <w:bookmarkEnd w:id="81"/>
    <w:p>
      <w:pPr>
        <w:jc w:val="center"/>
        <w:ind w:right="140"/>
        <w:spacing w:after="0"/>
        <w:rPr>
          <w:sz w:val="20"/>
          <w:szCs w:val="20"/>
          <w:color w:val="auto"/>
        </w:rPr>
      </w:pPr>
      <w:r>
        <w:rPr>
          <w:rFonts w:ascii="Arial" w:cs="Arial" w:eastAsia="Arial" w:hAnsi="Arial"/>
          <w:sz w:val="18"/>
          <w:szCs w:val="18"/>
          <w:b w:val="1"/>
          <w:bCs w:val="1"/>
          <w:u w:val="single" w:color="auto"/>
          <w:color w:val="auto"/>
        </w:rPr>
        <w:t>GENERAL RELEASE</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 Matthew Stevenson, on behalf of myself and my heirs, successors and assigns, in consideration of the performance by Holley Inc.</w:t>
      </w:r>
    </w:p>
    <w:p>
      <w:pPr>
        <w:spacing w:after="0" w:line="23"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of its material obligations under the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do hereby release and forever discharge as of the date hereof Employer (together with its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their respective Affiliates, each such Person’s respective successors and assigns and each of the foregoing Persons’ respective present and former directors, officers, partners, stockholders, members, managers, agents, representatives, employees (and each such Person’s respective successors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to the extent provided below.</w:t>
      </w:r>
    </w:p>
    <w:p>
      <w:pPr>
        <w:spacing w:after="0" w:line="161" w:lineRule="exact"/>
        <w:rPr>
          <w:sz w:val="20"/>
          <w:szCs w:val="20"/>
          <w:color w:val="auto"/>
        </w:rPr>
      </w:pPr>
    </w:p>
    <w:p>
      <w:pPr>
        <w:ind w:right="40" w:firstLine="638"/>
        <w:spacing w:after="0" w:line="279" w:lineRule="auto"/>
        <w:tabs>
          <w:tab w:leader="none" w:pos="963"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I understand that any payments or benefits paid or granted to me under </w:t>
      </w:r>
      <w:r>
        <w:rPr>
          <w:rFonts w:ascii="Arial" w:cs="Arial" w:eastAsia="Arial" w:hAnsi="Arial"/>
          <w:sz w:val="17"/>
          <w:szCs w:val="17"/>
          <w:u w:val="single" w:color="auto"/>
          <w:color w:val="auto"/>
        </w:rPr>
        <w:t>[INSERT APPLICABLE SECTION]</w:t>
      </w:r>
      <w:r>
        <w:rPr>
          <w:rFonts w:ascii="Arial" w:cs="Arial" w:eastAsia="Arial" w:hAnsi="Arial"/>
          <w:sz w:val="17"/>
          <w:szCs w:val="17"/>
          <w:color w:val="auto"/>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Arial" w:cs="Arial" w:eastAsia="Arial" w:hAnsi="Arial"/>
          <w:sz w:val="17"/>
          <w:szCs w:val="17"/>
          <w:u w:val="single" w:color="auto"/>
          <w:color w:val="auto"/>
        </w:rPr>
        <w:t>[INSERT SPECIFIC SECTION]</w:t>
      </w:r>
      <w:r>
        <w:rPr>
          <w:rFonts w:ascii="Arial" w:cs="Arial" w:eastAsia="Arial" w:hAnsi="Arial"/>
          <w:sz w:val="17"/>
          <w:szCs w:val="17"/>
          <w:color w:val="auto"/>
        </w:rPr>
        <w:t xml:space="preserve"> of the Agreement unless I execute this General Release and do not revoke this General Release within the time period permitted hereafter or breach this General Release.</w:t>
      </w:r>
    </w:p>
    <w:p>
      <w:pPr>
        <w:spacing w:after="0" w:line="171" w:lineRule="exact"/>
        <w:rPr>
          <w:rFonts w:ascii="Arial" w:cs="Arial" w:eastAsia="Arial" w:hAnsi="Arial"/>
          <w:sz w:val="17"/>
          <w:szCs w:val="17"/>
          <w:color w:val="auto"/>
        </w:rPr>
      </w:pPr>
    </w:p>
    <w:p>
      <w:pPr>
        <w:ind w:firstLine="638"/>
        <w:spacing w:after="0" w:line="285" w:lineRule="auto"/>
        <w:tabs>
          <w:tab w:leader="none" w:pos="963"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including, but not limited to,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nothing contained in this General Release shall apply to, or release the Company from, any obligation of the Company (i) contained in the Agreement to be performed after the date hereof; (ii) with respect to Accrued Benefits (as defined in the Agreement); or (iii) with respect to Performance and/or Restricted Stock Units (PSUs and/or RSUs) (as defined in the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364" w:right="359" w:bottom="1440" w:gutter="0" w:footer="0" w:header="0"/>
        </w:sectPr>
      </w:pPr>
    </w:p>
    <w:bookmarkStart w:id="82" w:name="page83"/>
    <w:bookmarkEnd w:id="82"/>
    <w:p>
      <w:pPr>
        <w:ind w:left="640"/>
        <w:spacing w:after="0"/>
        <w:tabs>
          <w:tab w:leader="none" w:pos="9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I represent that I have made no assignment or transfer of any right, claim, demand, cause of action, or other matter covered by paragraph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120" w:firstLine="638"/>
        <w:spacing w:after="0" w:line="259" w:lineRule="auto"/>
        <w:tabs>
          <w:tab w:leader="none" w:pos="9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86" w:lineRule="exact"/>
        <w:rPr>
          <w:rFonts w:ascii="Arial" w:cs="Arial" w:eastAsia="Arial" w:hAnsi="Arial"/>
          <w:sz w:val="18"/>
          <w:szCs w:val="18"/>
          <w:color w:val="auto"/>
        </w:rPr>
      </w:pPr>
    </w:p>
    <w:p>
      <w:pPr>
        <w:ind w:firstLine="638"/>
        <w:spacing w:after="0" w:line="269" w:lineRule="auto"/>
        <w:tabs>
          <w:tab w:leader="none" w:pos="9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Parties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81" w:lineRule="exact"/>
        <w:rPr>
          <w:rFonts w:ascii="Arial" w:cs="Arial" w:eastAsia="Arial" w:hAnsi="Arial"/>
          <w:sz w:val="17"/>
          <w:szCs w:val="17"/>
          <w:color w:val="auto"/>
        </w:rPr>
      </w:pPr>
    </w:p>
    <w:p>
      <w:pPr>
        <w:ind w:right="200" w:firstLine="638"/>
        <w:spacing w:after="0" w:line="277" w:lineRule="auto"/>
        <w:tabs>
          <w:tab w:leader="none" w:pos="9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0" w:lineRule="exact"/>
        <w:rPr>
          <w:rFonts w:ascii="Arial" w:cs="Arial" w:eastAsia="Arial" w:hAnsi="Arial"/>
          <w:sz w:val="18"/>
          <w:szCs w:val="18"/>
          <w:color w:val="auto"/>
        </w:rPr>
      </w:pPr>
    </w:p>
    <w:p>
      <w:pPr>
        <w:ind w:right="220" w:firstLine="638"/>
        <w:spacing w:after="0" w:line="263" w:lineRule="auto"/>
        <w:tabs>
          <w:tab w:leader="none" w:pos="9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83" w:lineRule="exact"/>
        <w:rPr>
          <w:rFonts w:ascii="Arial" w:cs="Arial" w:eastAsia="Arial" w:hAnsi="Arial"/>
          <w:sz w:val="18"/>
          <w:szCs w:val="18"/>
          <w:color w:val="auto"/>
        </w:rPr>
      </w:pPr>
    </w:p>
    <w:p>
      <w:pPr>
        <w:jc w:val="both"/>
        <w:ind w:firstLine="638"/>
        <w:spacing w:after="0" w:line="263" w:lineRule="auto"/>
        <w:tabs>
          <w:tab w:leader="none" w:pos="9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any other self-regulatory organization or governmental entity.</w:t>
      </w:r>
    </w:p>
    <w:p>
      <w:pPr>
        <w:spacing w:after="0" w:line="183" w:lineRule="exact"/>
        <w:rPr>
          <w:rFonts w:ascii="Arial" w:cs="Arial" w:eastAsia="Arial" w:hAnsi="Arial"/>
          <w:sz w:val="18"/>
          <w:szCs w:val="18"/>
          <w:color w:val="auto"/>
        </w:rPr>
      </w:pPr>
    </w:p>
    <w:p>
      <w:pPr>
        <w:ind w:left="940" w:hanging="302"/>
        <w:spacing w:after="0"/>
        <w:tabs>
          <w:tab w:leader="none" w:pos="9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Without limitation of any provision of the Agreement, I hereby expressly re-affirm my obligations under </w:t>
      </w:r>
      <w:r>
        <w:rPr>
          <w:rFonts w:ascii="Arial" w:cs="Arial" w:eastAsia="Arial" w:hAnsi="Arial"/>
          <w:sz w:val="17"/>
          <w:szCs w:val="17"/>
          <w:u w:val="single" w:color="auto"/>
          <w:color w:val="auto"/>
        </w:rPr>
        <w:t>Sections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00" w:top="584" w:right="379" w:bottom="1440" w:gutter="0" w:footer="0" w:header="0"/>
        </w:sectPr>
      </w:pPr>
    </w:p>
    <w:bookmarkStart w:id="83" w:name="page84"/>
    <w:bookmarkEnd w:id="83"/>
    <w:p>
      <w:pPr>
        <w:ind w:left="10" w:firstLine="638"/>
        <w:spacing w:after="0" w:line="301" w:lineRule="auto"/>
        <w:tabs>
          <w:tab w:leader="none" w:pos="10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57" w:lineRule="exact"/>
        <w:rPr>
          <w:rFonts w:ascii="Arial" w:cs="Arial" w:eastAsia="Arial" w:hAnsi="Arial"/>
          <w:sz w:val="16"/>
          <w:szCs w:val="16"/>
          <w:color w:val="auto"/>
        </w:rPr>
      </w:pPr>
    </w:p>
    <w:p>
      <w:pPr>
        <w:ind w:left="10" w:right="20" w:firstLine="638"/>
        <w:spacing w:after="0" w:line="285" w:lineRule="auto"/>
        <w:tabs>
          <w:tab w:leader="none" w:pos="1056" w:val="left"/>
        </w:tabs>
        <w:numPr>
          <w:ilvl w:val="1"/>
          <w:numId w:val="83"/>
        </w:numPr>
        <w:rPr>
          <w:rFonts w:ascii="Arial" w:cs="Arial" w:eastAsia="Arial" w:hAnsi="Arial"/>
          <w:sz w:val="16"/>
          <w:szCs w:val="16"/>
          <w:color w:val="auto"/>
        </w:rPr>
      </w:pPr>
      <w:r>
        <w:rPr>
          <w:rFonts w:ascii="Arial" w:cs="Arial" w:eastAsia="Arial" w:hAnsi="Arial"/>
          <w:sz w:val="16"/>
          <w:szCs w:val="16"/>
          <w:color w:val="auto"/>
        </w:rPr>
        <w:t>Notwithstanding anything to the contrary, nothing herein or in any Company policy or agreement shall prevent me from (i) speaking with law enforcement, the Equal Employment Opportunity Commission, any state or local division of human rights or fair employment agency, or my attorney; (ii) filing a charge or complaint with, participating in an investigation or proceeding conducted by, or reporting possible violations of law or regulation to any federal, state or local government agency; (iii) truthfully responding to or complying with a subpoena, court order, or other legal process; (iv) filing or disclosing any facts necessary to receive unemployment insurance, Medicaid, or other public benefits to which I may be entitled; or</w:t>
      </w:r>
    </w:p>
    <w:p>
      <w:pPr>
        <w:spacing w:after="0" w:line="1" w:lineRule="exact"/>
        <w:rPr>
          <w:rFonts w:ascii="Arial" w:cs="Arial" w:eastAsia="Arial" w:hAnsi="Arial"/>
          <w:sz w:val="16"/>
          <w:szCs w:val="16"/>
          <w:color w:val="auto"/>
        </w:rPr>
      </w:pPr>
    </w:p>
    <w:p>
      <w:pPr>
        <w:ind w:left="10" w:right="100" w:hanging="10"/>
        <w:spacing w:after="0" w:line="255"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exercising any right I may have under applicable labor laws to engage in protected concerted activity with other employees; provided however, that I agree to forgo any monetary benefit from the filing of a charge or complaint with a government agency except pursuant to a whistleblower program or where my right to receive such a monetary benefit is otherwise not waivable by law.</w:t>
      </w:r>
    </w:p>
    <w:p>
      <w:pPr>
        <w:spacing w:after="0" w:line="189" w:lineRule="exact"/>
        <w:rPr>
          <w:rFonts w:ascii="Arial" w:cs="Arial" w:eastAsia="Arial" w:hAnsi="Arial"/>
          <w:sz w:val="18"/>
          <w:szCs w:val="18"/>
          <w:color w:val="auto"/>
        </w:rPr>
      </w:pPr>
    </w:p>
    <w:p>
      <w:pPr>
        <w:ind w:left="1050" w:hanging="402"/>
        <w:spacing w:after="0"/>
        <w:tabs>
          <w:tab w:leader="none" w:pos="10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purposes of this General Release, the following terms have the following meanings:</w:t>
      </w:r>
    </w:p>
    <w:p>
      <w:pPr>
        <w:spacing w:after="0" w:line="225" w:lineRule="exact"/>
        <w:rPr>
          <w:sz w:val="20"/>
          <w:szCs w:val="20"/>
          <w:color w:val="auto"/>
        </w:rPr>
      </w:pPr>
    </w:p>
    <w:p>
      <w:pPr>
        <w:ind w:left="1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that controls, is controlled by or is under common control with such Person or an Affiliate of such Person.</w:t>
      </w:r>
    </w:p>
    <w:p>
      <w:pPr>
        <w:spacing w:after="0" w:line="170" w:lineRule="exact"/>
        <w:rPr>
          <w:sz w:val="20"/>
          <w:szCs w:val="20"/>
          <w:color w:val="auto"/>
        </w:rPr>
      </w:pPr>
    </w:p>
    <w:p>
      <w:pPr>
        <w:ind w:left="10"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84" w:lineRule="exact"/>
        <w:rPr>
          <w:sz w:val="20"/>
          <w:szCs w:val="20"/>
          <w:color w:val="auto"/>
        </w:rPr>
      </w:pPr>
    </w:p>
    <w:p>
      <w:pPr>
        <w:ind w:left="1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6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4" w:right="339" w:bottom="1440" w:gutter="0" w:footer="0" w:header="0"/>
        </w:sectPr>
      </w:pPr>
    </w:p>
    <w:bookmarkStart w:id="84" w:name="page85"/>
    <w:bookmarkEnd w:id="84"/>
    <w:p>
      <w:pPr>
        <w:ind w:left="180"/>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225" w:lineRule="exact"/>
        <w:rPr>
          <w:sz w:val="20"/>
          <w:szCs w:val="20"/>
          <w:color w:val="auto"/>
        </w:rPr>
      </w:pPr>
    </w:p>
    <w:p>
      <w:pPr>
        <w:ind w:left="540" w:hanging="370"/>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25" w:lineRule="exact"/>
        <w:rPr>
          <w:rFonts w:ascii="Arial" w:cs="Arial" w:eastAsia="Arial" w:hAnsi="Arial"/>
          <w:sz w:val="18"/>
          <w:szCs w:val="18"/>
          <w:color w:val="auto"/>
        </w:rPr>
      </w:pPr>
    </w:p>
    <w:p>
      <w:pPr>
        <w:ind w:left="180" w:right="80" w:hanging="10"/>
        <w:spacing w:after="0" w:line="259" w:lineRule="auto"/>
        <w:tabs>
          <w:tab w:leader="none" w:pos="57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86" w:lineRule="exact"/>
        <w:rPr>
          <w:rFonts w:ascii="Arial" w:cs="Arial" w:eastAsia="Arial" w:hAnsi="Arial"/>
          <w:sz w:val="18"/>
          <w:szCs w:val="18"/>
          <w:color w:val="auto"/>
        </w:rPr>
      </w:pPr>
    </w:p>
    <w:p>
      <w:pPr>
        <w:ind w:left="540" w:hanging="370"/>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25" w:lineRule="exact"/>
        <w:rPr>
          <w:rFonts w:ascii="Arial" w:cs="Arial" w:eastAsia="Arial" w:hAnsi="Arial"/>
          <w:sz w:val="18"/>
          <w:szCs w:val="18"/>
          <w:color w:val="auto"/>
        </w:rPr>
      </w:pPr>
    </w:p>
    <w:p>
      <w:pPr>
        <w:ind w:left="180" w:right="140" w:hanging="10"/>
        <w:spacing w:after="0" w:line="308" w:lineRule="auto"/>
        <w:tabs>
          <w:tab w:leader="none" w:pos="57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HAVE BEEN ADVISED TO CONSULT WITH AN ATTORNEY (VIA THIS GENERAL RELEASE) BEFORE EXECUTING IT AND I HAVE DONE SO OR, AFTER CAREFUL READING AND CONSIDERATION, I HAVE CHOSEN NOT TO DO SO OF MY OWN VOLITION;</w:t>
      </w:r>
    </w:p>
    <w:p>
      <w:pPr>
        <w:spacing w:after="0" w:line="146" w:lineRule="exact"/>
        <w:rPr>
          <w:rFonts w:ascii="Arial" w:cs="Arial" w:eastAsia="Arial" w:hAnsi="Arial"/>
          <w:sz w:val="17"/>
          <w:szCs w:val="17"/>
          <w:color w:val="auto"/>
        </w:rPr>
      </w:pPr>
    </w:p>
    <w:p>
      <w:pPr>
        <w:jc w:val="both"/>
        <w:ind w:left="180" w:right="160" w:hanging="10"/>
        <w:spacing w:after="0" w:line="263" w:lineRule="auto"/>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HAD AT LEAST 21 DAYS FROM THE DATE OF MY RECEIPT OF THIS GENERAL RELEASE SUBSTANTIALLY IN ITS FINAL FORM TO CONSIDER IT AND THE CHANGES MADE SINCE THE LATEST VERSION OF THIS GENERAL RELEASE ARE NOT MATERIAL AND WILL NOT RESTART THE REQUIRED 21-DAY PERIOD;</w:t>
      </w:r>
    </w:p>
    <w:p>
      <w:pPr>
        <w:spacing w:after="0" w:line="183" w:lineRule="exact"/>
        <w:rPr>
          <w:rFonts w:ascii="Arial" w:cs="Arial" w:eastAsia="Arial" w:hAnsi="Arial"/>
          <w:sz w:val="18"/>
          <w:szCs w:val="18"/>
          <w:color w:val="auto"/>
        </w:rPr>
      </w:pPr>
    </w:p>
    <w:p>
      <w:pPr>
        <w:ind w:left="180" w:hanging="10"/>
        <w:spacing w:after="0" w:line="263"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GENERAL RELEASE TO REVOKE IT AND THAT THIS GENERAL RELEASE SHALL NOT BECOME EFFECTIVE OR ENFORCEABLE UNTIL THE EIGHTH DAY FOLLOWING EXECUTION OF THIS GENERAL RELEASE;</w:t>
      </w:r>
    </w:p>
    <w:p>
      <w:pPr>
        <w:spacing w:after="0" w:line="183" w:lineRule="exact"/>
        <w:rPr>
          <w:rFonts w:ascii="Arial" w:cs="Arial" w:eastAsia="Arial" w:hAnsi="Arial"/>
          <w:sz w:val="18"/>
          <w:szCs w:val="18"/>
          <w:color w:val="auto"/>
        </w:rPr>
      </w:pPr>
    </w:p>
    <w:p>
      <w:pPr>
        <w:ind w:left="180" w:right="760" w:hanging="10"/>
        <w:spacing w:after="0" w:line="277" w:lineRule="auto"/>
        <w:tabs>
          <w:tab w:leader="none" w:pos="57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170" w:lineRule="exact"/>
        <w:rPr>
          <w:rFonts w:ascii="Arial" w:cs="Arial" w:eastAsia="Arial" w:hAnsi="Arial"/>
          <w:sz w:val="18"/>
          <w:szCs w:val="18"/>
          <w:color w:val="auto"/>
        </w:rPr>
      </w:pPr>
    </w:p>
    <w:p>
      <w:pPr>
        <w:ind w:left="180" w:right="500" w:hanging="10"/>
        <w:spacing w:after="0" w:line="308" w:lineRule="auto"/>
        <w:tabs>
          <w:tab w:leader="none" w:pos="57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ind w:left="100"/>
              <w:spacing w:after="0"/>
              <w:rPr>
                <w:sz w:val="20"/>
                <w:szCs w:val="20"/>
                <w:color w:val="auto"/>
              </w:rPr>
            </w:pPr>
            <w:r>
              <w:rPr>
                <w:rFonts w:ascii="Arial" w:cs="Arial" w:eastAsia="Arial" w:hAnsi="Arial"/>
                <w:sz w:val="18"/>
                <w:szCs w:val="18"/>
                <w:color w:val="auto"/>
              </w:rPr>
              <w:t>DATE:  May 13th, 2023</w:t>
            </w:r>
          </w:p>
        </w:tc>
        <w:tc>
          <w:tcPr>
            <w:tcW w:w="8900" w:type="dxa"/>
            <w:vAlign w:val="bottom"/>
            <w:gridSpan w:val="3"/>
          </w:tcPr>
          <w:p>
            <w:pPr>
              <w:ind w:left="3960"/>
              <w:spacing w:after="0"/>
              <w:rPr>
                <w:sz w:val="20"/>
                <w:szCs w:val="20"/>
                <w:color w:val="auto"/>
              </w:rPr>
            </w:pPr>
            <w:r>
              <w:rPr>
                <w:rFonts w:ascii="Arial" w:cs="Arial" w:eastAsia="Arial" w:hAnsi="Arial"/>
                <w:sz w:val="18"/>
                <w:szCs w:val="18"/>
                <w:color w:val="auto"/>
              </w:rPr>
              <w:t>/s/ Matthew J. Stevenson</w:t>
            </w:r>
          </w:p>
        </w:tc>
      </w:tr>
      <w:tr>
        <w:trPr>
          <w:trHeight w:val="20"/>
        </w:trPr>
        <w:tc>
          <w:tcPr>
            <w:tcW w:w="7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900" w:type="dxa"/>
            <w:vAlign w:val="bottom"/>
            <w:gridSpan w:val="3"/>
          </w:tcPr>
          <w:p>
            <w:pPr>
              <w:ind w:left="3940"/>
              <w:spacing w:after="0"/>
              <w:rPr>
                <w:sz w:val="20"/>
                <w:szCs w:val="20"/>
                <w:color w:val="auto"/>
              </w:rPr>
            </w:pPr>
            <w:r>
              <w:rPr>
                <w:rFonts w:ascii="Arial" w:cs="Arial" w:eastAsia="Arial" w:hAnsi="Arial"/>
                <w:sz w:val="18"/>
                <w:szCs w:val="18"/>
                <w:color w:val="auto"/>
              </w:rPr>
              <w:t>Matthew Stevenson</w:t>
            </w:r>
          </w:p>
        </w:tc>
      </w:tr>
      <w:tr>
        <w:trPr>
          <w:trHeight w:val="432"/>
        </w:trPr>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96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18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58"/>
        </w:trPr>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85" w:name="page86"/>
    <w:bookmarkEnd w:id="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Stevenson,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August 10, 2023</w:t>
      </w:r>
    </w:p>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Jesse Weaver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August 10, 2023</w:t>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July 2, 2023, as filed with the Securities and Exchange Commission (the "Report"), Matthew Stevenson, President and Chief Executive Officer of the Company, does hereby certify, pursuant to § 906 of the Sarbanes-Oxley Act of 2002 (18 U.S.C. § 1350), that to his knowledge:</w:t>
      </w:r>
    </w:p>
    <w:p>
      <w:pPr>
        <w:spacing w:after="0" w:line="184"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August 10,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Holley Inc. (the "Company") for the quarter ended July 2, 2023, as filed with the Securities and Exchange Commission (the "Report"), Jesse Weaver, Chief Financial Officer of the Company, does hereby certify, pursuant to § 906 of the Sarbanes-Oxley Act of 2002 (18 U.S.C. § 1350), that to his knowledge:</w:t>
      </w:r>
    </w:p>
    <w:p>
      <w:pPr>
        <w:spacing w:after="0" w:line="184"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Jesse Weaver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August 10,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2"/>
    </w:lvl>
  </w:abstractNum>
  <w:abstractNum w:abstractNumId="6">
    <w:nsid w:val="1BA026FA"/>
    <w:multiLevelType w:val="hybridMultilevel"/>
    <w:lvl w:ilvl="0">
      <w:lvlJc w:val="left"/>
      <w:lvlText w:val="%1."/>
      <w:numFmt w:val="decimal"/>
      <w:start w:val="3"/>
    </w:lvl>
  </w:abstractNum>
  <w:abstractNum w:abstractNumId="7">
    <w:nsid w:val="79A1DEAA"/>
    <w:multiLevelType w:val="hybridMultilevel"/>
    <w:lvl w:ilvl="0">
      <w:lvlJc w:val="left"/>
      <w:lvlText w:val="%1."/>
      <w:numFmt w:val="decimal"/>
      <w:start w:val="4"/>
    </w:lvl>
  </w:abstractNum>
  <w:abstractNum w:abstractNumId="8">
    <w:nsid w:val="75C6C33A"/>
    <w:multiLevelType w:val="hybridMultilevel"/>
    <w:lvl w:ilvl="0">
      <w:lvlJc w:val="left"/>
      <w:lvlText w:val="%1."/>
      <w:numFmt w:val="decimal"/>
      <w:start w:val="5"/>
    </w:lvl>
  </w:abstractNum>
  <w:abstractNum w:abstractNumId="9">
    <w:nsid w:val="12E685FB"/>
    <w:multiLevelType w:val="hybridMultilevel"/>
    <w:lvl w:ilvl="0">
      <w:lvlJc w:val="left"/>
      <w:lvlText w:val="%1."/>
      <w:numFmt w:val="decimal"/>
      <w:start w:val="6"/>
    </w:lvl>
  </w:abstractNum>
  <w:abstractNum w:abstractNumId="10">
    <w:nsid w:val="70C6A529"/>
    <w:multiLevelType w:val="hybridMultilevel"/>
    <w:lvl w:ilvl="0">
      <w:lvlJc w:val="left"/>
      <w:lvlText w:val="%1."/>
      <w:numFmt w:val="decimal"/>
      <w:start w:val="7"/>
    </w:lvl>
  </w:abstractNum>
  <w:abstractNum w:abstractNumId="11">
    <w:nsid w:val="520EEDD1"/>
    <w:multiLevelType w:val="hybridMultilevel"/>
    <w:lvl w:ilvl="0">
      <w:lvlJc w:val="left"/>
      <w:lvlText w:val="%1."/>
      <w:numFmt w:val="decimal"/>
      <w:start w:val="8"/>
    </w:lvl>
  </w:abstractNum>
  <w:abstractNum w:abstractNumId="12">
    <w:nsid w:val="374A3FE6"/>
    <w:multiLevelType w:val="hybridMultilevel"/>
    <w:lvl w:ilvl="0">
      <w:lvlJc w:val="left"/>
      <w:lvlText w:val="%1."/>
      <w:numFmt w:val="decimal"/>
      <w:start w:val="9"/>
    </w:lvl>
  </w:abstractNum>
  <w:abstractNum w:abstractNumId="13">
    <w:nsid w:val="4F4EF005"/>
    <w:multiLevelType w:val="hybridMultilevel"/>
    <w:lvl w:ilvl="0">
      <w:lvlJc w:val="left"/>
      <w:lvlText w:val="%1."/>
      <w:numFmt w:val="decimal"/>
      <w:start w:val="11"/>
    </w:lvl>
  </w:abstractNum>
  <w:abstractNum w:abstractNumId="14">
    <w:nsid w:val="23F9C13C"/>
    <w:multiLevelType w:val="hybridMultilevel"/>
    <w:lvl w:ilvl="0">
      <w:lvlJc w:val="left"/>
      <w:lvlText w:val="%1."/>
      <w:numFmt w:val="decimal"/>
      <w:start w:val="13"/>
    </w:lvl>
  </w:abstractNum>
  <w:abstractNum w:abstractNumId="15">
    <w:nsid w:val="649BB77C"/>
    <w:multiLevelType w:val="hybridMultilevel"/>
    <w:lvl w:ilvl="0">
      <w:lvlJc w:val="left"/>
      <w:lvlText w:val="%1."/>
      <w:numFmt w:val="decimal"/>
      <w:start w:val="14"/>
    </w:lvl>
  </w:abstractNum>
  <w:abstractNum w:abstractNumId="16">
    <w:nsid w:val="275AC794"/>
    <w:multiLevelType w:val="hybridMultilevel"/>
    <w:lvl w:ilvl="0">
      <w:lvlJc w:val="left"/>
      <w:lvlText w:val="%1."/>
      <w:numFmt w:val="decimal"/>
      <w:start w:val="15"/>
    </w:lvl>
  </w:abstractNum>
  <w:abstractNum w:abstractNumId="17">
    <w:nsid w:val="39386575"/>
    <w:multiLevelType w:val="hybridMultilevel"/>
    <w:lvl w:ilvl="0">
      <w:lvlJc w:val="left"/>
      <w:lvlText w:val="%1."/>
      <w:numFmt w:val="decimal"/>
      <w:start w:val="16"/>
    </w:lvl>
    <w:lvl w:ilvl="1">
      <w:lvlJc w:val="left"/>
      <w:lvlText w:val="•"/>
      <w:numFmt w:val="bullet"/>
      <w:start w:val="1"/>
    </w:lvl>
  </w:abstractNum>
  <w:abstractNum w:abstractNumId="18">
    <w:nsid w:val="1CF10FD8"/>
    <w:multiLevelType w:val="hybridMultilevel"/>
    <w:lvl w:ilvl="0">
      <w:lvlJc w:val="left"/>
      <w:lvlText w:val="%1."/>
      <w:numFmt w:val="decimal"/>
      <w:start w:val="17"/>
    </w:lvl>
  </w:abstractNum>
  <w:abstractNum w:abstractNumId="19">
    <w:nsid w:val="180115BE"/>
    <w:multiLevelType w:val="hybridMultilevel"/>
    <w:lvl w:ilvl="0">
      <w:lvlJc w:val="left"/>
      <w:lvlText w:val="%1"/>
      <w:numFmt w:val="decimal"/>
      <w:start w:val="1"/>
    </w:lvl>
    <w:lvl w:ilvl="1">
      <w:lvlJc w:val="left"/>
      <w:lvlText w:val="(%2)"/>
      <w:numFmt w:val="decimal"/>
      <w:start w:val="1"/>
    </w:lvl>
  </w:abstractNum>
  <w:abstractNum w:abstractNumId="20">
    <w:nsid w:val="235BA861"/>
    <w:multiLevelType w:val="hybridMultilevel"/>
    <w:lvl w:ilvl="0">
      <w:lvlJc w:val="left"/>
      <w:lvlText w:val="%1."/>
      <w:numFmt w:val="decimal"/>
      <w:start w:val="18"/>
    </w:lvl>
    <w:lvl w:ilvl="1">
      <w:lvlJc w:val="left"/>
      <w:lvlText w:val="%2"/>
      <w:numFmt w:val="decimal"/>
      <w:start w:val="1"/>
    </w:lvl>
  </w:abstractNum>
  <w:abstractNum w:abstractNumId="21">
    <w:nsid w:val="47398C89"/>
    <w:multiLevelType w:val="hybridMultilevel"/>
    <w:lvl w:ilvl="0">
      <w:lvlJc w:val="left"/>
      <w:lvlText w:val="%1"/>
      <w:numFmt w:val="decimal"/>
      <w:start w:val="104"/>
    </w:lvl>
  </w:abstractNum>
  <w:abstractNum w:abstractNumId="22">
    <w:nsid w:val="354FE9F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
    <w:nsid w:val="15B5AF5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5"/>
    </w:lvl>
  </w:abstractNum>
  <w:abstractNum w:abstractNumId="24">
    <w:nsid w:val="741226BB"/>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6"/>
    </w:lvl>
  </w:abstractNum>
  <w:abstractNum w:abstractNumId="25">
    <w:nsid w:val="D34B6A8"/>
    <w:multiLevelType w:val="hybridMultilevel"/>
    <w:lvl w:ilvl="0">
      <w:lvlJc w:val="left"/>
      <w:lvlText w:val="(%1)"/>
      <w:numFmt w:val="lowerLetter"/>
      <w:start w:val="4"/>
    </w:lvl>
  </w:abstractNum>
  <w:abstractNum w:abstractNumId="26">
    <w:nsid w:val="10233C99"/>
    <w:multiLevelType w:val="hybridMultilevel"/>
    <w:lvl w:ilvl="0">
      <w:lvlJc w:val="left"/>
      <w:lvlText w:val="%1"/>
      <w:numFmt w:val="lowerLetter"/>
      <w:start w:val="1"/>
    </w:lvl>
    <w:lvl w:ilvl="1">
      <w:lvlJc w:val="left"/>
      <w:lvlText w:val="(%2)"/>
      <w:numFmt w:val="lowerLetter"/>
      <w:start w:val="5"/>
    </w:lvl>
  </w:abstractNum>
  <w:abstractNum w:abstractNumId="27">
    <w:nsid w:val="3F6AB60F"/>
    <w:multiLevelType w:val="hybridMultilevel"/>
    <w:lvl w:ilvl="0">
      <w:lvlJc w:val="left"/>
      <w:lvlText w:val="(%1)"/>
      <w:numFmt w:val="lowerLetter"/>
      <w:start w:val="35"/>
    </w:lvl>
    <w:lvl w:ilvl="1">
      <w:lvlJc w:val="left"/>
      <w:lvlText w:val="(%2)"/>
      <w:numFmt w:val="lowerLetter"/>
      <w:start w:val="7"/>
    </w:lvl>
  </w:abstractNum>
  <w:abstractNum w:abstractNumId="28">
    <w:nsid w:val="61574095"/>
    <w:multiLevelType w:val="hybridMultilevel"/>
    <w:lvl w:ilvl="0">
      <w:lvlJc w:val="left"/>
      <w:lvlText w:val="(%1)"/>
      <w:numFmt w:val="lowerLetter"/>
      <w:start w:val="1"/>
    </w:lvl>
  </w:abstractNum>
  <w:abstractNum w:abstractNumId="29">
    <w:nsid w:val="7E0C57B1"/>
    <w:multiLevelType w:val="hybridMultilevel"/>
    <w:lvl w:ilvl="0">
      <w:lvlJc w:val="left"/>
      <w:lvlText w:val="%1"/>
      <w:numFmt w:val="lowerLetter"/>
      <w:start w:val="1"/>
    </w:lvl>
    <w:lvl w:ilvl="1">
      <w:lvlJc w:val="left"/>
      <w:lvlText w:val="(%2)"/>
      <w:numFmt w:val="lowerLetter"/>
      <w:start w:val="1"/>
    </w:lvl>
  </w:abstractNum>
  <w:abstractNum w:abstractNumId="30">
    <w:nsid w:val="77AE35EB"/>
    <w:multiLevelType w:val="hybridMultilevel"/>
    <w:lvl w:ilvl="0">
      <w:lvlJc w:val="left"/>
      <w:lvlText w:val="(%1)"/>
      <w:numFmt w:val="lowerLetter"/>
      <w:start w:val="35"/>
    </w:lvl>
    <w:lvl w:ilvl="1">
      <w:lvlJc w:val="left"/>
      <w:lvlText w:val="(%2)"/>
      <w:numFmt w:val="lowerLetter"/>
      <w:start w:val="3"/>
    </w:lvl>
  </w:abstractNum>
  <w:abstractNum w:abstractNumId="31">
    <w:nsid w:val="579BE4F1"/>
    <w:multiLevelType w:val="hybridMultilevel"/>
    <w:lvl w:ilvl="0">
      <w:lvlJc w:val="left"/>
      <w:lvlText w:val="(%1)"/>
      <w:numFmt w:val="lowerLetter"/>
      <w:start w:val="6"/>
    </w:lvl>
  </w:abstractNum>
  <w:abstractNum w:abstractNumId="32">
    <w:nsid w:val="310C50B3"/>
    <w:multiLevelType w:val="hybridMultilevel"/>
    <w:lvl w:ilvl="0">
      <w:lvlJc w:val="left"/>
      <w:lvlText w:val="(%1)"/>
      <w:numFmt w:val="lowerLetter"/>
      <w:start w:val="2"/>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lowerLetter"/>
      <w:start w:val="3"/>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decimal"/>
      <w:start w:val="2"/>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3"/>
    </w:lvl>
    <w:lvl w:ilvl="1">
      <w:lvlJc w:val="left"/>
      <w:lvlText w:val="(%2)"/>
      <w:numFmt w:val="lowerRoman"/>
      <w:start w:val="1"/>
    </w:lvl>
  </w:abstractNum>
  <w:abstractNum w:abstractNumId="40">
    <w:nsid w:val="5DB70AE5"/>
    <w:multiLevelType w:val="hybridMultilevel"/>
    <w:lvl w:ilvl="0">
      <w:lvlJc w:val="left"/>
      <w:lvlText w:val="(%1)"/>
      <w:numFmt w:val="lowerLetter"/>
      <w:start w:val="4"/>
    </w:lvl>
  </w:abstractNum>
  <w:abstractNum w:abstractNumId="41">
    <w:nsid w:val="100F8FCA"/>
    <w:multiLevelType w:val="hybridMultilevel"/>
    <w:lvl w:ilvl="0">
      <w:lvlJc w:val="left"/>
      <w:lvlText w:val="%1."/>
      <w:numFmt w:val="decimal"/>
      <w:start w:val="4"/>
    </w:lvl>
  </w:abstractNum>
  <w:abstractNum w:abstractNumId="42">
    <w:nsid w:val="6590700B"/>
    <w:multiLevelType w:val="hybridMultilevel"/>
    <w:lvl w:ilvl="0">
      <w:lvlJc w:val="left"/>
      <w:lvlText w:val="%1."/>
      <w:numFmt w:val="decimal"/>
      <w:start w:val="5"/>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decimal"/>
      <w:start w:val="6"/>
    </w:lvl>
  </w:abstractNum>
  <w:abstractNum w:abstractNumId="45">
    <w:nsid w:val="98A3148"/>
    <w:multiLevelType w:val="hybridMultilevel"/>
    <w:lvl w:ilvl="0">
      <w:lvlJc w:val="left"/>
      <w:lvlText w:val="%1"/>
      <w:numFmt w:val="lowerLetter"/>
      <w:start w:val="1"/>
    </w:lvl>
    <w:lvl w:ilvl="1">
      <w:lvlJc w:val="left"/>
      <w:lvlText w:val="(%2)"/>
      <w:numFmt w:val="lowerLetter"/>
      <w:start w:val="1"/>
    </w:lvl>
  </w:abstractNum>
  <w:abstractNum w:abstractNumId="46">
    <w:nsid w:val="799D0247"/>
    <w:multiLevelType w:val="hybridMultilevel"/>
    <w:lvl w:ilvl="0">
      <w:lvlJc w:val="left"/>
      <w:lvlText w:val="(%1)"/>
      <w:numFmt w:val="lowerLetter"/>
      <w:start w:val="35"/>
    </w:lvl>
    <w:lvl w:ilvl="1">
      <w:lvlJc w:val="left"/>
      <w:lvlText w:val="%2"/>
      <w:numFmt w:val="lowerLetter"/>
      <w:start w:val="1"/>
    </w:lvl>
  </w:abstractNum>
  <w:abstractNum w:abstractNumId="47">
    <w:nsid w:val="6B94764"/>
    <w:multiLevelType w:val="hybridMultilevel"/>
    <w:lvl w:ilvl="0">
      <w:lvlJc w:val="left"/>
      <w:lvlText w:val="(%1)"/>
      <w:numFmt w:val="lowerLetter"/>
      <w:start w:val="24"/>
    </w:lvl>
    <w:lvl w:ilvl="1">
      <w:lvlJc w:val="left"/>
      <w:lvlText w:val="(%2)"/>
      <w:numFmt w:val="lowerLetter"/>
      <w:start w:val="4"/>
    </w:lvl>
  </w:abstractNum>
  <w:abstractNum w:abstractNumId="48">
    <w:nsid w:val="42C296BD"/>
    <w:multiLevelType w:val="hybridMultilevel"/>
    <w:lvl w:ilvl="0">
      <w:lvlJc w:val="left"/>
      <w:lvlText w:val="%1."/>
      <w:numFmt w:val="decimal"/>
      <w:start w:val="7"/>
    </w:lvl>
  </w:abstractNum>
  <w:abstractNum w:abstractNumId="49">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1EBA5D23"/>
    <w:multiLevelType w:val="hybridMultilevel"/>
    <w:lvl w:ilvl="0">
      <w:lvlJc w:val="left"/>
      <w:lvlText w:val="(%1)"/>
      <w:numFmt w:val="decimal"/>
      <w:start w:val="2"/>
    </w:lvl>
    <w:lvl w:ilvl="1">
      <w:lvlJc w:val="left"/>
      <w:lvlText w:val="(%2)"/>
      <w:numFmt w:val="lowerLetter"/>
      <w:start w:val="8"/>
    </w:lvl>
    <w:lvl w:ilvl="2">
      <w:lvlJc w:val="left"/>
      <w:lvlText w:val="(%3)"/>
      <w:numFmt w:val="lowerRoman"/>
      <w:start w:val="1"/>
    </w:lvl>
  </w:abstractNum>
  <w:abstractNum w:abstractNumId="51">
    <w:nsid w:val="661E3F1E"/>
    <w:multiLevelType w:val="hybridMultilevel"/>
    <w:lvl w:ilvl="0">
      <w:lvlJc w:val="left"/>
      <w:lvlText w:val="(%1)"/>
      <w:numFmt w:val="lowerLetter"/>
      <w:start w:val="2"/>
    </w:lvl>
    <w:lvl w:ilvl="1">
      <w:lvlJc w:val="left"/>
      <w:lvlText w:val="(%2)"/>
      <w:numFmt w:val="lowerRoman"/>
      <w:start w:val="1"/>
    </w:lvl>
  </w:abstractNum>
  <w:abstractNum w:abstractNumId="52">
    <w:nsid w:val="5DC79EA8"/>
    <w:multiLevelType w:val="hybridMultilevel"/>
    <w:lvl w:ilvl="0">
      <w:lvlJc w:val="left"/>
      <w:lvlText w:val="%1"/>
      <w:numFmt w:val="lowerLetter"/>
      <w:start w:val="1"/>
    </w:lvl>
    <w:lvl w:ilvl="1">
      <w:lvlJc w:val="left"/>
      <w:lvlText w:val="(%2)"/>
      <w:numFmt w:val="lowerRoman"/>
      <w:start w:val="3"/>
    </w:lvl>
  </w:abstractNum>
  <w:abstractNum w:abstractNumId="53">
    <w:nsid w:val="540A471C"/>
    <w:multiLevelType w:val="hybridMultilevel"/>
    <w:lvl w:ilvl="0">
      <w:lvlJc w:val="left"/>
      <w:lvlText w:val="(%1)"/>
      <w:numFmt w:val="lowerLetter"/>
      <w:start w:val="3"/>
    </w:lvl>
    <w:lvl w:ilvl="1">
      <w:lvlJc w:val="left"/>
      <w:lvlText w:val="(%2)"/>
      <w:numFmt w:val="lowerRoman"/>
      <w:start w:val="1"/>
    </w:lvl>
  </w:abstractNum>
  <w:abstractNum w:abstractNumId="54">
    <w:nsid w:val="7BD3EE7B"/>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upperLetter"/>
      <w:start w:val="1"/>
    </w:lvl>
  </w:abstractNum>
  <w:abstractNum w:abstractNumId="55">
    <w:nsid w:val="51D9C56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56">
    <w:nsid w:val="613EFDC5"/>
    <w:multiLevelType w:val="hybridMultilevel"/>
    <w:lvl w:ilvl="0">
      <w:lvlJc w:val="left"/>
      <w:lvlText w:val="(%1)"/>
      <w:numFmt w:val="upperLetter"/>
      <w:start w:val="2"/>
    </w:lvl>
  </w:abstractNum>
  <w:abstractNum w:abstractNumId="57">
    <w:nsid w:val="BF72B14"/>
    <w:multiLevelType w:val="hybridMultilevel"/>
    <w:lvl w:ilvl="0">
      <w:lvlJc w:val="left"/>
      <w:lvlText w:val="%1"/>
      <w:numFmt w:val="lowerLetter"/>
      <w:start w:val="1"/>
    </w:lvl>
    <w:lvl w:ilvl="1">
      <w:lvlJc w:val="left"/>
      <w:lvlText w:val="(%2)"/>
      <w:numFmt w:val="lowerRoman"/>
      <w:start w:val="4"/>
    </w:lvl>
  </w:abstractNum>
  <w:abstractNum w:abstractNumId="58">
    <w:nsid w:val="11447B73"/>
    <w:multiLevelType w:val="hybridMultilevel"/>
    <w:lvl w:ilvl="0">
      <w:lvlJc w:val="left"/>
      <w:lvlText w:val="(%1)"/>
      <w:numFmt w:val="lowerLetter"/>
      <w:start w:val="5"/>
    </w:lvl>
    <w:lvl w:ilvl="1">
      <w:lvlJc w:val="left"/>
      <w:lvlText w:val="%2"/>
      <w:numFmt w:val="lowerRoman"/>
      <w:start w:val="1"/>
    </w:lvl>
  </w:abstractNum>
  <w:abstractNum w:abstractNumId="59">
    <w:nsid w:val="42963E5A"/>
    <w:multiLevelType w:val="hybridMultilevel"/>
    <w:lvl w:ilvl="0">
      <w:lvlJc w:val="left"/>
      <w:lvlText w:val="%1"/>
      <w:numFmt w:val="decimal"/>
      <w:start w:val="1"/>
    </w:lvl>
    <w:lvl w:ilvl="1">
      <w:lvlJc w:val="left"/>
      <w:lvlText w:val="%2."/>
      <w:numFmt w:val="decimal"/>
      <w:start w:val="8"/>
    </w:lvl>
  </w:abstractNum>
  <w:abstractNum w:abstractNumId="60">
    <w:nsid w:val="A0382C5"/>
    <w:multiLevelType w:val="hybridMultilevel"/>
    <w:lvl w:ilvl="0">
      <w:lvlJc w:val="left"/>
      <w:lvlText w:val="%1."/>
      <w:numFmt w:val="decimal"/>
      <w:start w:val="9"/>
    </w:lvl>
    <w:lvl w:ilvl="1">
      <w:lvlJc w:val="left"/>
      <w:lvlText w:val="%2"/>
      <w:numFmt w:val="decimal"/>
      <w:start w:val="1"/>
    </w:lvl>
  </w:abstractNum>
  <w:abstractNum w:abstractNumId="61">
    <w:nsid w:val="8F2B15E"/>
    <w:multiLevelType w:val="hybridMultilevel"/>
    <w:lvl w:ilvl="0">
      <w:lvlJc w:val="left"/>
      <w:lvlText w:val="(%1)"/>
      <w:numFmt w:val="lowerLetter"/>
      <w:start w:val="1"/>
    </w:lvl>
    <w:lvl w:ilvl="1">
      <w:lvlJc w:val="left"/>
      <w:lvlText w:val="(%2)"/>
      <w:numFmt w:val="lowerRoman"/>
      <w:start w:val="1"/>
    </w:lvl>
  </w:abstractNum>
  <w:abstractNum w:abstractNumId="62">
    <w:nsid w:val="1A32234B"/>
    <w:multiLevelType w:val="hybridMultilevel"/>
    <w:lvl w:ilvl="0">
      <w:lvlJc w:val="left"/>
      <w:lvlText w:val="%1"/>
      <w:numFmt w:val="lowerLetter"/>
      <w:start w:val="1"/>
    </w:lvl>
    <w:lvl w:ilvl="1">
      <w:lvlJc w:val="left"/>
      <w:lvlText w:val="(%2)"/>
      <w:numFmt w:val="lowerLetter"/>
      <w:start w:val="61"/>
    </w:lvl>
  </w:abstractNum>
  <w:abstractNum w:abstractNumId="63">
    <w:nsid w:val="3B0FD379"/>
    <w:multiLevelType w:val="hybridMultilevel"/>
    <w:lvl w:ilvl="0">
      <w:lvlJc w:val="left"/>
      <w:lvlText w:val="(%1)"/>
      <w:numFmt w:val="lowerLetter"/>
      <w:start w:val="2"/>
    </w:lvl>
    <w:lvl w:ilvl="1">
      <w:lvlJc w:val="left"/>
      <w:lvlText w:val="%2"/>
      <w:numFmt w:val="lowerLetter"/>
      <w:start w:val="1"/>
    </w:lvl>
  </w:abstractNum>
  <w:abstractNum w:abstractNumId="64">
    <w:nsid w:val="68EB2F63"/>
    <w:multiLevelType w:val="hybridMultilevel"/>
    <w:lvl w:ilvl="0">
      <w:lvlJc w:val="left"/>
      <w:lvlText w:val="(%1)"/>
      <w:numFmt w:val="lowerLetter"/>
      <w:start w:val="3"/>
    </w:lvl>
    <w:lvl w:ilvl="1">
      <w:lvlJc w:val="left"/>
      <w:lvlText w:val="(%2)"/>
      <w:numFmt w:val="lowerRoman"/>
      <w:start w:val="1"/>
    </w:lvl>
  </w:abstractNum>
  <w:abstractNum w:abstractNumId="65">
    <w:nsid w:val="4962813B"/>
    <w:multiLevelType w:val="hybridMultilevel"/>
    <w:lvl w:ilvl="0">
      <w:lvlJc w:val="left"/>
      <w:lvlText w:val="(%1)"/>
      <w:numFmt w:val="lowerLetter"/>
      <w:start w:val="4"/>
    </w:lvl>
  </w:abstractNum>
  <w:abstractNum w:abstractNumId="66">
    <w:nsid w:val="60B6DF70"/>
    <w:multiLevelType w:val="hybridMultilevel"/>
    <w:lvl w:ilvl="0">
      <w:lvlJc w:val="left"/>
      <w:lvlText w:val="(%1)"/>
      <w:numFmt w:val="lowerLetter"/>
      <w:start w:val="6"/>
    </w:lvl>
    <w:lvl w:ilvl="1">
      <w:lvlJc w:val="left"/>
      <w:lvlText w:val="(%2)"/>
      <w:numFmt w:val="lowerLetter"/>
      <w:start w:val="9"/>
    </w:lvl>
  </w:abstractNum>
  <w:abstractNum w:abstractNumId="67">
    <w:nsid w:val="6A5EE64"/>
    <w:multiLevelType w:val="hybridMultilevel"/>
    <w:lvl w:ilvl="0">
      <w:lvlJc w:val="left"/>
      <w:lvlText w:val="(%1)"/>
      <w:numFmt w:val="lowerRoman"/>
      <w:start w:val="2"/>
    </w:lvl>
  </w:abstractNum>
  <w:abstractNum w:abstractNumId="68">
    <w:nsid w:val="14330624"/>
    <w:multiLevelType w:val="hybridMultilevel"/>
    <w:lvl w:ilvl="0">
      <w:lvlJc w:val="left"/>
      <w:lvlText w:val="%1"/>
      <w:numFmt w:val="lowerLetter"/>
      <w:start w:val="1"/>
    </w:lvl>
    <w:lvl w:ilvl="1">
      <w:lvlJc w:val="left"/>
      <w:lvlText w:val="(%2)"/>
      <w:numFmt w:val="lowerRoman"/>
      <w:start w:val="3"/>
    </w:lvl>
  </w:abstractNum>
  <w:abstractNum w:abstractNumId="69">
    <w:nsid w:val="7FFFCA11"/>
    <w:multiLevelType w:val="hybridMultilevel"/>
    <w:lvl w:ilvl="0">
      <w:lvlJc w:val="left"/>
      <w:lvlText w:val="(%1)"/>
      <w:numFmt w:val="lowerLetter"/>
      <w:start w:val="7"/>
    </w:lvl>
    <w:lvl w:ilvl="1">
      <w:lvlJc w:val="left"/>
      <w:lvlText w:val="%2"/>
      <w:numFmt w:val="lowerRoman"/>
      <w:start w:val="1"/>
    </w:lvl>
  </w:abstractNum>
  <w:abstractNum w:abstractNumId="70">
    <w:nsid w:val="1A27709E"/>
    <w:multiLevelType w:val="hybridMultilevel"/>
    <w:lvl w:ilvl="0">
      <w:lvlJc w:val="left"/>
      <w:lvlText w:val="(%1)"/>
      <w:numFmt w:val="lowerLetter"/>
      <w:start w:val="9"/>
    </w:lvl>
  </w:abstractNum>
  <w:abstractNum w:abstractNumId="71">
    <w:nsid w:val="71EA1109"/>
    <w:multiLevelType w:val="hybridMultilevel"/>
    <w:lvl w:ilvl="0">
      <w:lvlJc w:val="left"/>
      <w:lvlText w:val="%1."/>
      <w:numFmt w:val="decimal"/>
      <w:start w:val="10"/>
    </w:lvl>
  </w:abstractNum>
  <w:abstractNum w:abstractNumId="72">
    <w:nsid w:val="100F59DC"/>
    <w:multiLevelType w:val="hybridMultilevel"/>
    <w:lvl w:ilvl="0">
      <w:lvlJc w:val="left"/>
      <w:lvlText w:val="%1."/>
      <w:numFmt w:val="decimal"/>
      <w:start w:val="11"/>
    </w:lvl>
  </w:abstractNum>
  <w:abstractNum w:abstractNumId="73">
    <w:nsid w:val="7FB7E0AA"/>
    <w:multiLevelType w:val="hybridMultilevel"/>
    <w:lvl w:ilvl="0">
      <w:lvlJc w:val="left"/>
      <w:lvlText w:val="%1."/>
      <w:numFmt w:val="decimal"/>
      <w:start w:val="14"/>
    </w:lvl>
  </w:abstractNum>
  <w:abstractNum w:abstractNumId="74">
    <w:nsid w:val="6EB5BD4"/>
    <w:multiLevelType w:val="hybridMultilevel"/>
    <w:lvl w:ilvl="0">
      <w:lvlJc w:val="left"/>
      <w:lvlText w:val="%1."/>
      <w:numFmt w:val="decimal"/>
      <w:start w:val="16"/>
    </w:lvl>
  </w:abstractNum>
  <w:abstractNum w:abstractNumId="75">
    <w:nsid w:val="6F6DD9AC"/>
    <w:multiLevelType w:val="hybridMultilevel"/>
    <w:lvl w:ilvl="0">
      <w:lvlJc w:val="left"/>
      <w:lvlText w:val="%1."/>
      <w:numFmt w:val="decimal"/>
      <w:start w:val="19"/>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Letter"/>
      <w:start w:val="2"/>
    </w:lvl>
  </w:abstractNum>
  <w:abstractNum w:abstractNumId="78">
    <w:nsid w:val="76272110"/>
    <w:multiLevelType w:val="hybridMultilevel"/>
    <w:lvl w:ilvl="0">
      <w:lvlJc w:val="left"/>
      <w:lvlText w:val="(%1)"/>
      <w:numFmt w:val="lowerLetter"/>
      <w:start w:val="1"/>
    </w:lvl>
    <w:lvl w:ilvl="1">
      <w:lvlJc w:val="left"/>
      <w:lvlText w:val="(%2)"/>
      <w:numFmt w:val="lowerRoman"/>
      <w:start w:val="1"/>
    </w:lvl>
  </w:abstractNum>
  <w:abstractNum w:abstractNumId="79">
    <w:nsid w:val="4C04A8AF"/>
    <w:multiLevelType w:val="hybridMultilevel"/>
    <w:lvl w:ilvl="0">
      <w:lvlJc w:val="left"/>
      <w:lvlText w:val="(%1)"/>
      <w:numFmt w:val="lowerRoman"/>
      <w:start w:val="3"/>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4"/>
    </w:lvl>
  </w:abstractNum>
  <w:abstractNum w:abstractNumId="82">
    <w:nsid w:val="3222E7CD"/>
    <w:multiLevelType w:val="hybridMultilevel"/>
    <w:lvl w:ilvl="0">
      <w:lvlJc w:val="left"/>
      <w:lvlText w:val="%1"/>
      <w:numFmt w:val="lowerRoman"/>
      <w:start w:val="1"/>
    </w:lvl>
    <w:lvl w:ilvl="1">
      <w:lvlJc w:val="left"/>
      <w:lvlText w:val="%2."/>
      <w:numFmt w:val="decimal"/>
      <w:start w:val="10"/>
    </w:lvl>
  </w:abstractNum>
  <w:abstractNum w:abstractNumId="83">
    <w:nsid w:val="74DE0EE3"/>
    <w:multiLevelType w:val="hybridMultilevel"/>
    <w:lvl w:ilvl="0">
      <w:lvlJc w:val="left"/>
      <w:lvlText w:val="(%1)"/>
      <w:numFmt w:val="lowerRoman"/>
      <w:start w:val="5"/>
    </w:lvl>
    <w:lvl w:ilvl="1">
      <w:lvlJc w:val="left"/>
      <w:lvlText w:val="%2."/>
      <w:numFmt w:val="decimal"/>
      <w:start w:val="12"/>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43" Type="http://schemas.openxmlformats.org/officeDocument/2006/relationships/hyperlink" Target="http://www.sec.gov/Archives/edgar/data/1822928/000121390021015000/ea137482ex2_1empower.htm" TargetMode="External"/><Relationship Id="rId44" Type="http://schemas.openxmlformats.org/officeDocument/2006/relationships/hyperlink" Target="http://www.sec.gov/Archives/edgar/data/1822928/000119312521220722/d185405dex31.htm" TargetMode="External"/><Relationship Id="rId45" Type="http://schemas.openxmlformats.org/officeDocument/2006/relationships/hyperlink" Target="http://www.sec.gov/Archives/edgar/data/1822928/000119312521220722/d185405dex32.htm" TargetMode="External"/><Relationship Id="rId46" Type="http://schemas.openxmlformats.org/officeDocument/2006/relationships/hyperlink" Target="http://www.sec.gov/Archives/edgar/data/1822928/000143774923016680/ex_528640.htm" TargetMode="External"/><Relationship Id="rId47" Type="http://schemas.openxmlformats.org/officeDocument/2006/relationships/hyperlink" Target="http://www.sec.gov/Archives/edgar/data/1822928/000143774923016680/ex_5286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2023-08-10T06:47:22Z</dcterms:created>
  <dcterms:modified xsi:type="dcterms:W3CDTF">2023-08-10T06:47:22Z</dcterms:modified>
</cp:coreProperties>
</file>