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jc w:val="center"/>
        <w:spacing w:after="0" w:line="238" w:lineRule="auto"/>
        <w:rPr>
          <w:sz w:val="20"/>
          <w:szCs w:val="20"/>
          <w:color w:val="auto"/>
        </w:rPr>
      </w:pPr>
      <w:r>
        <w:rPr>
          <w:rFonts w:ascii="Arial" w:cs="Arial" w:eastAsia="Arial" w:hAnsi="Arial"/>
          <w:sz w:val="22"/>
          <w:szCs w:val="22"/>
          <w:b w:val="1"/>
          <w:bCs w:val="1"/>
          <w:color w:val="auto"/>
        </w:rPr>
        <w:t>UNITED STATES</w:t>
      </w:r>
    </w:p>
    <w:p>
      <w:pPr>
        <w:jc w:val="center"/>
        <w:spacing w:after="0" w:line="230"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7" w:lineRule="exact"/>
        <w:rPr>
          <w:sz w:val="24"/>
          <w:szCs w:val="24"/>
          <w:color w:val="auto"/>
        </w:rPr>
      </w:pPr>
    </w:p>
    <w:p>
      <w:pPr>
        <w:ind w:left="3860" w:right="2360" w:hanging="3852"/>
        <w:spacing w:after="0" w:line="561" w:lineRule="auto"/>
        <w:tabs>
          <w:tab w:leader="none" w:pos="58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30, 2025</w:t>
      </w:r>
    </w:p>
    <w:p>
      <w:pPr>
        <w:spacing w:after="0" w:line="274" w:lineRule="exact"/>
        <w:rPr>
          <w:sz w:val="24"/>
          <w:szCs w:val="24"/>
          <w:color w:val="auto"/>
        </w:rPr>
      </w:pPr>
    </w:p>
    <w:p>
      <w:pPr>
        <w:ind w:left="3480" w:right="2360" w:hanging="3472"/>
        <w:spacing w:after="0" w:line="510" w:lineRule="auto"/>
        <w:tabs>
          <w:tab w:leader="none" w:pos="56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__________to__________</w:t>
      </w:r>
    </w:p>
    <w:p>
      <w:pPr>
        <w:spacing w:after="0" w:line="1" w:lineRule="exact"/>
        <w:rPr>
          <w:rFonts w:ascii="MS PGothic" w:cs="MS PGothic" w:eastAsia="MS PGothic" w:hAnsi="MS PGothic"/>
          <w:sz w:val="16"/>
          <w:szCs w:val="16"/>
          <w:color w:val="auto"/>
        </w:rPr>
      </w:pPr>
    </w:p>
    <w:p>
      <w:pPr>
        <w:ind w:left="42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001-39599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HOLLEY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715" w:right="339" w:bottom="1440" w:gutter="0" w:footer="0" w:header="0"/>
        </w:sectPr>
      </w:pPr>
    </w:p>
    <w:p>
      <w:pPr>
        <w:spacing w:after="0" w:line="192"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87-1727560</w:t>
      </w:r>
    </w:p>
    <w:p>
      <w:pPr>
        <w:spacing w:after="0" w:line="35" w:lineRule="exact"/>
        <w:rPr>
          <w:sz w:val="24"/>
          <w:szCs w:val="24"/>
          <w:color w:val="auto"/>
        </w:rPr>
      </w:pPr>
    </w:p>
    <w:p>
      <w:pPr>
        <w:sectPr>
          <w:pgSz w:w="11900" w:h="16838" w:orient="portrait"/>
          <w:cols w:equalWidth="0" w:num="2">
            <w:col w:w="7280" w:space="720"/>
            <w:col w:w="3240"/>
          </w:cols>
          <w:pgMar w:left="320" w:top="715" w:right="339" w:bottom="1440" w:gutter="0" w:footer="0" w:header="0"/>
          <w:type w:val="continuous"/>
        </w:sectPr>
      </w:pPr>
    </w:p>
    <w:p>
      <w:pPr>
        <w:ind w:left="104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9" w:lineRule="exact"/>
        <w:rPr>
          <w:sz w:val="24"/>
          <w:szCs w:val="24"/>
          <w:color w:val="auto"/>
        </w:rPr>
      </w:pPr>
    </w:p>
    <w:p>
      <w:pPr>
        <w:sectPr>
          <w:pgSz w:w="11900" w:h="16838" w:orient="portrait"/>
          <w:cols w:equalWidth="0" w:num="2">
            <w:col w:w="6680" w:space="720"/>
            <w:col w:w="3840"/>
          </w:cols>
          <w:pgMar w:left="320" w:top="715"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2445 Nashville Road, Suite B1, Bowling Green, KY 42101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(270) 782-2900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w:t>
      </w:r>
      <w:r>
        <w:rPr>
          <w:rFonts w:ascii="Arial" w:cs="Arial" w:eastAsia="Arial" w:hAnsi="Arial"/>
          <w:sz w:val="13"/>
          <w:szCs w:val="13"/>
          <w:color w:val="auto"/>
        </w:rPr>
        <w:t>’</w:t>
      </w:r>
      <w:r>
        <w:rPr>
          <w:rFonts w:ascii="Arial" w:cs="Arial" w:eastAsia="Arial" w:hAnsi="Arial"/>
          <w:sz w:val="13"/>
          <w:szCs w:val="13"/>
          <w:b w:val="1"/>
          <w:bCs w:val="1"/>
          <w:color w:val="auto"/>
        </w:rPr>
        <w:t>s telephone number, including area code)</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N/A</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0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0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7"/>
                <w:szCs w:val="17"/>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7"/>
                <w:szCs w:val="17"/>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68"/>
        </w:trPr>
        <w:tc>
          <w:tcPr>
            <w:tcW w:w="3720" w:type="dxa"/>
            <w:vAlign w:val="bottom"/>
          </w:tcPr>
          <w:p>
            <w:pPr>
              <w:jc w:val="center"/>
              <w:spacing w:after="0" w:line="168" w:lineRule="exact"/>
              <w:rPr>
                <w:sz w:val="20"/>
                <w:szCs w:val="20"/>
                <w:color w:val="auto"/>
              </w:rPr>
            </w:pPr>
            <w:r>
              <w:rPr>
                <w:rFonts w:ascii="Arial" w:cs="Arial" w:eastAsia="Arial" w:hAnsi="Arial"/>
                <w:sz w:val="16"/>
                <w:szCs w:val="16"/>
                <w:color w:val="auto"/>
              </w:rPr>
              <w:t>Common Stock, par value $0.0001</w:t>
            </w:r>
          </w:p>
        </w:tc>
        <w:tc>
          <w:tcPr>
            <w:tcW w:w="120" w:type="dxa"/>
            <w:vAlign w:val="bottom"/>
          </w:tcPr>
          <w:p>
            <w:pPr>
              <w:spacing w:after="0"/>
              <w:rPr>
                <w:sz w:val="14"/>
                <w:szCs w:val="14"/>
                <w:color w:val="auto"/>
              </w:rPr>
            </w:pPr>
          </w:p>
        </w:tc>
        <w:tc>
          <w:tcPr>
            <w:tcW w:w="3600" w:type="dxa"/>
            <w:vAlign w:val="bottom"/>
          </w:tcPr>
          <w:p>
            <w:pPr>
              <w:jc w:val="center"/>
              <w:spacing w:after="0" w:line="168" w:lineRule="exact"/>
              <w:rPr>
                <w:sz w:val="20"/>
                <w:szCs w:val="20"/>
                <w:color w:val="auto"/>
              </w:rPr>
            </w:pPr>
            <w:r>
              <w:rPr>
                <w:rFonts w:ascii="Arial" w:cs="Arial" w:eastAsia="Arial" w:hAnsi="Arial"/>
                <w:sz w:val="16"/>
                <w:szCs w:val="16"/>
                <w:color w:val="auto"/>
                <w:w w:val="99"/>
              </w:rPr>
              <w:t>HLLY</w:t>
            </w:r>
          </w:p>
        </w:tc>
        <w:tc>
          <w:tcPr>
            <w:tcW w:w="100" w:type="dxa"/>
            <w:vAlign w:val="bottom"/>
          </w:tcPr>
          <w:p>
            <w:pPr>
              <w:spacing w:after="0"/>
              <w:rPr>
                <w:sz w:val="14"/>
                <w:szCs w:val="14"/>
                <w:color w:val="auto"/>
              </w:rPr>
            </w:pPr>
          </w:p>
        </w:tc>
        <w:tc>
          <w:tcPr>
            <w:tcW w:w="3700" w:type="dxa"/>
            <w:vAlign w:val="bottom"/>
          </w:tcPr>
          <w:p>
            <w:pPr>
              <w:jc w:val="center"/>
              <w:spacing w:after="0" w:line="168" w:lineRule="exact"/>
              <w:rPr>
                <w:sz w:val="20"/>
                <w:szCs w:val="20"/>
                <w:color w:val="auto"/>
              </w:rPr>
            </w:pPr>
            <w:r>
              <w:rPr>
                <w:rFonts w:ascii="Arial" w:cs="Arial" w:eastAsia="Arial" w:hAnsi="Arial"/>
                <w:sz w:val="16"/>
                <w:szCs w:val="16"/>
                <w:color w:val="auto"/>
              </w:rPr>
              <w:t>New York Stock Exchange</w:t>
            </w:r>
          </w:p>
        </w:tc>
      </w:tr>
      <w:tr>
        <w:trPr>
          <w:trHeight w:val="215"/>
        </w:trPr>
        <w:tc>
          <w:tcPr>
            <w:tcW w:w="3720" w:type="dxa"/>
            <w:vAlign w:val="bottom"/>
          </w:tcPr>
          <w:p>
            <w:pPr>
              <w:jc w:val="center"/>
              <w:spacing w:after="0"/>
              <w:rPr>
                <w:sz w:val="20"/>
                <w:szCs w:val="20"/>
                <w:color w:val="auto"/>
              </w:rPr>
            </w:pPr>
            <w:r>
              <w:rPr>
                <w:rFonts w:ascii="Arial" w:cs="Arial" w:eastAsia="Arial" w:hAnsi="Arial"/>
                <w:sz w:val="16"/>
                <w:szCs w:val="16"/>
                <w:color w:val="auto"/>
              </w:rPr>
              <w:t>Warrants to purchase common stock</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HLLY WS</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77"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340" w:type="dxa"/>
        <w:tblCellMar>
          <w:top w:w="0" w:type="dxa"/>
          <w:left w:w="0" w:type="dxa"/>
          <w:bottom w:w="0" w:type="dxa"/>
          <w:right w:w="0" w:type="dxa"/>
        </w:tblCellMar>
      </w:tblPr>
      <w:tr>
        <w:trPr>
          <w:trHeight w:val="272"/>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4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180" w:type="dxa"/>
            <w:vAlign w:val="bottom"/>
          </w:tcPr>
          <w:p>
            <w:pPr>
              <w:spacing w:after="0"/>
              <w:rPr>
                <w:sz w:val="20"/>
                <w:szCs w:val="20"/>
                <w:color w:val="auto"/>
              </w:rPr>
            </w:pPr>
            <w:r>
              <w:rPr>
                <w:rFonts w:ascii="Arial" w:cs="Arial" w:eastAsia="Arial" w:hAnsi="Arial"/>
                <w:sz w:val="16"/>
                <w:szCs w:val="16"/>
                <w:color w:val="auto"/>
              </w:rPr>
              <w:t>Non-accelerated filer</w:t>
            </w:r>
          </w:p>
        </w:tc>
        <w:tc>
          <w:tcPr>
            <w:tcW w:w="27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4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20" w:type="dxa"/>
            <w:vAlign w:val="bottom"/>
          </w:tcPr>
          <w:p>
            <w:pPr>
              <w:ind w:left="204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5" w:lineRule="exact"/>
        <w:rPr>
          <w:sz w:val="24"/>
          <w:szCs w:val="24"/>
          <w:color w:val="auto"/>
        </w:rPr>
      </w:pPr>
    </w:p>
    <w:p>
      <w:pPr>
        <w:ind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0"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There were 120,180,639 shares of Common Stock, including 1,093,750 restricted earn-out shares, par value $0.0001 per share, issued and outstanding as of May 5, 2025.</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60" w:type="dxa"/>
            <w:vAlign w:val="bottom"/>
            <w:gridSpan w:val="16"/>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0"/>
        </w:trPr>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6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860" w:type="dxa"/>
            <w:vAlign w:val="bottom"/>
            <w:gridSpan w:val="16"/>
          </w:tcPr>
          <w:p>
            <w:pPr>
              <w:spacing w:after="0"/>
              <w:rPr>
                <w:sz w:val="20"/>
                <w:szCs w:val="20"/>
                <w:color w:val="auto"/>
              </w:rPr>
            </w:pPr>
            <w:r>
              <w:rPr>
                <w:rFonts w:ascii="Arial" w:cs="Arial" w:eastAsia="Arial" w:hAnsi="Arial"/>
                <w:sz w:val="18"/>
                <w:szCs w:val="18"/>
                <w:color w:val="0000EE"/>
              </w:rPr>
              <w:t>PART I – FINANCIAL INFORMATION</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EE"/>
              </w:rPr>
              <w:t>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34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Item 1. Financial Statements.</w:t>
            </w:r>
          </w:p>
        </w:tc>
        <w:tc>
          <w:tcPr>
            <w:tcW w:w="660" w:type="dxa"/>
            <w:vAlign w:val="bottom"/>
            <w:tcBorders>
              <w:top w:val="single" w:sz="8" w:color="0000EE"/>
            </w:tcBorders>
            <w:gridSpan w:val="3"/>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40" w:type="dxa"/>
            <w:vAlign w:val="bottom"/>
            <w:gridSpan w:val="15"/>
          </w:tcPr>
          <w:p>
            <w:pPr>
              <w:spacing w:after="0"/>
              <w:rPr>
                <w:sz w:val="20"/>
                <w:szCs w:val="20"/>
                <w:color w:val="auto"/>
              </w:rPr>
            </w:pPr>
            <w:r>
              <w:rPr>
                <w:rFonts w:ascii="Arial" w:cs="Arial" w:eastAsia="Arial" w:hAnsi="Arial"/>
                <w:sz w:val="18"/>
                <w:szCs w:val="18"/>
                <w:color w:val="0000EE"/>
                <w:w w:val="99"/>
              </w:rPr>
              <w:t>Item 2. Management’s Discussion and Analysis of Financial Condition and Results of Operations.</w:t>
            </w:r>
          </w:p>
        </w:tc>
        <w:tc>
          <w:tcPr>
            <w:tcW w:w="312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25</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40" w:type="dxa"/>
            <w:vAlign w:val="bottom"/>
            <w:gridSpan w:val="15"/>
          </w:tcPr>
          <w:p>
            <w:pPr>
              <w:spacing w:after="0"/>
              <w:rPr>
                <w:sz w:val="20"/>
                <w:szCs w:val="20"/>
                <w:color w:val="auto"/>
              </w:rPr>
            </w:pPr>
            <w:r>
              <w:rPr>
                <w:rFonts w:ascii="Arial" w:cs="Arial" w:eastAsia="Arial" w:hAnsi="Arial"/>
                <w:sz w:val="18"/>
                <w:szCs w:val="18"/>
                <w:color w:val="0000EE"/>
              </w:rPr>
              <w:t>Item 3. Quantitative and Qualitative Disclosures About Market Risk.</w:t>
            </w:r>
          </w:p>
        </w:tc>
        <w:tc>
          <w:tcPr>
            <w:tcW w:w="312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540" w:type="dxa"/>
            <w:vAlign w:val="bottom"/>
            <w:gridSpan w:val="9"/>
          </w:tcPr>
          <w:p>
            <w:pPr>
              <w:spacing w:after="0"/>
              <w:rPr>
                <w:sz w:val="20"/>
                <w:szCs w:val="20"/>
                <w:color w:val="auto"/>
              </w:rPr>
            </w:pPr>
            <w:r>
              <w:rPr>
                <w:rFonts w:ascii="Arial" w:cs="Arial" w:eastAsia="Arial" w:hAnsi="Arial"/>
                <w:sz w:val="18"/>
                <w:szCs w:val="18"/>
                <w:color w:val="0000EE"/>
                <w:w w:val="96"/>
              </w:rPr>
              <w:t>Item 4. Controls and Procedures</w:t>
            </w:r>
          </w:p>
        </w:tc>
        <w:tc>
          <w:tcPr>
            <w:tcW w:w="2820" w:type="dxa"/>
            <w:vAlign w:val="bottom"/>
            <w:gridSpan w:val="4"/>
          </w:tcPr>
          <w:p>
            <w:pPr>
              <w:spacing w:after="0"/>
              <w:rPr>
                <w:sz w:val="24"/>
                <w:szCs w:val="24"/>
                <w:color w:val="auto"/>
              </w:rPr>
            </w:pPr>
          </w:p>
        </w:tc>
        <w:tc>
          <w:tcPr>
            <w:tcW w:w="5500" w:type="dxa"/>
            <w:vAlign w:val="bottom"/>
            <w:gridSpan w:val="3"/>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0860" w:type="dxa"/>
            <w:vAlign w:val="bottom"/>
            <w:gridSpan w:val="16"/>
          </w:tcPr>
          <w:p>
            <w:pPr>
              <w:spacing w:after="0"/>
              <w:rPr>
                <w:sz w:val="20"/>
                <w:szCs w:val="20"/>
                <w:color w:val="auto"/>
              </w:rPr>
            </w:pPr>
            <w:r>
              <w:rPr>
                <w:rFonts w:ascii="Arial" w:cs="Arial" w:eastAsia="Arial" w:hAnsi="Arial"/>
                <w:sz w:val="18"/>
                <w:szCs w:val="18"/>
                <w:color w:val="0000EE"/>
              </w:rPr>
              <w:t>PART II – OTHER INFORMATION</w:t>
            </w:r>
          </w:p>
        </w:tc>
        <w:tc>
          <w:tcPr>
            <w:tcW w:w="380" w:type="dxa"/>
            <w:vAlign w:val="bottom"/>
            <w:gridSpan w:val="3"/>
            <w:vMerge w:val="restart"/>
          </w:tcPr>
          <w:p>
            <w:pPr>
              <w:spacing w:after="0"/>
              <w:rPr>
                <w:sz w:val="20"/>
                <w:szCs w:val="20"/>
                <w:color w:val="auto"/>
              </w:rPr>
            </w:pPr>
            <w:r>
              <w:rPr>
                <w:rFonts w:ascii="Arial" w:cs="Arial" w:eastAsia="Arial" w:hAnsi="Arial"/>
                <w:sz w:val="18"/>
                <w:szCs w:val="18"/>
                <w:color w:val="0000EE"/>
              </w:rPr>
              <w:t>34</w:t>
            </w:r>
          </w:p>
        </w:tc>
        <w:tc>
          <w:tcPr>
            <w:tcW w:w="0" w:type="dxa"/>
            <w:vAlign w:val="bottom"/>
          </w:tcPr>
          <w:p>
            <w:pPr>
              <w:spacing w:after="0"/>
              <w:rPr>
                <w:sz w:val="1"/>
                <w:szCs w:val="1"/>
                <w:color w:val="auto"/>
              </w:rPr>
            </w:pPr>
          </w:p>
        </w:tc>
      </w:tr>
      <w:tr>
        <w:trPr>
          <w:trHeight w:val="183"/>
        </w:trPr>
        <w:tc>
          <w:tcPr>
            <w:tcW w:w="27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1. Legal Proceedings.</w:t>
            </w:r>
          </w:p>
        </w:tc>
        <w:tc>
          <w:tcPr>
            <w:tcW w:w="460" w:type="dxa"/>
            <w:vAlign w:val="bottom"/>
            <w:gridSpan w:val="2"/>
          </w:tcPr>
          <w:p>
            <w:pPr>
              <w:spacing w:after="0"/>
              <w:rPr>
                <w:sz w:val="15"/>
                <w:szCs w:val="15"/>
                <w:color w:val="auto"/>
              </w:rPr>
            </w:pPr>
          </w:p>
        </w:tc>
        <w:tc>
          <w:tcPr>
            <w:tcW w:w="2300" w:type="dxa"/>
            <w:vAlign w:val="bottom"/>
            <w:gridSpan w:val="2"/>
          </w:tcPr>
          <w:p>
            <w:pPr>
              <w:spacing w:after="0"/>
              <w:rPr>
                <w:sz w:val="15"/>
                <w:szCs w:val="15"/>
                <w:color w:val="auto"/>
              </w:rPr>
            </w:pPr>
          </w:p>
        </w:tc>
        <w:tc>
          <w:tcPr>
            <w:tcW w:w="5360" w:type="dxa"/>
            <w:vAlign w:val="bottom"/>
            <w:gridSpan w:val="2"/>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80" w:type="dxa"/>
            <w:vAlign w:val="bottom"/>
            <w:gridSpan w:val="5"/>
          </w:tcPr>
          <w:p>
            <w:pPr>
              <w:spacing w:after="0"/>
              <w:rPr>
                <w:sz w:val="20"/>
                <w:szCs w:val="20"/>
                <w:color w:val="auto"/>
              </w:rPr>
            </w:pPr>
            <w:r>
              <w:rPr>
                <w:rFonts w:ascii="Arial" w:cs="Arial" w:eastAsia="Arial" w:hAnsi="Arial"/>
                <w:sz w:val="18"/>
                <w:szCs w:val="18"/>
                <w:color w:val="0000EE"/>
                <w:w w:val="99"/>
              </w:rPr>
              <w:t>Item 1A. Risk Factors.</w:t>
            </w:r>
          </w:p>
        </w:tc>
        <w:tc>
          <w:tcPr>
            <w:tcW w:w="360" w:type="dxa"/>
            <w:vAlign w:val="bottom"/>
            <w:gridSpan w:val="2"/>
          </w:tcPr>
          <w:p>
            <w:pPr>
              <w:spacing w:after="0"/>
              <w:rPr>
                <w:sz w:val="24"/>
                <w:szCs w:val="24"/>
                <w:color w:val="auto"/>
              </w:rPr>
            </w:pPr>
          </w:p>
        </w:tc>
        <w:tc>
          <w:tcPr>
            <w:tcW w:w="8720" w:type="dxa"/>
            <w:vAlign w:val="bottom"/>
            <w:gridSpan w:val="9"/>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34</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6"/>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380" w:type="dxa"/>
            <w:vAlign w:val="bottom"/>
            <w:gridSpan w:val="3"/>
          </w:tcPr>
          <w:p>
            <w:pPr>
              <w:spacing w:after="0"/>
              <w:rPr>
                <w:sz w:val="20"/>
                <w:szCs w:val="20"/>
                <w:color w:val="auto"/>
              </w:rPr>
            </w:pPr>
            <w:r>
              <w:rPr>
                <w:rFonts w:ascii="Arial" w:cs="Arial" w:eastAsia="Arial" w:hAnsi="Arial"/>
                <w:sz w:val="18"/>
                <w:szCs w:val="18"/>
                <w:color w:val="0000EE"/>
              </w:rPr>
              <w:t>34</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3.</w:t>
            </w:r>
          </w:p>
        </w:tc>
        <w:tc>
          <w:tcPr>
            <w:tcW w:w="4920" w:type="dxa"/>
            <w:vAlign w:val="bottom"/>
            <w:gridSpan w:val="13"/>
          </w:tcPr>
          <w:p>
            <w:pPr>
              <w:ind w:left="20"/>
              <w:spacing w:after="0"/>
              <w:rPr>
                <w:sz w:val="20"/>
                <w:szCs w:val="20"/>
                <w:color w:val="auto"/>
              </w:rPr>
            </w:pPr>
            <w:r>
              <w:rPr>
                <w:rFonts w:ascii="Arial" w:cs="Arial" w:eastAsia="Arial" w:hAnsi="Arial"/>
                <w:sz w:val="18"/>
                <w:szCs w:val="18"/>
                <w:color w:val="0000EE"/>
              </w:rPr>
              <w:t>Defaults Upon Senior Securities.</w:t>
            </w:r>
          </w:p>
        </w:tc>
        <w:tc>
          <w:tcPr>
            <w:tcW w:w="5360" w:type="dxa"/>
            <w:vAlign w:val="bottom"/>
            <w:gridSpan w:val="2"/>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34</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4.</w:t>
            </w:r>
          </w:p>
        </w:tc>
        <w:tc>
          <w:tcPr>
            <w:tcW w:w="1960" w:type="dxa"/>
            <w:vAlign w:val="bottom"/>
            <w:gridSpan w:val="8"/>
          </w:tcPr>
          <w:p>
            <w:pPr>
              <w:ind w:left="20"/>
              <w:spacing w:after="0"/>
              <w:rPr>
                <w:sz w:val="20"/>
                <w:szCs w:val="20"/>
                <w:color w:val="auto"/>
              </w:rPr>
            </w:pPr>
            <w:r>
              <w:rPr>
                <w:rFonts w:ascii="Arial" w:cs="Arial" w:eastAsia="Arial" w:hAnsi="Arial"/>
                <w:sz w:val="18"/>
                <w:szCs w:val="18"/>
                <w:color w:val="0000EE"/>
                <w:w w:val="98"/>
              </w:rPr>
              <w:t>Mine Safety Disclosures</w:t>
            </w:r>
          </w:p>
        </w:tc>
        <w:tc>
          <w:tcPr>
            <w:tcW w:w="660" w:type="dxa"/>
            <w:vAlign w:val="bottom"/>
            <w:gridSpan w:val="3"/>
          </w:tcPr>
          <w:p>
            <w:pPr>
              <w:spacing w:after="0"/>
              <w:rPr>
                <w:sz w:val="24"/>
                <w:szCs w:val="24"/>
                <w:color w:val="auto"/>
              </w:rPr>
            </w:pPr>
          </w:p>
        </w:tc>
        <w:tc>
          <w:tcPr>
            <w:tcW w:w="7660" w:type="dxa"/>
            <w:vAlign w:val="bottom"/>
            <w:gridSpan w:val="4"/>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34</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5.</w:t>
            </w:r>
          </w:p>
        </w:tc>
        <w:tc>
          <w:tcPr>
            <w:tcW w:w="1480" w:type="dxa"/>
            <w:vAlign w:val="bottom"/>
            <w:gridSpan w:val="5"/>
          </w:tcPr>
          <w:p>
            <w:pPr>
              <w:ind w:left="20"/>
              <w:spacing w:after="0"/>
              <w:rPr>
                <w:sz w:val="20"/>
                <w:szCs w:val="20"/>
                <w:color w:val="auto"/>
              </w:rPr>
            </w:pPr>
            <w:r>
              <w:rPr>
                <w:rFonts w:ascii="Arial" w:cs="Arial" w:eastAsia="Arial" w:hAnsi="Arial"/>
                <w:sz w:val="18"/>
                <w:szCs w:val="18"/>
                <w:color w:val="0000EE"/>
                <w:w w:val="99"/>
              </w:rPr>
              <w:t>Other Information.</w:t>
            </w:r>
          </w:p>
        </w:tc>
        <w:tc>
          <w:tcPr>
            <w:tcW w:w="480" w:type="dxa"/>
            <w:vAlign w:val="bottom"/>
            <w:gridSpan w:val="3"/>
          </w:tcPr>
          <w:p>
            <w:pPr>
              <w:spacing w:after="0"/>
              <w:rPr>
                <w:sz w:val="24"/>
                <w:szCs w:val="24"/>
                <w:color w:val="auto"/>
              </w:rPr>
            </w:pPr>
          </w:p>
        </w:tc>
        <w:tc>
          <w:tcPr>
            <w:tcW w:w="8320" w:type="dxa"/>
            <w:vAlign w:val="bottom"/>
            <w:gridSpan w:val="7"/>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34</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800" w:type="dxa"/>
            <w:vAlign w:val="bottom"/>
            <w:gridSpan w:val="10"/>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0"/>
                <w:szCs w:val="20"/>
                <w:color w:val="auto"/>
              </w:rPr>
            </w:pPr>
            <w:r>
              <w:rPr>
                <w:rFonts w:ascii="Arial" w:cs="Arial" w:eastAsia="Arial" w:hAnsi="Arial"/>
                <w:sz w:val="18"/>
                <w:szCs w:val="18"/>
                <w:color w:val="0000EE"/>
              </w:rPr>
              <w:t>Item 6.</w:t>
            </w:r>
          </w:p>
        </w:tc>
        <w:tc>
          <w:tcPr>
            <w:tcW w:w="1480" w:type="dxa"/>
            <w:vAlign w:val="bottom"/>
            <w:gridSpan w:val="5"/>
          </w:tcPr>
          <w:p>
            <w:pPr>
              <w:ind w:left="20"/>
              <w:spacing w:after="0"/>
              <w:rPr>
                <w:sz w:val="20"/>
                <w:szCs w:val="20"/>
                <w:color w:val="auto"/>
              </w:rPr>
            </w:pPr>
            <w:r>
              <w:rPr>
                <w:rFonts w:ascii="Arial" w:cs="Arial" w:eastAsia="Arial" w:hAnsi="Arial"/>
                <w:sz w:val="18"/>
                <w:szCs w:val="18"/>
                <w:color w:val="0000EE"/>
              </w:rPr>
              <w:t>Exhibits.</w:t>
            </w:r>
          </w:p>
        </w:tc>
        <w:tc>
          <w:tcPr>
            <w:tcW w:w="8800" w:type="dxa"/>
            <w:vAlign w:val="bottom"/>
            <w:gridSpan w:val="10"/>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580" w:type="dxa"/>
            <w:vAlign w:val="bottom"/>
            <w:gridSpan w:val="1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gridSpan w:val="3"/>
          </w:tcPr>
          <w:p>
            <w:pPr>
              <w:spacing w:after="0"/>
              <w:rPr>
                <w:sz w:val="20"/>
                <w:szCs w:val="20"/>
                <w:color w:val="auto"/>
              </w:rPr>
            </w:pPr>
            <w:r>
              <w:rPr>
                <w:rFonts w:ascii="Arial" w:cs="Arial" w:eastAsia="Arial" w:hAnsi="Arial"/>
                <w:sz w:val="18"/>
                <w:szCs w:val="18"/>
                <w:color w:val="0000EE"/>
              </w:rPr>
              <w:t>SIGNATURE</w:t>
            </w:r>
          </w:p>
        </w:tc>
        <w:tc>
          <w:tcPr>
            <w:tcW w:w="9580" w:type="dxa"/>
            <w:vAlign w:val="bottom"/>
            <w:gridSpan w:val="13"/>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EE"/>
              </w:rPr>
              <w:t>36</w:t>
            </w:r>
          </w:p>
        </w:tc>
        <w:tc>
          <w:tcPr>
            <w:tcW w:w="0" w:type="dxa"/>
            <w:vAlign w:val="bottom"/>
          </w:tcPr>
          <w:p>
            <w:pPr>
              <w:spacing w:after="0"/>
              <w:rPr>
                <w:sz w:val="1"/>
                <w:szCs w:val="1"/>
                <w:color w:val="auto"/>
              </w:rPr>
            </w:pPr>
          </w:p>
        </w:tc>
      </w:tr>
      <w:tr>
        <w:trPr>
          <w:trHeight w:val="430"/>
        </w:trPr>
        <w:tc>
          <w:tcPr>
            <w:tcW w:w="5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700" w:type="dxa"/>
            <w:vAlign w:val="bottom"/>
            <w:gridSpan w:val="13"/>
          </w:tcPr>
          <w:p>
            <w:pPr>
              <w:jc w:val="right"/>
              <w:ind w:right="2060"/>
              <w:spacing w:after="0"/>
              <w:rPr>
                <w:sz w:val="20"/>
                <w:szCs w:val="20"/>
                <w:color w:val="auto"/>
              </w:rPr>
            </w:pPr>
            <w:r>
              <w:rPr>
                <w:rFonts w:ascii="Arial" w:cs="Arial" w:eastAsia="Arial" w:hAnsi="Arial"/>
                <w:sz w:val="18"/>
                <w:szCs w:val="18"/>
                <w:color w:val="auto"/>
              </w:rPr>
              <w:t>2</w:t>
            </w:r>
          </w:p>
        </w:tc>
        <w:tc>
          <w:tcPr>
            <w:tcW w:w="31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are intended to enjoy the protection of the safe harbor for forward-looking statements provided by the Securities Act and Exchange Act, as well as protections afforded by other federal securities laws. These forward-looking statements relate to expectations for future financial performance, business strategies or expectations for the Company’s business. Forward-looking statements may be accompanied by words such as “believe,” “estimate,” “expect,” “project,” “forecast,” “may,” “will,” “should,” “seek,” “plan,” “scheduled,” “anticipate,” “intend” or similar expressions. These forward-looking statements are subject to various risks and uncertainties, many of which are outside our control. Therefore, you should not place undue reliance on such statements. Actual results could differ materially due to numerous factors, including but not limited to the Company’s ability to do any of the following:</w:t>
      </w:r>
    </w:p>
    <w:p>
      <w:pPr>
        <w:spacing w:after="0" w:line="170" w:lineRule="exact"/>
        <w:rPr>
          <w:sz w:val="20"/>
          <w:szCs w:val="20"/>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its business strategy, including monetization of services provided and expansions in and into existing and new lines of business;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disruptions and higher costs in manufacturing, supply chain, logistical operations, and shortages of certain company products in distribution channels;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supply shortages of key component parts used in our products and the need to shift the mix of products offered in response thereto;</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the impact of geopolitical events, including military conflicts (including the conflict in Ukraine, the conflict in the Middle East, the possible expansion of such conflicts and potential geopolitical consequences), tariffs, the interruption from catastrophic events and problems such as terrorism, and public health crises;</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resellers;</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the impact of elevated interest rate levels, which cause the cost of capital to increase, as well as respond to inflationary pressures and tariffs;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and mitigate the impact of changing trade policies, including tariffs;</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future operating and financial results, whether through anticipated organic or external growth initiatives or through the implementation of cost savings initiatives;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increased constraints in consumer demand and/or shifts in the mix of products sold;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and retain qualified employees and key personnel;</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and enhance the Company’s corporate reputation and brand awareness;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goodwill and other intangible asset impairment charges;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 store, process and use personal and payment information and other consumer data;</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privacy and data protection laws and other legal obligations related to privacy, information security, and data protection;</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the impact of any security breaches, cyber-attacks, or other cybersecurity threats or incidents, or the failure of any key information technology systems;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additional capital, including through the sale of equity or debt securities;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finance operations on an economically viable basis;</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Holley’s New York Stock Exchange (“NYSE”) listing of its common stock (“Common Stock”) and warrants to purchase Common Stock ("Warrants");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existing and/or future laws and regulations applicable to our business, including laws and regulations related to environmental health and safety or climate-related disclosures;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litigation, complaints, product liability claims and/or adverse publicity;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the impact of changes in U.S. tax laws and regulations, including the impact on deferred tax assets;</w:t>
      </w:r>
    </w:p>
    <w:p>
      <w:pPr>
        <w:spacing w:after="0" w:line="238"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and demographic trends; and</w:t>
      </w:r>
    </w:p>
    <w:p>
      <w:pPr>
        <w:spacing w:after="0" w:line="14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other risks and factors, listed under the caption “Risk Factors” included in our Annual Report on Form 10-K for the year ended December 31, 2024, as filed with the U.S. Securities and Exchange Commission (the "SEC") on March 14, 2025, and/or as disclosed in any subsequent filings with the SEC.</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Forward-looking statements are based on information available as of the date of this Quarterly Report on Form 10-Q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may be required under applicable securities laws.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400" w:type="dxa"/>
            <w:vAlign w:val="bottom"/>
          </w:tcPr>
          <w:p>
            <w:pPr>
              <w:spacing w:after="0"/>
              <w:rPr>
                <w:sz w:val="24"/>
                <w:szCs w:val="24"/>
                <w:color w:val="auto"/>
              </w:rPr>
            </w:pPr>
          </w:p>
        </w:tc>
        <w:tc>
          <w:tcPr>
            <w:tcW w:w="66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HOLLEY INC.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400" w:type="dxa"/>
            <w:vAlign w:val="bottom"/>
          </w:tcPr>
          <w:p>
            <w:pPr>
              <w:spacing w:after="0"/>
              <w:rPr>
                <w:sz w:val="17"/>
                <w:szCs w:val="17"/>
                <w:color w:val="auto"/>
              </w:rPr>
            </w:pPr>
          </w:p>
        </w:tc>
        <w:tc>
          <w:tcPr>
            <w:tcW w:w="6600" w:type="dxa"/>
            <w:vAlign w:val="bottom"/>
          </w:tcPr>
          <w:p>
            <w:pPr>
              <w:jc w:val="center"/>
              <w:ind w:left="1750"/>
              <w:spacing w:after="0" w:line="202" w:lineRule="exact"/>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00" w:type="dxa"/>
            <w:vAlign w:val="bottom"/>
          </w:tcPr>
          <w:p>
            <w:pPr>
              <w:spacing w:after="0"/>
              <w:rPr>
                <w:sz w:val="17"/>
                <w:szCs w:val="17"/>
                <w:color w:val="auto"/>
              </w:rPr>
            </w:pPr>
          </w:p>
        </w:tc>
        <w:tc>
          <w:tcPr>
            <w:tcW w:w="6600" w:type="dxa"/>
            <w:vAlign w:val="bottom"/>
          </w:tcPr>
          <w:p>
            <w:pPr>
              <w:jc w:val="center"/>
              <w:ind w:left="1750"/>
              <w:spacing w:after="0" w:line="202" w:lineRule="exact"/>
              <w:rPr>
                <w:sz w:val="20"/>
                <w:szCs w:val="20"/>
                <w:color w:val="auto"/>
              </w:rPr>
            </w:pPr>
            <w:r>
              <w:rPr>
                <w:rFonts w:ascii="Arial" w:cs="Arial" w:eastAsia="Arial" w:hAnsi="Arial"/>
                <w:sz w:val="18"/>
                <w:szCs w:val="18"/>
                <w:color w:val="auto"/>
              </w:rPr>
              <w:t>(in thousands, except share data)</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400" w:type="dxa"/>
            <w:vAlign w:val="bottom"/>
          </w:tcPr>
          <w:p>
            <w:pPr>
              <w:spacing w:after="0"/>
              <w:rPr>
                <w:sz w:val="20"/>
                <w:szCs w:val="20"/>
                <w:color w:val="auto"/>
              </w:rPr>
            </w:pPr>
          </w:p>
        </w:tc>
        <w:tc>
          <w:tcPr>
            <w:tcW w:w="6600" w:type="dxa"/>
            <w:vAlign w:val="bottom"/>
          </w:tcPr>
          <w:p>
            <w:pPr>
              <w:jc w:val="center"/>
              <w:ind w:left="175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8"/>
        </w:trPr>
        <w:tc>
          <w:tcPr>
            <w:tcW w:w="14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140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70"/>
              <w:spacing w:after="0" w:line="177"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5"/>
                <w:szCs w:val="15"/>
                <w:color w:val="auto"/>
              </w:rPr>
            </w:pPr>
          </w:p>
        </w:tc>
      </w:tr>
      <w:tr>
        <w:trPr>
          <w:trHeight w:val="221"/>
        </w:trPr>
        <w:tc>
          <w:tcPr>
            <w:tcW w:w="140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March 30, 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r>
      <w:tr>
        <w:trPr>
          <w:trHeight w:val="196"/>
        </w:trPr>
        <w:tc>
          <w:tcPr>
            <w:tcW w:w="1400" w:type="dxa"/>
            <w:vAlign w:val="bottom"/>
            <w:shd w:val="clear" w:color="auto" w:fill="CCEEFF"/>
          </w:tcPr>
          <w:p>
            <w:pPr>
              <w:spacing w:after="0"/>
              <w:rPr>
                <w:sz w:val="17"/>
                <w:szCs w:val="17"/>
                <w:color w:val="auto"/>
              </w:rPr>
            </w:pPr>
          </w:p>
        </w:tc>
        <w:tc>
          <w:tcPr>
            <w:tcW w:w="6600" w:type="dxa"/>
            <w:vAlign w:val="bottom"/>
            <w:shd w:val="clear" w:color="auto" w:fill="CCEEFF"/>
          </w:tcPr>
          <w:p>
            <w:pPr>
              <w:jc w:val="center"/>
              <w:ind w:right="1430"/>
              <w:spacing w:after="0" w:line="196" w:lineRule="exact"/>
              <w:rPr>
                <w:sz w:val="20"/>
                <w:szCs w:val="20"/>
                <w:color w:val="auto"/>
              </w:rPr>
            </w:pPr>
            <w:r>
              <w:rPr>
                <w:rFonts w:ascii="Arial" w:cs="Arial" w:eastAsia="Arial" w:hAnsi="Arial"/>
                <w:sz w:val="18"/>
                <w:szCs w:val="18"/>
                <w:b w:val="1"/>
                <w:bCs w:val="1"/>
                <w:color w:val="auto"/>
                <w:w w:val="99"/>
              </w:rPr>
              <w:t>ASSETS</w:t>
            </w: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39,068</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56,087</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less allowance for credit losses of $1,803 and $2,026 respectively</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50,894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36,123</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7"/>
                <w:szCs w:val="17"/>
                <w:color w:val="auto"/>
              </w:rPr>
            </w:pPr>
          </w:p>
        </w:tc>
        <w:tc>
          <w:tcPr>
            <w:tcW w:w="15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189,143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192,523</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Prepaids and other current assets</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9,081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12,614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7"/>
                <w:szCs w:val="17"/>
                <w:color w:val="auto"/>
              </w:rPr>
            </w:pPr>
          </w:p>
        </w:tc>
        <w:tc>
          <w:tcPr>
            <w:tcW w:w="150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288,186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297,347</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41,664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40,983</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15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372,340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372,340</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intangibles assets, net</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407,130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386,676</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Right-of-use assets</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34,841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35,974</w:t>
            </w:r>
          </w:p>
        </w:tc>
        <w:tc>
          <w:tcPr>
            <w:tcW w:w="100" w:type="dxa"/>
            <w:vAlign w:val="bottom"/>
          </w:tcPr>
          <w:p>
            <w:pPr>
              <w:spacing w:after="0"/>
              <w:rPr>
                <w:sz w:val="17"/>
                <w:szCs w:val="17"/>
                <w:color w:val="auto"/>
              </w:rPr>
            </w:pPr>
          </w:p>
        </w:tc>
      </w:tr>
      <w:tr>
        <w:trPr>
          <w:trHeight w:val="236"/>
        </w:trPr>
        <w:tc>
          <w:tcPr>
            <w:tcW w:w="800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1,144,161</w:t>
            </w:r>
          </w:p>
        </w:tc>
        <w:tc>
          <w:tcPr>
            <w:tcW w:w="2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1,133,320</w:t>
            </w:r>
          </w:p>
        </w:tc>
      </w:tr>
      <w:tr>
        <w:trPr>
          <w:trHeight w:val="183"/>
        </w:trPr>
        <w:tc>
          <w:tcPr>
            <w:tcW w:w="1400" w:type="dxa"/>
            <w:vAlign w:val="bottom"/>
            <w:tcBorders>
              <w:top w:val="single" w:sz="8" w:color="CCEEFF"/>
            </w:tcBorders>
          </w:tcPr>
          <w:p>
            <w:pPr>
              <w:spacing w:after="0"/>
              <w:rPr>
                <w:sz w:val="15"/>
                <w:szCs w:val="15"/>
                <w:color w:val="auto"/>
              </w:rPr>
            </w:pPr>
          </w:p>
        </w:tc>
        <w:tc>
          <w:tcPr>
            <w:tcW w:w="6600" w:type="dxa"/>
            <w:vAlign w:val="bottom"/>
            <w:tcBorders>
              <w:top w:val="single" w:sz="8" w:color="CCEEFF"/>
            </w:tcBorders>
          </w:tcPr>
          <w:p>
            <w:pPr>
              <w:jc w:val="center"/>
              <w:ind w:right="143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37,586</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44,781</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7"/>
                <w:szCs w:val="17"/>
                <w:color w:val="auto"/>
              </w:rPr>
            </w:pPr>
          </w:p>
        </w:tc>
        <w:tc>
          <w:tcPr>
            <w:tcW w:w="15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56,164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43,190</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7,068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7,201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7"/>
                <w:szCs w:val="17"/>
                <w:color w:val="auto"/>
              </w:rPr>
            </w:pPr>
          </w:p>
        </w:tc>
        <w:tc>
          <w:tcPr>
            <w:tcW w:w="150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100,818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95,172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544,194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545,385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7"/>
                <w:szCs w:val="17"/>
                <w:color w:val="auto"/>
              </w:rPr>
            </w:pPr>
          </w:p>
        </w:tc>
        <w:tc>
          <w:tcPr>
            <w:tcW w:w="15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813</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Earn-out liability</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1,148</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7"/>
                <w:szCs w:val="17"/>
                <w:color w:val="auto"/>
              </w:rPr>
            </w:pPr>
          </w:p>
        </w:tc>
        <w:tc>
          <w:tcPr>
            <w:tcW w:w="15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37,308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37,391</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35,553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32,259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7"/>
                <w:szCs w:val="17"/>
                <w:color w:val="auto"/>
              </w:rPr>
            </w:pPr>
          </w:p>
        </w:tc>
        <w:tc>
          <w:tcPr>
            <w:tcW w:w="150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719,576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712,168</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(Refer to Note 15 - Commitments and Contingencies)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8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Preferred stock, $0.0001 par value, 5,000,000 shares authorized, none issued and outstanding on</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30, 2025 and December 31, 2024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84"/>
        </w:trPr>
        <w:tc>
          <w:tcPr>
            <w:tcW w:w="8000" w:type="dxa"/>
            <w:vAlign w:val="bottom"/>
            <w:gridSpan w:val="2"/>
          </w:tcPr>
          <w:p>
            <w:pPr>
              <w:spacing w:after="0" w:line="183" w:lineRule="exact"/>
              <w:rPr>
                <w:sz w:val="20"/>
                <w:szCs w:val="20"/>
                <w:color w:val="auto"/>
              </w:rPr>
            </w:pPr>
            <w:r>
              <w:rPr>
                <w:rFonts w:ascii="Arial" w:cs="Arial" w:eastAsia="Arial" w:hAnsi="Arial"/>
                <w:sz w:val="18"/>
                <w:szCs w:val="18"/>
                <w:color w:val="auto"/>
              </w:rPr>
              <w:t>Common stock, $0.0001 par value, 550,000,000 shares authorized, 119,082,657 and 118,748,697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shares issued and outstanding on March 30, 2025 and December 31, 2024, respectively</w:t>
            </w:r>
          </w:p>
        </w:tc>
        <w:tc>
          <w:tcPr>
            <w:tcW w:w="100" w:type="dxa"/>
            <w:vAlign w:val="bottom"/>
          </w:tcPr>
          <w:p>
            <w:pPr>
              <w:spacing w:after="0"/>
              <w:rPr>
                <w:sz w:val="19"/>
                <w:szCs w:val="19"/>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378,458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377,557</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7"/>
                <w:szCs w:val="17"/>
                <w:color w:val="auto"/>
              </w:rPr>
            </w:pPr>
          </w:p>
        </w:tc>
        <w:tc>
          <w:tcPr>
            <w:tcW w:w="15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(1,447)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(1,162)</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47,562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44,745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424,585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421,152</w:t>
            </w:r>
          </w:p>
        </w:tc>
        <w:tc>
          <w:tcPr>
            <w:tcW w:w="100" w:type="dxa"/>
            <w:vAlign w:val="bottom"/>
          </w:tcPr>
          <w:p>
            <w:pPr>
              <w:spacing w:after="0"/>
              <w:rPr>
                <w:sz w:val="17"/>
                <w:szCs w:val="17"/>
                <w:color w:val="auto"/>
              </w:rPr>
            </w:pPr>
          </w:p>
        </w:tc>
      </w:tr>
      <w:tr>
        <w:trPr>
          <w:trHeight w:val="236"/>
        </w:trPr>
        <w:tc>
          <w:tcPr>
            <w:tcW w:w="8000" w:type="dxa"/>
            <w:vAlign w:val="bottom"/>
            <w:tcBorders>
              <w:bottom w:val="single" w:sz="8" w:color="CCEEFF"/>
            </w:tcBorders>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1,144,161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1,133,320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4"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7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6"/>
        </w:trPr>
        <w:tc>
          <w:tcPr>
            <w:tcW w:w="140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3340" w:type="dxa"/>
            <w:vAlign w:val="bottom"/>
            <w:gridSpan w:val="2"/>
          </w:tcPr>
          <w:p>
            <w:pPr>
              <w:jc w:val="right"/>
              <w:ind w:right="1810"/>
              <w:spacing w:after="0"/>
              <w:rPr>
                <w:sz w:val="20"/>
                <w:szCs w:val="20"/>
                <w:color w:val="auto"/>
              </w:rPr>
            </w:pPr>
            <w:r>
              <w:rPr>
                <w:rFonts w:ascii="Arial" w:cs="Arial" w:eastAsia="Arial" w:hAnsi="Arial"/>
                <w:sz w:val="18"/>
                <w:szCs w:val="18"/>
                <w:b w:val="1"/>
                <w:bCs w:val="1"/>
                <w:color w:val="auto"/>
              </w:rPr>
              <w:t>HOLLEY INC.</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400" w:type="dxa"/>
            <w:vAlign w:val="bottom"/>
          </w:tcPr>
          <w:p>
            <w:pPr>
              <w:spacing w:after="0"/>
              <w:rPr>
                <w:sz w:val="17"/>
                <w:szCs w:val="17"/>
                <w:color w:val="auto"/>
              </w:rPr>
            </w:pPr>
          </w:p>
        </w:tc>
        <w:tc>
          <w:tcPr>
            <w:tcW w:w="8200" w:type="dxa"/>
            <w:vAlign w:val="bottom"/>
            <w:gridSpan w:val="5"/>
          </w:tcPr>
          <w:p>
            <w:pPr>
              <w:jc w:val="center"/>
              <w:ind w:left="250"/>
              <w:spacing w:after="0" w:line="202" w:lineRule="exact"/>
              <w:rPr>
                <w:sz w:val="20"/>
                <w:szCs w:val="20"/>
                <w:color w:val="auto"/>
              </w:rPr>
            </w:pPr>
            <w:r>
              <w:rPr>
                <w:rFonts w:ascii="Arial" w:cs="Arial" w:eastAsia="Arial" w:hAnsi="Arial"/>
                <w:sz w:val="18"/>
                <w:szCs w:val="18"/>
                <w:b w:val="1"/>
                <w:bCs w:val="1"/>
                <w:color w:val="auto"/>
                <w:w w:val="99"/>
              </w:rPr>
              <w:t>CONDENSED CONSOLIDATED STATEMENTS OF COMPREHENSIVE INCOME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340" w:type="dxa"/>
            <w:vAlign w:val="bottom"/>
            <w:gridSpan w:val="2"/>
          </w:tcPr>
          <w:p>
            <w:pPr>
              <w:jc w:val="center"/>
              <w:ind w:right="1430"/>
              <w:spacing w:after="0" w:line="202" w:lineRule="exact"/>
              <w:rPr>
                <w:sz w:val="20"/>
                <w:szCs w:val="20"/>
                <w:color w:val="auto"/>
              </w:rPr>
            </w:pPr>
            <w:r>
              <w:rPr>
                <w:rFonts w:ascii="Arial" w:cs="Arial" w:eastAsia="Arial" w:hAnsi="Arial"/>
                <w:sz w:val="18"/>
                <w:szCs w:val="18"/>
                <w:color w:val="auto"/>
                <w:w w:val="99"/>
              </w:rPr>
              <w:t>(in thousands)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340" w:type="dxa"/>
            <w:vAlign w:val="bottom"/>
            <w:gridSpan w:val="2"/>
          </w:tcPr>
          <w:p>
            <w:pPr>
              <w:jc w:val="center"/>
              <w:ind w:right="1430"/>
              <w:spacing w:after="0"/>
              <w:rPr>
                <w:sz w:val="20"/>
                <w:szCs w:val="20"/>
                <w:color w:val="auto"/>
              </w:rPr>
            </w:pPr>
            <w:r>
              <w:rPr>
                <w:rFonts w:ascii="Arial" w:cs="Arial" w:eastAsia="Arial" w:hAnsi="Arial"/>
                <w:sz w:val="18"/>
                <w:szCs w:val="18"/>
                <w:color w:val="auto"/>
                <w:w w:val="98"/>
              </w:rPr>
              <w:t>(unaudited)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8"/>
        </w:trPr>
        <w:tc>
          <w:tcPr>
            <w:tcW w:w="1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6"/>
          </w:tcPr>
          <w:p>
            <w:pPr>
              <w:jc w:val="right"/>
              <w:ind w:right="50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14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30, 2025</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March 31, 2024</w:t>
            </w:r>
          </w:p>
        </w:tc>
        <w:tc>
          <w:tcPr>
            <w:tcW w:w="100" w:type="dxa"/>
            <w:vAlign w:val="bottom"/>
          </w:tcPr>
          <w:p>
            <w:pPr>
              <w:spacing w:after="0"/>
              <w:rPr>
                <w:sz w:val="17"/>
                <w:szCs w:val="17"/>
                <w:color w:val="auto"/>
              </w:rPr>
            </w:pPr>
          </w:p>
        </w:tc>
      </w:tr>
      <w:tr>
        <w:trPr>
          <w:trHeight w:val="196"/>
        </w:trPr>
        <w:tc>
          <w:tcPr>
            <w:tcW w:w="4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153,044</w:t>
            </w:r>
          </w:p>
        </w:tc>
        <w:tc>
          <w:tcPr>
            <w:tcW w:w="36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158,636</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Cost of goods sold</w:t>
            </w:r>
          </w:p>
        </w:tc>
        <w:tc>
          <w:tcPr>
            <w:tcW w:w="3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88,956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106,577</w:t>
            </w:r>
          </w:p>
        </w:tc>
        <w:tc>
          <w:tcPr>
            <w:tcW w:w="100" w:type="dxa"/>
            <w:vAlign w:val="bottom"/>
          </w:tcPr>
          <w:p>
            <w:pPr>
              <w:spacing w:after="0"/>
              <w:rPr>
                <w:sz w:val="17"/>
                <w:szCs w:val="17"/>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64,088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52,059</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36,699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32,996</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4,093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4,812</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3,532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3,436</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615</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Other operating income</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w:t>
            </w:r>
          </w:p>
        </w:tc>
      </w:tr>
      <w:tr>
        <w:trPr>
          <w:trHeight w:val="196"/>
        </w:trPr>
        <w:tc>
          <w:tcPr>
            <w:tcW w:w="476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operating expense</w:t>
            </w:r>
          </w:p>
        </w:tc>
        <w:tc>
          <w:tcPr>
            <w:tcW w:w="3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44,745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41,851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Operating income</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19,343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10,208</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(3,127)</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(649)</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141</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3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11,004</w:t>
            </w:r>
          </w:p>
        </w:tc>
        <w:tc>
          <w:tcPr>
            <w:tcW w:w="100" w:type="dxa"/>
            <w:vAlign w:val="bottom"/>
          </w:tcPr>
          <w:p>
            <w:pPr>
              <w:spacing w:after="0"/>
              <w:rPr>
                <w:sz w:val="17"/>
                <w:szCs w:val="17"/>
                <w:color w:val="auto"/>
              </w:rPr>
            </w:pPr>
          </w:p>
        </w:tc>
      </w:tr>
      <w:tr>
        <w:trPr>
          <w:trHeight w:val="196"/>
        </w:trPr>
        <w:tc>
          <w:tcPr>
            <w:tcW w:w="476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non-operating expense</w:t>
            </w:r>
          </w:p>
        </w:tc>
        <w:tc>
          <w:tcPr>
            <w:tcW w:w="3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15,450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7,369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Income before income taxes</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3,893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2,839</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(891)</w:t>
            </w:r>
          </w:p>
        </w:tc>
      </w:tr>
      <w:tr>
        <w:trPr>
          <w:trHeight w:val="196"/>
        </w:trPr>
        <w:tc>
          <w:tcPr>
            <w:tcW w:w="4760" w:type="dxa"/>
            <w:vAlign w:val="bottom"/>
            <w:tcBorders>
              <w:top w:val="single" w:sz="8" w:color="CCEEFF"/>
            </w:tcBorders>
            <w:gridSpan w:val="2"/>
          </w:tcPr>
          <w:p>
            <w:pPr>
              <w:ind w:left="340"/>
              <w:spacing w:after="0" w:line="196" w:lineRule="exact"/>
              <w:rPr>
                <w:sz w:val="20"/>
                <w:szCs w:val="20"/>
                <w:color w:val="auto"/>
              </w:rPr>
            </w:pPr>
            <w:r>
              <w:rPr>
                <w:rFonts w:ascii="Arial" w:cs="Arial" w:eastAsia="Arial" w:hAnsi="Arial"/>
                <w:sz w:val="18"/>
                <w:szCs w:val="18"/>
                <w:b w:val="1"/>
                <w:bCs w:val="1"/>
                <w:color w:val="auto"/>
              </w:rPr>
              <w:t>Net income</w:t>
            </w:r>
          </w:p>
        </w:tc>
        <w:tc>
          <w:tcPr>
            <w:tcW w:w="3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2,817</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3,730</w:t>
            </w:r>
          </w:p>
        </w:tc>
        <w:tc>
          <w:tcPr>
            <w:tcW w:w="100" w:type="dxa"/>
            <w:vAlign w:val="bottom"/>
            <w:tcBorders>
              <w:top w:val="single" w:sz="8" w:color="CCEEFF"/>
            </w:tcBorders>
          </w:tcPr>
          <w:p>
            <w:pPr>
              <w:spacing w:after="0"/>
              <w:rPr>
                <w:sz w:val="17"/>
                <w:szCs w:val="17"/>
                <w:color w:val="auto"/>
              </w:rPr>
            </w:pP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Comprehensive income (loss):</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7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 adjustment</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(186)</w:t>
            </w:r>
          </w:p>
        </w:tc>
      </w:tr>
      <w:tr>
        <w:trPr>
          <w:trHeight w:val="236"/>
        </w:trPr>
        <w:tc>
          <w:tcPr>
            <w:tcW w:w="4760" w:type="dxa"/>
            <w:vAlign w:val="bottom"/>
            <w:tcBorders>
              <w:bottom w:val="single" w:sz="8" w:color="CCEEFF"/>
            </w:tcBorders>
            <w:gridSpan w:val="2"/>
            <w:shd w:val="clear" w:color="auto" w:fill="CCEEFF"/>
          </w:tcPr>
          <w:p>
            <w:pPr>
              <w:ind w:left="340"/>
              <w:spacing w:after="0" w:line="182" w:lineRule="exact"/>
              <w:rPr>
                <w:sz w:val="20"/>
                <w:szCs w:val="20"/>
                <w:color w:val="auto"/>
              </w:rPr>
            </w:pPr>
            <w:r>
              <w:rPr>
                <w:rFonts w:ascii="Arial" w:cs="Arial" w:eastAsia="Arial" w:hAnsi="Arial"/>
                <w:sz w:val="18"/>
                <w:szCs w:val="18"/>
                <w:b w:val="1"/>
                <w:bCs w:val="1"/>
                <w:color w:val="auto"/>
              </w:rPr>
              <w:t>Total comprehensive income</w:t>
            </w:r>
          </w:p>
        </w:tc>
        <w:tc>
          <w:tcPr>
            <w:tcW w:w="3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2,532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83"/>
        </w:trPr>
        <w:tc>
          <w:tcPr>
            <w:tcW w:w="4760" w:type="dxa"/>
            <w:vAlign w:val="bottom"/>
            <w:gridSpan w:val="2"/>
          </w:tcPr>
          <w:p>
            <w:pPr>
              <w:spacing w:after="0" w:line="183" w:lineRule="exact"/>
              <w:rPr>
                <w:sz w:val="20"/>
                <w:szCs w:val="20"/>
                <w:color w:val="auto"/>
              </w:rPr>
            </w:pPr>
            <w:r>
              <w:rPr>
                <w:rFonts w:ascii="Arial" w:cs="Arial" w:eastAsia="Arial" w:hAnsi="Arial"/>
                <w:sz w:val="18"/>
                <w:szCs w:val="18"/>
                <w:b w:val="1"/>
                <w:bCs w:val="1"/>
                <w:color w:val="auto"/>
              </w:rPr>
              <w:t>Common Share Data:</w:t>
            </w: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118,845,487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117,871,829</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common shares outstanding - diluted</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119,559,217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119,505,330</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Basic net income per share</w:t>
            </w:r>
          </w:p>
        </w:tc>
        <w:tc>
          <w:tcPr>
            <w:tcW w:w="3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0.02</w:t>
            </w:r>
          </w:p>
        </w:tc>
        <w:tc>
          <w:tcPr>
            <w:tcW w:w="36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0.03</w:t>
            </w:r>
          </w:p>
        </w:tc>
      </w:tr>
      <w:tr>
        <w:trPr>
          <w:trHeight w:val="239"/>
        </w:trPr>
        <w:tc>
          <w:tcPr>
            <w:tcW w:w="4760" w:type="dxa"/>
            <w:vAlign w:val="bottom"/>
            <w:gridSpan w:val="2"/>
          </w:tcPr>
          <w:p>
            <w:pPr>
              <w:spacing w:after="0"/>
              <w:rPr>
                <w:sz w:val="20"/>
                <w:szCs w:val="20"/>
                <w:color w:val="auto"/>
              </w:rPr>
            </w:pPr>
            <w:r>
              <w:rPr>
                <w:rFonts w:ascii="Arial" w:cs="Arial" w:eastAsia="Arial" w:hAnsi="Arial"/>
                <w:sz w:val="18"/>
                <w:szCs w:val="18"/>
                <w:color w:val="auto"/>
              </w:rPr>
              <w:t>Diluted net income per share</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r>
    </w:tbl>
    <w:p>
      <w:pPr>
        <w:spacing w:after="0" w:line="147"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6"/>
        </w:trPr>
        <w:tc>
          <w:tcPr>
            <w:tcW w:w="140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center"/>
              <w:ind w:right="660"/>
              <w:spacing w:after="0"/>
              <w:rPr>
                <w:sz w:val="20"/>
                <w:szCs w:val="20"/>
                <w:color w:val="auto"/>
              </w:rPr>
            </w:pPr>
            <w:r>
              <w:rPr>
                <w:rFonts w:ascii="Arial" w:cs="Arial" w:eastAsia="Arial" w:hAnsi="Arial"/>
                <w:sz w:val="18"/>
                <w:szCs w:val="18"/>
                <w:b w:val="1"/>
                <w:bCs w:val="1"/>
                <w:color w:val="auto"/>
                <w:w w:val="99"/>
              </w:rPr>
              <w:t>HOLLEY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8620" w:type="dxa"/>
            <w:vAlign w:val="bottom"/>
            <w:gridSpan w:val="18"/>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CONDENSED CONSOLIDATED STATEMENTS OF CHANGES IN STOCKHOLDERS'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00" w:type="dxa"/>
            <w:vAlign w:val="bottom"/>
            <w:gridSpan w:val="10"/>
          </w:tcPr>
          <w:p>
            <w:pPr>
              <w:jc w:val="center"/>
              <w:ind w:left="730"/>
              <w:spacing w:after="0" w:line="202" w:lineRule="exact"/>
              <w:rPr>
                <w:sz w:val="20"/>
                <w:szCs w:val="20"/>
                <w:color w:val="auto"/>
              </w:rPr>
            </w:pPr>
            <w:r>
              <w:rPr>
                <w:rFonts w:ascii="Arial" w:cs="Arial" w:eastAsia="Arial" w:hAnsi="Arial"/>
                <w:sz w:val="18"/>
                <w:szCs w:val="18"/>
                <w:color w:val="auto"/>
              </w:rPr>
              <w:t>(in thousands, except share data)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6"/>
          </w:tcPr>
          <w:p>
            <w:pPr>
              <w:jc w:val="center"/>
              <w:ind w:right="68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1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540" w:type="dxa"/>
            <w:vAlign w:val="bottom"/>
            <w:gridSpan w:val="6"/>
          </w:tcPr>
          <w:p>
            <w:pPr>
              <w:ind w:left="6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Accumulated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4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line="177" w:lineRule="exact"/>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320"/>
              <w:spacing w:after="0" w:line="177" w:lineRule="exact"/>
              <w:rPr>
                <w:sz w:val="20"/>
                <w:szCs w:val="20"/>
                <w:color w:val="auto"/>
              </w:rPr>
            </w:pPr>
            <w:r>
              <w:rPr>
                <w:rFonts w:ascii="Arial" w:cs="Arial" w:eastAsia="Arial" w:hAnsi="Arial"/>
                <w:sz w:val="18"/>
                <w:szCs w:val="18"/>
                <w:color w:val="auto"/>
                <w:w w:val="97"/>
              </w:rPr>
              <w:t>Other</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Paid-In</w:t>
            </w:r>
          </w:p>
        </w:tc>
        <w:tc>
          <w:tcPr>
            <w:tcW w:w="154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Comprehensive</w:t>
            </w:r>
          </w:p>
        </w:tc>
        <w:tc>
          <w:tcPr>
            <w:tcW w:w="14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Retained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Loss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2023</w:t>
            </w:r>
          </w:p>
        </w:tc>
        <w:tc>
          <w:tcPr>
            <w:tcW w:w="12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117,707,280</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373,869</w:t>
            </w:r>
          </w:p>
        </w:tc>
        <w:tc>
          <w:tcPr>
            <w:tcW w:w="18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(710)</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67,980</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441,151</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3,730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(186)</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604,061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March 31, 2024</w:t>
            </w:r>
          </w:p>
        </w:tc>
        <w:tc>
          <w:tcPr>
            <w:tcW w:w="12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118,311,341</w:t>
            </w:r>
          </w:p>
        </w:tc>
        <w:tc>
          <w:tcPr>
            <w:tcW w:w="2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374,089</w:t>
            </w:r>
          </w:p>
        </w:tc>
        <w:tc>
          <w:tcPr>
            <w:tcW w:w="1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71,710</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444,915</w:t>
            </w:r>
          </w:p>
        </w:tc>
        <w:tc>
          <w:tcPr>
            <w:tcW w:w="0" w:type="dxa"/>
            <w:vAlign w:val="bottom"/>
          </w:tcPr>
          <w:p>
            <w:pPr>
              <w:spacing w:after="0"/>
              <w:rPr>
                <w:sz w:val="1"/>
                <w:szCs w:val="1"/>
                <w:color w:val="auto"/>
              </w:rPr>
            </w:pPr>
          </w:p>
        </w:tc>
      </w:tr>
      <w:tr>
        <w:trPr>
          <w:trHeight w:val="183"/>
        </w:trPr>
        <w:tc>
          <w:tcPr>
            <w:tcW w:w="1400" w:type="dxa"/>
            <w:vAlign w:val="bottom"/>
            <w:tcBorders>
              <w:top w:val="single" w:sz="8" w:color="CCEEFF"/>
            </w:tcBorders>
          </w:tcPr>
          <w:p>
            <w:pPr>
              <w:spacing w:after="0"/>
              <w:rPr>
                <w:sz w:val="15"/>
                <w:szCs w:val="15"/>
                <w:color w:val="auto"/>
              </w:rPr>
            </w:pPr>
          </w:p>
        </w:tc>
        <w:tc>
          <w:tcPr>
            <w:tcW w:w="186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2024</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118,748,697</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377,557</w:t>
            </w:r>
          </w:p>
        </w:tc>
        <w:tc>
          <w:tcPr>
            <w:tcW w:w="18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(1,162)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44,745</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421,152</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2,817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(285)</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333,960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stock units</w:t>
            </w: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March 30, 2025</w:t>
            </w:r>
          </w:p>
        </w:tc>
        <w:tc>
          <w:tcPr>
            <w:tcW w:w="12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119,082,657</w:t>
            </w:r>
          </w:p>
        </w:tc>
        <w:tc>
          <w:tcPr>
            <w:tcW w:w="28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378,458</w:t>
            </w:r>
          </w:p>
        </w:tc>
        <w:tc>
          <w:tcPr>
            <w:tcW w:w="180" w:type="dxa"/>
            <w:vAlign w:val="bottom"/>
            <w:gridSpan w:val="2"/>
            <w:shd w:val="clear" w:color="auto" w:fill="CCEEFF"/>
          </w:tcPr>
          <w:p>
            <w:pPr>
              <w:ind w:left="8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(1,447)</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47,562</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424,585</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6"/>
        </w:trPr>
        <w:tc>
          <w:tcPr>
            <w:tcW w:w="1400" w:type="dxa"/>
            <w:vAlign w:val="bottom"/>
            <w:tcBorders>
              <w:top w:val="single" w:sz="8" w:color="0000EE"/>
            </w:tcBorders>
          </w:tcPr>
          <w:p>
            <w:pPr>
              <w:spacing w:after="0"/>
              <w:rPr>
                <w:sz w:val="24"/>
                <w:szCs w:val="24"/>
                <w:color w:val="auto"/>
              </w:rPr>
            </w:pPr>
          </w:p>
        </w:tc>
        <w:tc>
          <w:tcPr>
            <w:tcW w:w="66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HOLLEY INC.</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400" w:type="dxa"/>
            <w:vAlign w:val="bottom"/>
          </w:tcPr>
          <w:p>
            <w:pPr>
              <w:spacing w:after="0"/>
              <w:rPr>
                <w:sz w:val="17"/>
                <w:szCs w:val="17"/>
                <w:color w:val="auto"/>
              </w:rPr>
            </w:pPr>
          </w:p>
        </w:tc>
        <w:tc>
          <w:tcPr>
            <w:tcW w:w="8200" w:type="dxa"/>
            <w:vAlign w:val="bottom"/>
            <w:gridSpan w:val="4"/>
          </w:tcPr>
          <w:p>
            <w:pPr>
              <w:jc w:val="center"/>
              <w:ind w:left="170"/>
              <w:spacing w:after="0" w:line="202" w:lineRule="exact"/>
              <w:rPr>
                <w:sz w:val="20"/>
                <w:szCs w:val="20"/>
                <w:color w:val="auto"/>
              </w:rPr>
            </w:pPr>
            <w:r>
              <w:rPr>
                <w:rFonts w:ascii="Arial" w:cs="Arial" w:eastAsia="Arial" w:hAnsi="Arial"/>
                <w:sz w:val="18"/>
                <w:szCs w:val="18"/>
                <w:b w:val="1"/>
                <w:bCs w:val="1"/>
                <w:color w:val="auto"/>
                <w:w w:val="99"/>
              </w:rPr>
              <w:t>CONDENSED CONSOLIDATED STATEMENTS OF CASH FLOWS</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00" w:type="dxa"/>
            <w:vAlign w:val="bottom"/>
          </w:tcPr>
          <w:p>
            <w:pPr>
              <w:spacing w:after="0"/>
              <w:rPr>
                <w:sz w:val="17"/>
                <w:szCs w:val="17"/>
                <w:color w:val="auto"/>
              </w:rPr>
            </w:pPr>
          </w:p>
        </w:tc>
        <w:tc>
          <w:tcPr>
            <w:tcW w:w="6600" w:type="dxa"/>
            <w:vAlign w:val="bottom"/>
          </w:tcPr>
          <w:p>
            <w:pPr>
              <w:jc w:val="center"/>
              <w:ind w:left="1770"/>
              <w:spacing w:after="0" w:line="202" w:lineRule="exact"/>
              <w:rPr>
                <w:sz w:val="20"/>
                <w:szCs w:val="20"/>
                <w:color w:val="auto"/>
              </w:rPr>
            </w:pPr>
            <w:r>
              <w:rPr>
                <w:rFonts w:ascii="Arial" w:cs="Arial" w:eastAsia="Arial" w:hAnsi="Arial"/>
                <w:sz w:val="18"/>
                <w:szCs w:val="18"/>
                <w:color w:val="auto"/>
                <w:w w:val="99"/>
              </w:rPr>
              <w:t>(in thousands)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400" w:type="dxa"/>
            <w:vAlign w:val="bottom"/>
          </w:tcPr>
          <w:p>
            <w:pPr>
              <w:spacing w:after="0"/>
              <w:rPr>
                <w:sz w:val="20"/>
                <w:szCs w:val="20"/>
                <w:color w:val="auto"/>
              </w:rPr>
            </w:pPr>
          </w:p>
        </w:tc>
        <w:tc>
          <w:tcPr>
            <w:tcW w:w="6600" w:type="dxa"/>
            <w:vAlign w:val="bottom"/>
          </w:tcPr>
          <w:p>
            <w:pPr>
              <w:jc w:val="center"/>
              <w:ind w:left="175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8"/>
        </w:trPr>
        <w:tc>
          <w:tcPr>
            <w:tcW w:w="14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6"/>
          </w:tcPr>
          <w:p>
            <w:pPr>
              <w:jc w:val="right"/>
              <w:ind w:right="50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14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240"/>
              <w:spacing w:after="0" w:line="196" w:lineRule="exact"/>
              <w:rPr>
                <w:sz w:val="20"/>
                <w:szCs w:val="20"/>
                <w:color w:val="auto"/>
              </w:rPr>
            </w:pPr>
            <w:r>
              <w:rPr>
                <w:rFonts w:ascii="Arial" w:cs="Arial" w:eastAsia="Arial" w:hAnsi="Arial"/>
                <w:sz w:val="18"/>
                <w:szCs w:val="18"/>
                <w:color w:val="auto"/>
                <w:w w:val="99"/>
              </w:rPr>
              <w:t>March 30, 2025</w:t>
            </w:r>
          </w:p>
        </w:tc>
        <w:tc>
          <w:tcPr>
            <w:tcW w:w="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March 31, 2024</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2,817</w:t>
            </w:r>
          </w:p>
        </w:tc>
        <w:tc>
          <w:tcPr>
            <w:tcW w:w="5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3,730</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Adjustments to reconcile net income to net cash from operating activities:</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2,299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2,464</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3,532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3,436</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Amortization of deferred loan costs</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436</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right of use assets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1,316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1,421</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Fair value adjustments to warrant liability</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(3,127)</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Fair value adjustments to earn-out liability</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(649)</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Fair value adjustments to interest rate collar</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3,812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(2,281)</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Equity compensation</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1,495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1,141</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Change in deferred taxes</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(1,911)</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Loss on early extinguishment of long-term debt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141</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Gain on disposal of property, plant and equipment</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(514)</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Provision for inventory reserves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1,876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10,338</w:t>
            </w: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Provision for credit losses</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operating assets and liabilities:</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(14,928)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(467)</w:t>
            </w:r>
          </w:p>
        </w:tc>
      </w:tr>
      <w:tr>
        <w:trPr>
          <w:trHeight w:val="203"/>
        </w:trPr>
        <w:tc>
          <w:tcPr>
            <w:tcW w:w="8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(2,257)</w:t>
            </w:r>
          </w:p>
        </w:tc>
      </w:tr>
      <w:tr>
        <w:trPr>
          <w:trHeight w:val="203"/>
        </w:trPr>
        <w:tc>
          <w:tcPr>
            <w:tcW w:w="8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Prepaids and other current assets</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3,461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(302)</w:t>
            </w:r>
          </w:p>
        </w:tc>
      </w:tr>
      <w:tr>
        <w:trPr>
          <w:trHeight w:val="203"/>
        </w:trPr>
        <w:tc>
          <w:tcPr>
            <w:tcW w:w="8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(7,051)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6,599</w:t>
            </w:r>
          </w:p>
        </w:tc>
      </w:tr>
      <w:tr>
        <w:trPr>
          <w:trHeight w:val="203"/>
        </w:trPr>
        <w:tc>
          <w:tcPr>
            <w:tcW w:w="8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w:t>
            </w:r>
          </w:p>
        </w:tc>
      </w:tr>
      <w:tr>
        <w:trPr>
          <w:trHeight w:val="203"/>
        </w:trPr>
        <w:tc>
          <w:tcPr>
            <w:tcW w:w="8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Accrued and other liabilities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(7,618)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582</w:t>
            </w:r>
          </w:p>
        </w:tc>
      </w:tr>
      <w:tr>
        <w:trPr>
          <w:trHeight w:val="20"/>
        </w:trPr>
        <w:tc>
          <w:tcPr>
            <w:tcW w:w="1400" w:type="dxa"/>
            <w:vAlign w:val="bottom"/>
            <w:shd w:val="clear" w:color="auto" w:fill="CCEEFF"/>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(7,850)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18,843</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(2,980)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(1,265)</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Acquisition of license agreement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(4,760)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Proceeds from the disposal of fixed assets</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(7,740)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(1,091)</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(1,776)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(16,748)</w:t>
            </w:r>
          </w:p>
        </w:tc>
      </w:tr>
      <w:tr>
        <w:trPr>
          <w:trHeight w:val="203"/>
        </w:trPr>
        <w:tc>
          <w:tcPr>
            <w:tcW w:w="80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Payments from stock-based award activities</w:t>
            </w:r>
          </w:p>
        </w:tc>
        <w:tc>
          <w:tcPr>
            <w:tcW w:w="1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(921)</w:t>
            </w:r>
          </w:p>
        </w:tc>
      </w:tr>
      <w:tr>
        <w:trPr>
          <w:trHeight w:val="20"/>
        </w:trPr>
        <w:tc>
          <w:tcPr>
            <w:tcW w:w="1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(2,370)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(17,669)</w:t>
            </w:r>
          </w:p>
        </w:tc>
      </w:tr>
      <w:tr>
        <w:trPr>
          <w:trHeight w:val="20"/>
        </w:trPr>
        <w:tc>
          <w:tcPr>
            <w:tcW w:w="1400" w:type="dxa"/>
            <w:vAlign w:val="bottom"/>
            <w:shd w:val="clear" w:color="auto" w:fill="CCEEFF"/>
          </w:tcPr>
          <w:p>
            <w:pPr>
              <w:spacing w:after="0" w:line="20" w:lineRule="exact"/>
              <w:rPr>
                <w:sz w:val="1"/>
                <w:szCs w:val="1"/>
                <w:color w:val="auto"/>
              </w:rPr>
            </w:pPr>
          </w:p>
        </w:tc>
        <w:tc>
          <w:tcPr>
            <w:tcW w:w="66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Effect of foreign currency rate fluctuations on cash</w:t>
            </w:r>
          </w:p>
        </w:tc>
        <w:tc>
          <w:tcPr>
            <w:tcW w:w="10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941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(37)</w:t>
            </w:r>
          </w:p>
        </w:tc>
      </w:tr>
      <w:tr>
        <w:trPr>
          <w:trHeight w:val="20"/>
        </w:trPr>
        <w:tc>
          <w:tcPr>
            <w:tcW w:w="1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(17,019)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46</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56,087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41,081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spacing w:after="0" w:line="182" w:lineRule="exact"/>
              <w:rPr>
                <w:sz w:val="20"/>
                <w:szCs w:val="20"/>
                <w:color w:val="auto"/>
              </w:rPr>
            </w:pPr>
            <w:r>
              <w:rPr>
                <w:rFonts w:ascii="Arial" w:cs="Arial" w:eastAsia="Arial" w:hAnsi="Arial"/>
                <w:sz w:val="18"/>
                <w:szCs w:val="18"/>
                <w:color w:val="auto"/>
              </w:rPr>
              <w:t>End of period</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39,068</w:t>
            </w:r>
          </w:p>
        </w:tc>
        <w:tc>
          <w:tcPr>
            <w:tcW w:w="560" w:type="dxa"/>
            <w:vAlign w:val="bottom"/>
            <w:gridSpan w:val="2"/>
          </w:tcPr>
          <w:p>
            <w:pPr>
              <w:jc w:val="right"/>
              <w:ind w:right="290"/>
              <w:spacing w:after="0" w:line="18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41,127</w:t>
            </w:r>
          </w:p>
        </w:tc>
      </w:tr>
      <w:tr>
        <w:trPr>
          <w:trHeight w:val="20"/>
        </w:trPr>
        <w:tc>
          <w:tcPr>
            <w:tcW w:w="1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11,724</w:t>
            </w:r>
          </w:p>
        </w:tc>
        <w:tc>
          <w:tcPr>
            <w:tcW w:w="56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13,307</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Supplemental non-cash investing activity:</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Property and equipment additions included in accounts payable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736</w:t>
            </w:r>
          </w:p>
        </w:tc>
        <w:tc>
          <w:tcPr>
            <w:tcW w:w="56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3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Purchase price of license agreement included in 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19,040</w:t>
            </w: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390" w:lineRule="exact"/>
        <w:rPr>
          <w:sz w:val="20"/>
          <w:szCs w:val="20"/>
          <w:color w:val="auto"/>
        </w:rPr>
      </w:pPr>
    </w:p>
    <w:p>
      <w:pPr>
        <w:jc w:val="center"/>
        <w:ind w:left="340" w:right="980"/>
        <w:spacing w:after="0" w:line="506" w:lineRule="auto"/>
        <w:rPr>
          <w:sz w:val="20"/>
          <w:szCs w:val="20"/>
          <w:color w:val="auto"/>
        </w:rPr>
      </w:pPr>
      <w:r>
        <w:rPr>
          <w:rFonts w:ascii="Arial" w:cs="Arial" w:eastAsia="Arial" w:hAnsi="Arial"/>
          <w:sz w:val="18"/>
          <w:szCs w:val="18"/>
          <w:b w:val="1"/>
          <w:bCs w:val="1"/>
          <w:color w:val="auto"/>
        </w:rPr>
        <w:t xml:space="preserve">The accompanying notes are an integral part of the unaudited condensed consolidated financial statements. </w:t>
      </w: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w:t>
      </w:r>
    </w:p>
    <w:p>
      <w:pPr>
        <w:spacing w:after="0" w:line="198"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Holley Inc., a Delaware corporation headquartered in Bowling Green, Kentucky, conducts operations through its wholly owned subsidiaries. These operating subsidiaries are comprised of Holley Performance Products Inc., Hot Rod Brands, Inc., Simpson Safety Solutions, Inc., B&amp;M Racing and Performance Products, Inc., and Speedshop.com, Inc. When used in these notes, the terms the “Company” or “Holley” mean Holley, Inc. and all entities included in its consolidated financial statements.</w:t>
      </w:r>
    </w:p>
    <w:p>
      <w:pPr>
        <w:spacing w:after="0" w:line="160"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designs, manufactures and distributes high-performance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the United States, Canada, Italy and China.</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Emerging Growth Company Status</w:t>
      </w:r>
    </w:p>
    <w:p>
      <w:pPr>
        <w:spacing w:after="0" w:line="198"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6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98"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Company's business and results of operations, financial condition, and liquidity are impacted by broad economic conditions, as well as by geopolitical events, including the conflict in Ukraine, the conflict in the Middle East, and the possible expansion of such conflicts and potential geopolitical consequences. The Company's business is impacted by various economic factors that affect both consumers and the automotive aftermarket industry, including but not limited to inflation, fuel costs, wage rates, trade restrictions, supply chain disruptions, hiring, and other economic conditions. In response to inflationary impacts and supply chain disruptions, the Company has attempted to minimize potential adverse impacts on its business with cost savings initiatives, price increases to customers, and increased attention to maintaining appropriate inventory levels in the distribution channel. The Company's profitability has been, and may continue to be, adversely affected by constrained consumer demand, a shift in sales to lower-margin products, and demands on our performance that increase our costs.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spacing w:after="0" w:line="17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98"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or “GAAP”) and applicable rules and regulations of the SEC regarding interim financial reporting. Certain information and footnote disclosures normally included in the financial statements prepared in accordance with U.S. GAAP have been condensed or omitted pursuant to such rules and regulations. Accordingly, these interim condensed consolidated financial statements should be read in conjunction with the Company's audited consolidated financial statements and notes thereto for the year ended December 31, 2024, as filed with the SEC on March 14, 2025, in the Company’s annual report on Form 10-K.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Company operates on a fiscal year that ends on December 31. The three-month periods ended March 30, 2025 and March 31, 2024 each included 13 weeks.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Principles of Consolidation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unaudited condensed consolidated financial statements include the accounts of the Company and its wholly owned subsidiaries.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significant intercompany transactions and accounts have been eliminated in consolidation.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In October 2023, the FASB issued ASU 2023-06, Disclosure Improvements: Codification Amendments in Response to SEC's Disclosure Update and Simplification Initiative. This ASU amends the disclosure or presentation requirements related to various subtopics in the FASB Accounting Standards Codification. The effective date for each amendment will be the date on which the SEC's removal of that related disclosure from Regulation S-X or Regulation S-K becomes effective, with early adoption prohibited. The Company will monitor the removal of various requirements from the current regulations in order to determine when to adopt the related amendments, but it does not anticipate that the adoption of the new guidance will have a material impact on the Company’s consolidated financial statements and related disclosures. The Company will continue to evaluate the impact of this guidance on its consolidated financial statements.</w:t>
      </w:r>
    </w:p>
    <w:p>
      <w:pPr>
        <w:spacing w:after="0" w:line="167"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In December 2023, the FASB issued ASU 2023-09, Income Taxes (Topic 740): Improvements to Income Tax Disclosures. This ASU requires additional disclosures of various income tax components that affect the rate reconciliation based on the applicable taxing jurisdictions, as well as the qualitative and quantitative aspects of those components. The standard also requires information pertaining to taxes paid to be disaggregated for federal, state and foreign taxes, and contains other disclosure requirements. This ASU is effective for fiscal years beginning after December 15, 2024 and interim periods within fiscal years beginning after December 15, 2025, with early adoption permitted. The Company is currently evaluating the effect of this new guidance on its consolidated financial statements and related disclosures.</w:t>
      </w:r>
    </w:p>
    <w:p>
      <w:pPr>
        <w:spacing w:after="0" w:line="171"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The objective of ASU 2024-03 is to improve disclosures about a public entity's expenses, primarily through additional disaggregation of income statement expenses. In January 2025, the FASB further clarified the effective date of ASU 2024-03 with the issuance of Accounting Standards Update 2025-01, Income Statement — Reporting Comprehensive Income — Expense Disaggregation Disclosures (Subtopic 220-40) (“ASU 2025-01”). ASU 2024-03 is effective for annual periods beginning after December 15, 2026, and interim periods within annual reporting periods beginning after December 15, 2027. Early adoption is permitted and may be applied either on a prospective or retrospective basis. The Company is currently evaluating the impact ASU 2024-03 will have on its financial statement disclosures.</w:t>
      </w:r>
    </w:p>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of the Company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March 30, 2025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4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54,042</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58,858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3,416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4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129,280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130,249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189,143</w:t>
            </w:r>
          </w:p>
        </w:tc>
        <w:tc>
          <w:tcPr>
            <w:tcW w:w="100" w:type="dxa"/>
            <w:vAlign w:val="bottom"/>
          </w:tcPr>
          <w:p>
            <w:pPr>
              <w:spacing w:after="0"/>
              <w:rPr>
                <w:sz w:val="17"/>
                <w:szCs w:val="17"/>
                <w:color w:val="auto"/>
              </w:rPr>
            </w:pP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192,523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120" w:type="dxa"/>
            <w:vAlign w:val="bottom"/>
            <w:vMerge w:val="restart"/>
          </w:tcPr>
          <w:p>
            <w:pPr>
              <w:jc w:val="right"/>
              <w:ind w:right="189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21"/>
        </w:trPr>
        <w:tc>
          <w:tcPr>
            <w:tcW w:w="7400" w:type="dxa"/>
            <w:vAlign w:val="bottom"/>
          </w:tcPr>
          <w:p>
            <w:pPr>
              <w:spacing w:after="0"/>
              <w:rPr>
                <w:sz w:val="19"/>
                <w:szCs w:val="19"/>
                <w:color w:val="auto"/>
              </w:rPr>
            </w:pPr>
          </w:p>
        </w:tc>
        <w:tc>
          <w:tcPr>
            <w:tcW w:w="14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March 30, 2025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2024</w:t>
            </w:r>
          </w:p>
        </w:tc>
        <w:tc>
          <w:tcPr>
            <w:tcW w:w="100" w:type="dxa"/>
            <w:vAlign w:val="bottom"/>
          </w:tcPr>
          <w:p>
            <w:pPr>
              <w:spacing w:after="0"/>
              <w:rPr>
                <w:sz w:val="19"/>
                <w:szCs w:val="19"/>
                <w:color w:val="auto"/>
              </w:rPr>
            </w:pPr>
          </w:p>
        </w:tc>
      </w:tr>
      <w:tr>
        <w:trPr>
          <w:trHeight w:val="196"/>
        </w:trPr>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1,230</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9,887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12,874</w:t>
            </w:r>
          </w:p>
        </w:tc>
      </w:tr>
      <w:tr>
        <w:trPr>
          <w:trHeight w:val="203"/>
        </w:trPr>
        <w:tc>
          <w:tcPr>
            <w:tcW w:w="74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65,217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65,333</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10,603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8,221</w:t>
            </w:r>
          </w:p>
        </w:tc>
      </w:tr>
      <w:tr>
        <w:trPr>
          <w:trHeight w:val="20"/>
        </w:trPr>
        <w:tc>
          <w:tcPr>
            <w:tcW w:w="7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property, plant and equipment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86,937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87,658</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45,273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46,675</w:t>
            </w:r>
          </w:p>
        </w:tc>
      </w:tr>
      <w:tr>
        <w:trPr>
          <w:trHeight w:val="20"/>
        </w:trPr>
        <w:tc>
          <w:tcPr>
            <w:tcW w:w="7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0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41,664</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40,983</w:t>
            </w:r>
          </w:p>
        </w:tc>
      </w:tr>
      <w:tr>
        <w:trPr>
          <w:trHeight w:val="403"/>
        </w:trPr>
        <w:tc>
          <w:tcPr>
            <w:tcW w:w="7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Company’s long-lived assets by geographic locations are as follows:</w:t>
            </w: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87"/>
        </w:trPr>
        <w:tc>
          <w:tcPr>
            <w:tcW w:w="7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21"/>
        </w:trPr>
        <w:tc>
          <w:tcPr>
            <w:tcW w:w="7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March 30, 2025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2024</w:t>
            </w:r>
          </w:p>
        </w:tc>
        <w:tc>
          <w:tcPr>
            <w:tcW w:w="100" w:type="dxa"/>
            <w:vAlign w:val="bottom"/>
          </w:tcPr>
          <w:p>
            <w:pPr>
              <w:spacing w:after="0"/>
              <w:rPr>
                <w:sz w:val="19"/>
                <w:szCs w:val="19"/>
                <w:color w:val="auto"/>
              </w:rPr>
            </w:pPr>
          </w:p>
        </w:tc>
      </w:tr>
      <w:tr>
        <w:trPr>
          <w:trHeight w:val="196"/>
        </w:trPr>
        <w:tc>
          <w:tcPr>
            <w:tcW w:w="74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39,266</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38,606</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2,377</w:t>
            </w:r>
          </w:p>
        </w:tc>
      </w:tr>
      <w:tr>
        <w:trPr>
          <w:trHeight w:val="20"/>
        </w:trPr>
        <w:tc>
          <w:tcPr>
            <w:tcW w:w="7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40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property, plant and equipment, net</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41,664</w:t>
            </w:r>
          </w:p>
        </w:tc>
        <w:tc>
          <w:tcPr>
            <w:tcW w:w="2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40,983</w:t>
            </w:r>
          </w:p>
        </w:tc>
      </w:tr>
      <w:tr>
        <w:trPr>
          <w:trHeight w:val="20"/>
        </w:trPr>
        <w:tc>
          <w:tcPr>
            <w:tcW w:w="7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98" w:lineRule="exact"/>
        <w:rPr>
          <w:rFonts w:ascii="Arial" w:cs="Arial" w:eastAsia="Arial" w:hAnsi="Arial"/>
          <w:sz w:val="18"/>
          <w:szCs w:val="18"/>
          <w:b w:val="1"/>
          <w:bCs w:val="1"/>
          <w:color w:val="auto"/>
        </w:rPr>
      </w:pPr>
    </w:p>
    <w:p>
      <w:pPr>
        <w:ind w:left="340"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There were no changes to goodwill during the 13-week period ended March 30, 2025.</w:t>
      </w:r>
    </w:p>
    <w:p>
      <w:pPr>
        <w:spacing w:after="0" w:line="140"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No goodwill impairment charges were incurred during the 13-week period ended March 30, 2025 and March 31, 2024, respectively. Potential changes in the Company's costs and operating structure, the implementation of synergies, and overall performance in the automotive aftermarket industry, could negatively impact near-term cash-flow projections and could trigger a potential impairment of the Company's goodwill and / or indefinite-lived intangible assets. In addition, failure to execute the Company's strategic plans as well as increases in weighted average costs of capital could negatively impact the fair value of the reporting unit and increase the risk of future impairment charges.</w:t>
      </w:r>
    </w:p>
    <w:p>
      <w:pPr>
        <w:spacing w:after="0" w:line="165"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On January 1, 2025, the Company, entered into an agreement with Cataclean Global Limited ("Cataclean") to purchase a perpetual exclusive license in North America for developing, manufacturing, marketing, distributing, using and selling existing Cataclean products as well as future product formulations in all sales channels in North America for a total purchase price of $23,800. The Cataclean perpetual license agreement of $23,800 is included in other intangible assets, net in the condensed consolidated balance sheets. As of March 30, 2025, the Company paid $4,760 and the remaining $19,040 is included in accrued liabilities in the condensed consolidated balance sheets.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560" w:type="dxa"/>
            <w:vAlign w:val="bottom"/>
          </w:tcPr>
          <w:p>
            <w:pPr>
              <w:spacing w:after="0"/>
              <w:rPr>
                <w:sz w:val="20"/>
                <w:szCs w:val="20"/>
                <w:color w:val="auto"/>
              </w:rPr>
            </w:pPr>
            <w:r>
              <w:rPr>
                <w:rFonts w:ascii="Arial" w:cs="Arial" w:eastAsia="Arial" w:hAnsi="Arial"/>
                <w:sz w:val="18"/>
                <w:szCs w:val="18"/>
                <w:color w:val="auto"/>
              </w:rPr>
              <w:t>Intangible assets consisted of the following:</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8"/>
        </w:trPr>
        <w:tc>
          <w:tcPr>
            <w:tcW w:w="4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March 30, 2025</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4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line="177" w:lineRule="exact"/>
              <w:rPr>
                <w:sz w:val="20"/>
                <w:szCs w:val="20"/>
                <w:color w:val="auto"/>
              </w:rPr>
            </w:pPr>
            <w:r>
              <w:rPr>
                <w:rFonts w:ascii="Arial" w:cs="Arial" w:eastAsia="Arial" w:hAnsi="Arial"/>
                <w:sz w:val="18"/>
                <w:szCs w:val="18"/>
                <w:color w:val="auto"/>
                <w:w w:val="99"/>
              </w:rPr>
              <w:t>Gross Carrying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140"/>
              <w:spacing w:after="0" w:line="177" w:lineRule="exact"/>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15"/>
                <w:szCs w:val="15"/>
                <w:color w:val="auto"/>
              </w:rPr>
            </w:pPr>
          </w:p>
        </w:tc>
        <w:tc>
          <w:tcPr>
            <w:tcW w:w="1320" w:type="dxa"/>
            <w:vAlign w:val="bottom"/>
          </w:tcPr>
          <w:p>
            <w:pPr>
              <w:jc w:val="center"/>
              <w:ind w:right="70"/>
              <w:spacing w:after="0" w:line="177"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21"/>
        </w:trPr>
        <w:tc>
          <w:tcPr>
            <w:tcW w:w="4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269,352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(69,788)</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199,564</w:t>
            </w:r>
          </w:p>
        </w:tc>
      </w:tr>
      <w:tr>
        <w:trPr>
          <w:trHeight w:val="203"/>
        </w:trPr>
        <w:tc>
          <w:tcPr>
            <w:tcW w:w="4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(6,509)</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7,266</w:t>
            </w: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27,449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(16,220)</w:t>
            </w: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11,229</w:t>
            </w:r>
          </w:p>
        </w:tc>
      </w:tr>
      <w:tr>
        <w:trPr>
          <w:trHeight w:val="20"/>
        </w:trPr>
        <w:tc>
          <w:tcPr>
            <w:tcW w:w="4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310,576</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(92,517)</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218,059</w:t>
            </w:r>
          </w:p>
        </w:tc>
      </w:tr>
      <w:tr>
        <w:trPr>
          <w:trHeight w:val="203"/>
        </w:trPr>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165,271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165,271</w:t>
            </w:r>
          </w:p>
        </w:tc>
      </w:tr>
      <w:tr>
        <w:trPr>
          <w:trHeight w:val="203"/>
        </w:trPr>
        <w:tc>
          <w:tcPr>
            <w:tcW w:w="4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License agreement</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23,800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23,800</w:t>
            </w:r>
          </w:p>
        </w:tc>
      </w:tr>
      <w:tr>
        <w:trPr>
          <w:trHeight w:val="20"/>
        </w:trPr>
        <w:tc>
          <w:tcPr>
            <w:tcW w:w="45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2"/>
        </w:trPr>
        <w:tc>
          <w:tcPr>
            <w:tcW w:w="4560" w:type="dxa"/>
            <w:vAlign w:val="bottom"/>
          </w:tcPr>
          <w:p>
            <w:pPr>
              <w:spacing w:after="0"/>
              <w:rPr>
                <w:sz w:val="20"/>
                <w:szCs w:val="20"/>
                <w:color w:val="auto"/>
              </w:rPr>
            </w:pPr>
            <w:r>
              <w:rPr>
                <w:rFonts w:ascii="Arial" w:cs="Arial" w:eastAsia="Arial" w:hAnsi="Arial"/>
                <w:sz w:val="18"/>
                <w:szCs w:val="18"/>
                <w:color w:val="auto"/>
              </w:rPr>
              <w:t>Total indefinite-lived intangible assets</w:t>
            </w:r>
          </w:p>
        </w:tc>
        <w:tc>
          <w:tcPr>
            <w:tcW w:w="10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189,071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189,071</w:t>
            </w:r>
          </w:p>
        </w:tc>
      </w:tr>
      <w:tr>
        <w:trPr>
          <w:trHeight w:val="369"/>
        </w:trPr>
        <w:tc>
          <w:tcPr>
            <w:tcW w:w="4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December 31, 2024</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4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line="177" w:lineRule="exact"/>
              <w:rPr>
                <w:sz w:val="20"/>
                <w:szCs w:val="20"/>
                <w:color w:val="auto"/>
              </w:rPr>
            </w:pPr>
            <w:r>
              <w:rPr>
                <w:rFonts w:ascii="Arial" w:cs="Arial" w:eastAsia="Arial" w:hAnsi="Arial"/>
                <w:sz w:val="18"/>
                <w:szCs w:val="18"/>
                <w:color w:val="auto"/>
                <w:w w:val="99"/>
              </w:rPr>
              <w:t>Gross Carrying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140"/>
              <w:spacing w:after="0" w:line="177" w:lineRule="exact"/>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15"/>
                <w:szCs w:val="15"/>
                <w:color w:val="auto"/>
              </w:rPr>
            </w:pPr>
          </w:p>
        </w:tc>
        <w:tc>
          <w:tcPr>
            <w:tcW w:w="1320" w:type="dxa"/>
            <w:vAlign w:val="bottom"/>
          </w:tcPr>
          <w:p>
            <w:pPr>
              <w:jc w:val="center"/>
              <w:ind w:right="70"/>
              <w:spacing w:after="0" w:line="177"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21"/>
        </w:trPr>
        <w:tc>
          <w:tcPr>
            <w:tcW w:w="4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269,950</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(67,426)</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202,524</w:t>
            </w:r>
          </w:p>
        </w:tc>
      </w:tr>
      <w:tr>
        <w:trPr>
          <w:trHeight w:val="203"/>
        </w:trPr>
        <w:tc>
          <w:tcPr>
            <w:tcW w:w="4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(6,294)</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7,481</w:t>
            </w:r>
          </w:p>
        </w:tc>
      </w:tr>
      <w:tr>
        <w:trPr>
          <w:trHeight w:val="203"/>
        </w:trPr>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(15,265)</w:t>
            </w: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11,411</w:t>
            </w:r>
          </w:p>
        </w:tc>
      </w:tr>
      <w:tr>
        <w:trPr>
          <w:trHeight w:val="20"/>
        </w:trPr>
        <w:tc>
          <w:tcPr>
            <w:tcW w:w="4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310,401</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(88,985)</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221,416</w:t>
            </w:r>
          </w:p>
        </w:tc>
      </w:tr>
      <w:tr>
        <w:trPr>
          <w:trHeight w:val="203"/>
        </w:trPr>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4560" w:type="dxa"/>
            <w:vAlign w:val="bottom"/>
          </w:tcPr>
          <w:p>
            <w:pPr>
              <w:ind w:left="160"/>
              <w:spacing w:after="0"/>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165,260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165,260</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outlines the estimated future amortization expense related to intangible assets held as of March 30, 2025:</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2025 (excluding the thirteen weeks ended March 30, 2025)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10,243</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13,552</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13,546</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13,546</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2029</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13,546</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153,626</w:t>
            </w:r>
          </w:p>
        </w:tc>
      </w:tr>
      <w:tr>
        <w:trPr>
          <w:trHeight w:val="20"/>
        </w:trPr>
        <w:tc>
          <w:tcPr>
            <w:tcW w:w="9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218,059</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of the Company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30, 2025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freight</w:t>
            </w:r>
          </w:p>
        </w:tc>
        <w:tc>
          <w:tcPr>
            <w:tcW w:w="3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2,183</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1,673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Accrued employee compensation and benefits</w:t>
            </w: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11,646</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returns and allowances</w:t>
            </w: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12,257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Accrued taxes</w:t>
            </w: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4,053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5,324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Cataclean license accrual</w:t>
            </w: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19,040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other</w:t>
            </w: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8,237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440" w:type="dxa"/>
            <w:vAlign w:val="bottom"/>
          </w:tcPr>
          <w:p>
            <w:pPr>
              <w:spacing w:after="0" w:line="182" w:lineRule="exact"/>
              <w:rPr>
                <w:sz w:val="20"/>
                <w:szCs w:val="20"/>
                <w:color w:val="auto"/>
              </w:rPr>
            </w:pPr>
            <w:r>
              <w:rPr>
                <w:rFonts w:ascii="Arial" w:cs="Arial" w:eastAsia="Arial" w:hAnsi="Arial"/>
                <w:sz w:val="18"/>
                <w:szCs w:val="18"/>
                <w:color w:val="auto"/>
              </w:rPr>
              <w:t>Total accrued liabilities</w:t>
            </w:r>
          </w:p>
        </w:tc>
        <w:tc>
          <w:tcPr>
            <w:tcW w:w="296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56,164</w:t>
            </w:r>
          </w:p>
        </w:tc>
        <w:tc>
          <w:tcPr>
            <w:tcW w:w="2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43,190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960" w:type="dxa"/>
            <w:vAlign w:val="bottom"/>
            <w:vMerge w:val="restart"/>
          </w:tcPr>
          <w:p>
            <w:pPr>
              <w:jc w:val="right"/>
              <w:ind w:right="193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Debt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As of</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7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0"/>
              <w:spacing w:after="0" w:line="177" w:lineRule="exact"/>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5"/>
                <w:szCs w:val="15"/>
                <w:color w:val="auto"/>
              </w:rPr>
            </w:pPr>
          </w:p>
        </w:tc>
      </w:tr>
      <w:tr>
        <w:trPr>
          <w:trHeight w:val="221"/>
        </w:trPr>
        <w:tc>
          <w:tcPr>
            <w:tcW w:w="7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March 30, 2025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lien term loan due November 17, 2028</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559,290</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560,933</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630</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(8,977)</w:t>
            </w:r>
          </w:p>
        </w:tc>
      </w:tr>
      <w:tr>
        <w:trPr>
          <w:trHeight w:val="20"/>
        </w:trPr>
        <w:tc>
          <w:tcPr>
            <w:tcW w:w="7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551,262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552,586</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(7,201)</w:t>
            </w:r>
          </w:p>
        </w:tc>
      </w:tr>
      <w:tr>
        <w:trPr>
          <w:trHeight w:val="20"/>
        </w:trPr>
        <w:tc>
          <w:tcPr>
            <w:tcW w:w="7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544,194</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545,385</w:t>
            </w:r>
          </w:p>
        </w:tc>
      </w:tr>
      <w:tr>
        <w:trPr>
          <w:trHeight w:val="20"/>
        </w:trPr>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On November 18, 2021, the Company entered into a credit facility with a syndicate of lenders and Wells Fargo Bank, N.A., ("Wells Fargo") as administrative agent for the lenders, letter of credit issuer and swing line lender (the "Credit Agreement"). The financing consisted of a seven-year $600,000 first lien term loan, a five-year $125,000 revolving credit facility, and a $100,000 delayed draw term loan. The proceeds of delayed draw loans made after closing were available to the Company to finance acquisitions. Upon the expiration of the delayed draw term loan in May 2022, the Company had drawn $57,000, which is included in the amount outstanding under the first lien term loan due November 17, 2028. Proceeds from the credit facility were used to repay in full the Company’s obligations under its previously existing first lien and second lien notes and to pay $13,413 in deferred financing fees related to the refinancing.</w:t>
      </w:r>
    </w:p>
    <w:p>
      <w:pPr>
        <w:spacing w:after="0" w:line="17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revolving credit facility includes a letter of credit facility in the amount of $10,000, pursuant to which letters of credit may be issued as long as revolving loans may be advanced and subject to availability under the revolving credit facility. The Company had $2,509 in outstanding letters of credit on March 30, 2025.</w:t>
      </w:r>
    </w:p>
    <w:p>
      <w:pPr>
        <w:spacing w:after="0" w:line="155"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The first lien term loan is to be repaid in quarterly payments of $1,643 through September 30, 2028 with the balance due upon maturity on November 17, 2028. The Company is required to make annual payments on the term loan in an amount equal to 50% of annual excess cash flow greater than $5,000, as defined in the Credit Agreement. This percentage requirement may decrease or be eliminated if certain leverage ratios are achieved. Based on the Company's results for 2024, no excess cash flow payment is expected to be required in 2025. Any such payments offset future mandatory quarterly payments. The Credit Agreement permits voluntary prepayments at any time, in whole or in part.</w:t>
      </w:r>
    </w:p>
    <w:p>
      <w:pPr>
        <w:spacing w:after="0" w:line="165"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As of March 30, 2025, amounts outstanding under the credit facility accrue interest at a rate equal to either the Secured Overnight Financing Rate ("SOFR")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On March 30, 2025, the weighted average interest rate on the Company's borrowings under the credit facility was 8.2%.</w:t>
      </w:r>
    </w:p>
    <w:p>
      <w:pPr>
        <w:spacing w:after="0" w:line="163"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 xml:space="preserve">The Company has entered into interest rate collars in the notional amount of $500,000 and $400,000 to hedge the Company's exposure to fluctuations in interest rates on its variable-rate debt. Refer to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additional information.</w:t>
      </w:r>
    </w:p>
    <w:p>
      <w:pPr>
        <w:spacing w:after="0" w:line="140"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Obligations under the Credit Agreement are secured by substantially all of the Company’s assets, including a secured interest in the Company's headquarters, with a carrying value of $3,559. The Credit Agreement includes representations and warranties and affirmative and negative covenants customary for financings of this type, including, but not limited to, limitations on restricted payments, additional borrowings, additional investments, and asset sales.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In February 2023, the Company entered into an amendment to the Credit Agreement which, among other things, increases the Total Leverage Ratio applicable under the Credit Agreement as of the quarter ending April 2, 2023 to initially 7.25:1.00, and provides for modified step-down levels for such covenant thereafter through the fiscal quarter ending June 30, 2024 (the “Covenant Relief Period”). As of June 30, 2024, the required Total Leverage Ratio was 5.00:1.00. As a condition to the Covenant Relief Period, the Company also agreed to (i) a minimum liquidity test, (ii) an interest coverage test, (iii) an anti-cash hoarding test at any time revolving loans are outstanding, and (iv) additional reporting obligations. Under the amended Credit Agreement, the revolving credit facility contains a minimum liquidity financial covenant of $45,000, which includes unrestricted cash and any available borrowing capacity under the revolving credit facility. In April 2023, the Company entered into a second amendment to the Credit Agreement in which the interest rate on any outstanding borrowings under the Credit Agreement was changed from LIBOR to SOFR. In May 2023, the Company entered into a third amendment to the Credit Agreement in which certain defined terms were clarified. The Company incurred $2,106 of deferred financing fees related to these amendments. On March 30, 2025, the Company was in compliance with all financial covenants.</w:t>
      </w:r>
    </w:p>
    <w:p>
      <w:pPr>
        <w:spacing w:after="0" w:line="172"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8"/>
          <w:szCs w:val="18"/>
          <w:color w:val="auto"/>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spacing w:after="0" w:line="155"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On December 4, 2024, the Company entered into an amendment to its Credit Agreement that extends the revolver maturity date to November 18, 2029, which date may occur earlier if the maturity date of the existing term loan is not extended, and reduces the revolving credit facility from $125,000 to $100,000. The amendment permits our total leverage ratio for the benefit of the revolving credit lenders to be tested only for fiscal quarters in which there are outstanding revolving credit loans on the last day of such fiscal quarter.</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maturities of long-term debt and amortization of debt issuance costs as of March 30, 2025 are as follows: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rPr>
              <w:t>Debt Issuance</w:t>
            </w:r>
          </w:p>
        </w:tc>
      </w:tr>
      <w:tr>
        <w:trPr>
          <w:trHeight w:val="221"/>
        </w:trPr>
        <w:tc>
          <w:tcPr>
            <w:tcW w:w="7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Costs</w:t>
            </w:r>
          </w:p>
        </w:tc>
        <w:tc>
          <w:tcPr>
            <w:tcW w:w="100" w:type="dxa"/>
            <w:vAlign w:val="bottom"/>
          </w:tcPr>
          <w:p>
            <w:pPr>
              <w:spacing w:after="0"/>
              <w:rPr>
                <w:sz w:val="19"/>
                <w:szCs w:val="19"/>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2025 (excluding the thirteen weeks ended March 30, 2025)</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5,426</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1,793</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34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2,244</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2,244</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541,219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2,244</w:t>
            </w:r>
          </w:p>
        </w:tc>
      </w:tr>
      <w:tr>
        <w:trPr>
          <w:trHeight w:val="20"/>
        </w:trPr>
        <w:tc>
          <w:tcPr>
            <w:tcW w:w="7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559,787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8,525</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 AND EARN-OUT LIABILITY</w:t>
      </w:r>
    </w:p>
    <w:p>
      <w:pPr>
        <w:spacing w:after="0" w:line="198"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consummated a business combination (the “Business Combination”) pursuant to that certain Agreement and Plan of Merger dated March 11, 2021 (the “Merger Agreement”), by and among Empower Ltd., (“Empower”), Empower Merger Sub I Inc., Empower Merger Sub II LLC, and Holley Intermediate Holdings, Inc. (“Holley Intermediate”) on July 16, 2021, (the “Closing” and such date, the “Closing Date”). Upon the Closing, there were 14,666,644 Warrants, consisting of 9,999,977 public warrants ("Public Warrants") and 4,666,667 private warrants ("Private Warrants" and together with the Public Warrants, the “Warrants”), outstanding to purchase shares of Common Stock that were issued by Empower prior to the Business Combination. Each Warrant entitles the registered holder to purchase one share of Common Stock at a price of $11.50 per share, subject to adjustments,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Common Stock. The Warrants expire on July 16, 2026, the date that is five years after the Closing Date, or earlier upon redemption or liquidation. Additionally, the Private Warrants will be non-redeemable and are exercisable on a cashless basis so long as they are held by Empower Sponsor Holdings, LLC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54" w:lineRule="auto"/>
        <w:rPr>
          <w:sz w:val="20"/>
          <w:szCs w:val="20"/>
          <w:color w:val="auto"/>
        </w:rPr>
      </w:pPr>
      <w:r>
        <w:rPr>
          <w:rFonts w:ascii="Arial" w:cs="Arial" w:eastAsia="Arial" w:hAnsi="Arial"/>
          <w:sz w:val="17"/>
          <w:szCs w:val="17"/>
          <w:color w:val="auto"/>
        </w:rPr>
        <w:t>The Company may redeem the Public Warrants at a price of $0.01 per warrant upon 30 days' notice if the closing price of Common Stock equals or exceeds $ 18.00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 Further, the Company may redeem the Public Warrants at a price of $ 0.10 per warrant upon 30 days' notice if the closing price of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Common Stock as determined by reference to a table in the warrant agreement.</w:t>
      </w:r>
    </w:p>
    <w:p>
      <w:pPr>
        <w:spacing w:after="0" w:line="159"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During any period when the Company has failed to maintain an effective registration statement, warrant holders may exercise Warrants on a cashless basis in accordance with Section 3(a)(9) of the Securities Act or another exemption, and the Company will use its commercially reasonable best efforts to register or qualify the shares under applicable blue-sky laws to the extent an exemption is not available.</w:t>
      </w:r>
    </w:p>
    <w:p>
      <w:pPr>
        <w:spacing w:after="0" w:line="160"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Company’s Warrants are accounted for as a liability in accordance with ASC 815-40 and are presented as a warrant liability on the balance sheet. The warrant liability was measured at fair value at inception and on a recurring basis, with changes in fair value recognized as non-operating expense. As of March 30, 2025 and December 31, 2024, a warrant liability with a fair value of $740 and $813, respectively, was reflected as a long-term liability in the condensed consolidated balance sheet. A decrease of $73 and $3,127 in the fair value of the warrant liability was reflected as change in fair value of warrant liability in the condensed consolidated statements of comprehensive income for the 13-week periods ended March 30, 2025 and March 31, 2024, respectively.</w:t>
      </w:r>
    </w:p>
    <w:p>
      <w:pPr>
        <w:spacing w:after="0" w:line="378"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Additionally, the Sponsor received 2,187,500 shares of Common Stock upon the Closing, which vest in two equal tranches upon achievement of certain market share price milestones during the earn-out period, as outlined in the Merger Agreement (the “Earn-Out Shares”). The first tranche of Earn-Out Shares vested during the first quarter of 2022. Upon vesting, the first tranche of 1,093,750 Earn-Out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unvested Earn-Out Shares are presented as an earn-out liability on the balance sheet and are remeasured at fair value with changes in fair value recognized as non-operating expense. As of March 30, 2025 and December 31, 2024, an earn-out liability with a fair value of $963 and $ 1,148, respectively, was reflected as a long-term liability in the condensed consolidated balance sheet. A decrease of $185 and $649 in the fair value of the earn-out liability was reflected as change in fair value of earn-out liability in the condensed consolidated statements of comprehensive income for the 13-week periods ended March 30, 2025 and March 31, 2024, respectively.</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198"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from time to time enters into derivative financial instruments, such as interest rate collar agreements (each, a “Collar”), to manage its exposure to fluctuations in interest rates on the Company’s variable rate debt. On January 4, 2023, the Company entered into a Collar with Wells Fargo with a notional amount of $500,000 that expires on February 18, 2026. The Collar has a floor of 2.811% and a cap of 5% (based on three-month SOFR). On January 30, 2025, the Company entered into another Collar with Wells Fargo with a notional amount of $400,000 that expires on November 18, 2028. The Collar has a floor of 3.35% and a cap of 4.99% (based on three-month SOFR). The structure of these Collars is such that the Company receives an incremental amount if the Collars index exceed the cap rate. Conversely, the Company pays an incremental amount to Wells Fargo if the Collar index falls below the floor rate. No payments are required if the Collar index falls between the cap and floor rates.</w:t>
      </w:r>
    </w:p>
    <w:p>
      <w:pPr>
        <w:spacing w:after="0" w:line="166"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As of March 30, 2025, the Company recognized a derivative liability of $3,872 for the Collar in other noncurrent assets on the condensed consolidated balance sheet. The Company recorded a net change in the fair value of the Collar as an increase to interest expense of $3,812 for the 13-week period ended March 30, 2025 and a decrease to interest expense of $2,281 for the 13-week period ended March 31, 2024.</w:t>
      </w:r>
    </w:p>
    <w:p>
      <w:pPr>
        <w:spacing w:after="0" w:line="160"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 xml:space="preserve">The fair value of the Collar is determined using observable market-based inputs and the impact of credit risk on the derivative’s fair value (the creditworthiness of the Company’s counterparty for assets and the creditworthiness of the Company for liabilities) (a Level 2 measurement, as described in Note 9,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98"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2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10"/>
          </w:tcPr>
          <w:p>
            <w:pPr>
              <w:jc w:val="right"/>
              <w:ind w:right="130"/>
              <w:spacing w:after="0"/>
              <w:rPr>
                <w:sz w:val="20"/>
                <w:szCs w:val="20"/>
                <w:color w:val="auto"/>
              </w:rPr>
            </w:pPr>
            <w:r>
              <w:rPr>
                <w:rFonts w:ascii="Arial" w:cs="Arial" w:eastAsia="Arial" w:hAnsi="Arial"/>
                <w:sz w:val="18"/>
                <w:szCs w:val="18"/>
                <w:color w:val="auto"/>
              </w:rPr>
              <w:t>Fair Value Measured on March 30, 2025</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2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Level 1</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17"/>
                <w:szCs w:val="17"/>
                <w:color w:val="auto"/>
              </w:rPr>
            </w:pPr>
          </w:p>
        </w:tc>
        <w:tc>
          <w:tcPr>
            <w:tcW w:w="840" w:type="dxa"/>
            <w:vAlign w:val="bottom"/>
          </w:tcPr>
          <w:p>
            <w:pPr>
              <w:ind w:left="6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9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900" w:type="dxa"/>
            <w:vAlign w:val="bottom"/>
          </w:tcPr>
          <w:p>
            <w:pPr>
              <w:jc w:val="right"/>
              <w:ind w:right="69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9"/>
              </w:rPr>
              <w:t>498</w:t>
            </w:r>
          </w:p>
        </w:tc>
        <w:tc>
          <w:tcPr>
            <w:tcW w:w="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498</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9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242</w:t>
            </w: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242</w:t>
            </w:r>
          </w:p>
        </w:tc>
      </w:tr>
      <w:tr>
        <w:trPr>
          <w:trHeight w:val="216"/>
        </w:trPr>
        <w:tc>
          <w:tcPr>
            <w:tcW w:w="5220" w:type="dxa"/>
            <w:vAlign w:val="bottom"/>
          </w:tcPr>
          <w:p>
            <w:pPr>
              <w:ind w:left="160"/>
              <w:spacing w:after="0"/>
              <w:rPr>
                <w:sz w:val="20"/>
                <w:szCs w:val="20"/>
                <w:color w:val="auto"/>
              </w:rPr>
            </w:pPr>
            <w:r>
              <w:rPr>
                <w:rFonts w:ascii="Arial" w:cs="Arial" w:eastAsia="Arial" w:hAnsi="Arial"/>
                <w:sz w:val="18"/>
                <w:szCs w:val="18"/>
                <w:color w:val="auto"/>
              </w:rPr>
              <w:t>Earn-out liability</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963</w:t>
            </w:r>
          </w:p>
        </w:tc>
        <w:tc>
          <w:tcPr>
            <w:tcW w:w="3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963</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rate collar liability</w:t>
            </w:r>
          </w:p>
        </w:tc>
        <w:tc>
          <w:tcPr>
            <w:tcW w:w="9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3,872</w:t>
            </w:r>
          </w:p>
        </w:tc>
      </w:tr>
      <w:tr>
        <w:trPr>
          <w:trHeight w:val="20"/>
        </w:trPr>
        <w:tc>
          <w:tcPr>
            <w:tcW w:w="5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Total fair value liabilities</w:t>
            </w:r>
          </w:p>
        </w:tc>
        <w:tc>
          <w:tcPr>
            <w:tcW w:w="900" w:type="dxa"/>
            <w:vAlign w:val="bottom"/>
          </w:tcPr>
          <w:p>
            <w:pPr>
              <w:jc w:val="right"/>
              <w:ind w:right="690"/>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w w:val="99"/>
              </w:rPr>
              <w:t>498</w:t>
            </w:r>
          </w:p>
        </w:tc>
        <w:tc>
          <w:tcPr>
            <w:tcW w:w="1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3,872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1,205</w:t>
            </w:r>
          </w:p>
        </w:tc>
        <w:tc>
          <w:tcPr>
            <w:tcW w:w="18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5,575</w:t>
            </w:r>
          </w:p>
        </w:tc>
      </w:tr>
      <w:tr>
        <w:trPr>
          <w:trHeight w:val="20"/>
        </w:trPr>
        <w:tc>
          <w:tcPr>
            <w:tcW w:w="5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2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color w:val="auto"/>
                <w:w w:val="99"/>
              </w:rPr>
              <w:t>Fair Value Measured on December 31, 2024</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2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Level 1</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17"/>
                <w:szCs w:val="17"/>
                <w:color w:val="auto"/>
              </w:rPr>
            </w:pPr>
          </w:p>
        </w:tc>
        <w:tc>
          <w:tcPr>
            <w:tcW w:w="840" w:type="dxa"/>
            <w:vAlign w:val="bottom"/>
          </w:tcPr>
          <w:p>
            <w:pPr>
              <w:ind w:left="6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9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(Public)</w:t>
            </w:r>
          </w:p>
        </w:tc>
        <w:tc>
          <w:tcPr>
            <w:tcW w:w="900" w:type="dxa"/>
            <w:vAlign w:val="bottom"/>
          </w:tcPr>
          <w:p>
            <w:pPr>
              <w:jc w:val="right"/>
              <w:ind w:right="69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9"/>
              </w:rPr>
              <w:t>548</w:t>
            </w:r>
          </w:p>
        </w:tc>
        <w:tc>
          <w:tcPr>
            <w:tcW w:w="3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548</w:t>
            </w:r>
          </w:p>
        </w:tc>
      </w:tr>
      <w:tr>
        <w:trPr>
          <w:trHeight w:val="203"/>
        </w:trPr>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9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265</w:t>
            </w: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9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1,148</w:t>
            </w:r>
          </w:p>
        </w:tc>
        <w:tc>
          <w:tcPr>
            <w:tcW w:w="3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1,148</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collar liability</w:t>
            </w:r>
          </w:p>
        </w:tc>
        <w:tc>
          <w:tcPr>
            <w:tcW w:w="9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w:t>
            </w:r>
          </w:p>
        </w:tc>
      </w:tr>
      <w:tr>
        <w:trPr>
          <w:trHeight w:val="20"/>
        </w:trPr>
        <w:tc>
          <w:tcPr>
            <w:tcW w:w="5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Total fair value liabilities</w:t>
            </w:r>
          </w:p>
        </w:tc>
        <w:tc>
          <w:tcPr>
            <w:tcW w:w="900" w:type="dxa"/>
            <w:vAlign w:val="bottom"/>
          </w:tcPr>
          <w:p>
            <w:pPr>
              <w:jc w:val="right"/>
              <w:ind w:right="690"/>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w w:val="99"/>
              </w:rPr>
              <w:t>548</w:t>
            </w:r>
          </w:p>
        </w:tc>
        <w:tc>
          <w:tcPr>
            <w:tcW w:w="1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1,413</w:t>
            </w:r>
          </w:p>
        </w:tc>
        <w:tc>
          <w:tcPr>
            <w:tcW w:w="18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2,021</w:t>
            </w:r>
          </w:p>
        </w:tc>
      </w:tr>
      <w:tr>
        <w:trPr>
          <w:trHeight w:val="20"/>
        </w:trPr>
        <w:tc>
          <w:tcPr>
            <w:tcW w:w="5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As of March 30, 2025, the Company's derivative liabilities for its Private and Public Warrants, earn-out liability, and derivative asset for its Collar are measured at fair value on a recurring basis (see Note 7, “</w:t>
      </w:r>
      <w:r>
        <w:rPr>
          <w:rFonts w:ascii="Arial" w:cs="Arial" w:eastAsia="Arial" w:hAnsi="Arial"/>
          <w:sz w:val="18"/>
          <w:szCs w:val="18"/>
          <w:i w:val="1"/>
          <w:iCs w:val="1"/>
          <w:color w:val="auto"/>
        </w:rPr>
        <w:t>Common Stock Warrants and Earn-Out Liability,</w:t>
      </w:r>
      <w:r>
        <w:rPr>
          <w:rFonts w:ascii="Arial" w:cs="Arial" w:eastAsia="Arial" w:hAnsi="Arial"/>
          <w:sz w:val="18"/>
          <w:szCs w:val="18"/>
          <w:color w:val="auto"/>
        </w:rPr>
        <w:t>” and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more details). The fair values of the Private Warrants and earn-out liability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Collar, which is included in other noncurrent assets on the condensed consolidated balance sheets, is determined based on models that reflect the contractual terms of the derivative, yield curves, and the credit quality of the counterparties. Inputs are generally observable and do not contain a high level of subjectivity (Level 2). The fair value of the Public Warrants is determined using publicly traded prices (Level 1). Changes in the fair value of the derivative liabilities related to Warrants and the earn-out liability are recognized as non-operating expense in the condensed consolidated statements of comprehensive income. Changes in the fair value of the Collar is recognized as an adjustment to interest expense in the condensed consolidated statements of comprehensive income. Changes in the fair value of the derivative liabilities related to Warrants and the earn-out liability and changes in the fair value of the Collar are recognized in net cash provided by operating activities on the condensed consolidated statements of cash flows.</w:t>
      </w:r>
    </w:p>
    <w:p>
      <w:pPr>
        <w:spacing w:after="0" w:line="174"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fair value of Private Warrants was estimated as of the measurement date using the Monte Carlo simulation model with the following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c>
          <w:tcPr>
            <w:tcW w:w="240" w:type="dxa"/>
            <w:vAlign w:val="bottom"/>
          </w:tcPr>
          <w:p>
            <w:pPr>
              <w:spacing w:after="0"/>
              <w:rPr>
                <w:sz w:val="18"/>
                <w:szCs w:val="18"/>
                <w:color w:val="auto"/>
              </w:rPr>
            </w:pPr>
          </w:p>
        </w:tc>
      </w:tr>
      <w:tr>
        <w:trPr>
          <w:trHeight w:val="221"/>
        </w:trPr>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March 30, 2025</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38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3.02</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Strike price</w:t>
            </w:r>
          </w:p>
        </w:tc>
        <w:tc>
          <w:tcPr>
            <w:tcW w:w="3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11.50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life (in years)</w:t>
            </w:r>
          </w:p>
        </w:tc>
        <w:tc>
          <w:tcPr>
            <w:tcW w:w="3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Expected dividend</w:t>
            </w:r>
          </w:p>
        </w:tc>
        <w:tc>
          <w:tcPr>
            <w:tcW w:w="3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3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4.12%</w:t>
            </w:r>
          </w:p>
        </w:tc>
        <w:tc>
          <w:tcPr>
            <w:tcW w:w="240" w:type="dxa"/>
            <w:vAlign w:val="bottom"/>
          </w:tcPr>
          <w:p>
            <w:pPr>
              <w:spacing w:after="0"/>
              <w:rPr>
                <w:sz w:val="17"/>
                <w:szCs w:val="17"/>
                <w:color w:val="auto"/>
              </w:rPr>
            </w:pPr>
          </w:p>
        </w:tc>
      </w:tr>
      <w:tr>
        <w:trPr>
          <w:trHeight w:val="239"/>
        </w:trPr>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Price threshold</w:t>
            </w:r>
          </w:p>
        </w:tc>
        <w:tc>
          <w:tcPr>
            <w:tcW w:w="3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18.00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20"/>
                <w:szCs w:val="20"/>
                <w:color w:val="auto"/>
              </w:rPr>
            </w:pPr>
          </w:p>
        </w:tc>
      </w:tr>
      <w:tr>
        <w:trPr>
          <w:trHeight w:val="386"/>
        </w:trPr>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00" w:type="dxa"/>
            <w:vAlign w:val="bottom"/>
          </w:tcPr>
          <w:p>
            <w:pPr>
              <w:jc w:val="right"/>
              <w:ind w:right="17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fair value of the earn-out liability was estimated as of the measurement date using the Monte Carlo simulation model with the following assumptions:</w:t>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December 31,</w:t>
            </w:r>
          </w:p>
        </w:tc>
      </w:tr>
      <w:tr>
        <w:trPr>
          <w:trHeight w:val="221"/>
        </w:trPr>
        <w:tc>
          <w:tcPr>
            <w:tcW w:w="46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March 30, 2025</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27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3.02</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3.29</w:t>
            </w:r>
          </w:p>
        </w:tc>
        <w:tc>
          <w:tcPr>
            <w:tcW w:w="14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3.54</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69.48%</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64.33%</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3.82%</w:t>
            </w:r>
          </w:p>
        </w:tc>
        <w:tc>
          <w:tcPr>
            <w:tcW w:w="14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4.21%</w:t>
            </w: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Price hurdle</w:t>
            </w:r>
          </w:p>
        </w:tc>
        <w:tc>
          <w:tcPr>
            <w:tcW w:w="2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15.00</w:t>
            </w:r>
          </w:p>
        </w:tc>
      </w:tr>
    </w:tbl>
    <w:p>
      <w:pPr>
        <w:spacing w:after="0" w:line="184"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As of March 30, 2025 and December 31, 2024, the Company has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changes in Level 3 liabilities during the 13-week periods ended March 30, 2025 and March 31, 2024 is as follows: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Private Warrants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Earn-Out Liability</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2023</w:t>
            </w:r>
          </w:p>
        </w:tc>
        <w:tc>
          <w:tcPr>
            <w:tcW w:w="2100" w:type="dxa"/>
            <w:vAlign w:val="bottom"/>
            <w:gridSpan w:val="2"/>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2,903</w:t>
            </w:r>
          </w:p>
        </w:tc>
        <w:tc>
          <w:tcPr>
            <w:tcW w:w="660" w:type="dxa"/>
            <w:vAlign w:val="bottom"/>
            <w:gridSpan w:val="2"/>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3,479</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6,382</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Gains included in earnings</w:t>
            </w:r>
          </w:p>
        </w:tc>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(1,135)</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(649)</w:t>
            </w: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(1,784)</w:t>
            </w:r>
          </w:p>
        </w:tc>
      </w:tr>
      <w:tr>
        <w:trPr>
          <w:trHeight w:val="20"/>
        </w:trPr>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1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March 31, 2024</w:t>
            </w:r>
          </w:p>
        </w:tc>
        <w:tc>
          <w:tcPr>
            <w:tcW w:w="154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1,768</w:t>
            </w:r>
          </w:p>
        </w:tc>
        <w:tc>
          <w:tcPr>
            <w:tcW w:w="660" w:type="dxa"/>
            <w:vAlign w:val="bottom"/>
            <w:gridSpan w:val="2"/>
            <w:shd w:val="clear" w:color="auto" w:fill="CCEEFF"/>
          </w:tcPr>
          <w:p>
            <w:pPr>
              <w:jc w:val="right"/>
              <w:ind w:right="390"/>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2,830</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4,598</w:t>
            </w:r>
          </w:p>
        </w:tc>
      </w:tr>
      <w:tr>
        <w:trPr>
          <w:trHeight w:val="183"/>
        </w:trPr>
        <w:tc>
          <w:tcPr>
            <w:tcW w:w="410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2024</w:t>
            </w:r>
          </w:p>
        </w:tc>
        <w:tc>
          <w:tcPr>
            <w:tcW w:w="2100" w:type="dxa"/>
            <w:vAlign w:val="bottom"/>
            <w:gridSpan w:val="2"/>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265</w:t>
            </w:r>
          </w:p>
        </w:tc>
        <w:tc>
          <w:tcPr>
            <w:tcW w:w="660" w:type="dxa"/>
            <w:vAlign w:val="bottom"/>
            <w:gridSpan w:val="2"/>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1,148</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1,413</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Gains included in earnings</w:t>
            </w:r>
          </w:p>
        </w:tc>
        <w:tc>
          <w:tcPr>
            <w:tcW w:w="1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(185)</w:t>
            </w: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(208)</w:t>
            </w:r>
          </w:p>
        </w:tc>
      </w:tr>
      <w:tr>
        <w:trPr>
          <w:trHeight w:val="20"/>
        </w:trPr>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March 30, 2025</w:t>
            </w:r>
          </w:p>
        </w:tc>
        <w:tc>
          <w:tcPr>
            <w:tcW w:w="15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242</w:t>
            </w:r>
          </w:p>
        </w:tc>
        <w:tc>
          <w:tcPr>
            <w:tcW w:w="660" w:type="dxa"/>
            <w:vAlign w:val="bottom"/>
            <w:gridSpan w:val="2"/>
            <w:shd w:val="clear" w:color="auto" w:fill="CCEEFF"/>
          </w:tcPr>
          <w:p>
            <w:pPr>
              <w:jc w:val="right"/>
              <w:ind w:right="390"/>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963</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1,205</w:t>
            </w:r>
          </w:p>
        </w:tc>
      </w:tr>
      <w:tr>
        <w:trPr>
          <w:trHeight w:val="20"/>
        </w:trPr>
        <w:tc>
          <w:tcPr>
            <w:tcW w:w="41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8"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162"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69"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more information.</w:t>
      </w:r>
    </w:p>
    <w:p>
      <w:pPr>
        <w:spacing w:after="0" w:line="170"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following table summarizes total revenue by division category. The Company's category definitions were revised by management during the first quarter of 2025. The prior-year period has been revised to conform with the current presentation. There is no change to total sales.</w:t>
      </w:r>
    </w:p>
    <w:p>
      <w:pPr>
        <w:spacing w:after="0" w:line="155"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5"/>
          </w:tcPr>
          <w:p>
            <w:pPr>
              <w:ind w:left="32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March 30, 2025</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31, 2024</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Domestic Muscle</w:t>
            </w:r>
          </w:p>
        </w:tc>
        <w:tc>
          <w:tcPr>
            <w:tcW w:w="31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91,842</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98,432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Euro &amp; Import</w:t>
            </w: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10,955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9,507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Truck &amp; Off-Road</w:t>
            </w:r>
          </w:p>
        </w:tc>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31,229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31,690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Safety &amp; Racing</w:t>
            </w:r>
          </w:p>
        </w:tc>
        <w:tc>
          <w:tcPr>
            <w:tcW w:w="3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19,018</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19,007</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12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153,044</w:t>
            </w:r>
          </w:p>
        </w:tc>
        <w:tc>
          <w:tcPr>
            <w:tcW w:w="3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158,636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pacing w:after="0" w:line="198"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5"/>
          </w:tcPr>
          <w:p>
            <w:pPr>
              <w:ind w:left="32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March 30, 2025</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31, 2024</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32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147,491</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153,325</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Italy</w:t>
            </w:r>
          </w:p>
        </w:tc>
        <w:tc>
          <w:tcPr>
            <w:tcW w:w="3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5,553</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5,311</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26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153,044</w:t>
            </w:r>
          </w:p>
        </w:tc>
        <w:tc>
          <w:tcPr>
            <w:tcW w:w="3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158,636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less allowance was $36,123 and $48,360 as of December 31, 2024 and 2023, respectively.</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8"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effective income tax rate is based on expected income, statutory rates and tax planning opportunities available in the various jurisdictions in which it operates. For interim financial reporting, the Company estimates the annual income tax rate based on projected taxable income for the full year and records a quarterly income tax provision or benefit in accordance with the anticipated annual rate. The Company refines the estimates of the year's taxable income as new information becomes available, including actual year-to-date financial results. This continual estimation process often results in a change to the expected effective income tax rate for the year. When this occurs, the Company adjusts the income tax provision during the quarter in which the change in estimate occurs so that the year-to-date provision reflects the expected income tax rate. Significant judgment is required in determining the effective tax rate and in evaluating tax positions.</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gridSpan w:val="6"/>
          </w:tcPr>
          <w:p>
            <w:pPr>
              <w:jc w:val="right"/>
              <w:ind w:right="68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7"/>
              </w:rPr>
              <w:t>March 30, 2025</w:t>
            </w: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March 31, 2024</w:t>
            </w:r>
          </w:p>
        </w:tc>
        <w:tc>
          <w:tcPr>
            <w:tcW w:w="2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expense (benefit)</w:t>
            </w:r>
          </w:p>
        </w:tc>
        <w:tc>
          <w:tcPr>
            <w:tcW w:w="25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1,076</w:t>
            </w:r>
          </w:p>
        </w:tc>
        <w:tc>
          <w:tcPr>
            <w:tcW w:w="2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(891)</w:t>
            </w:r>
          </w:p>
        </w:tc>
      </w:tr>
      <w:tr>
        <w:trPr>
          <w:trHeight w:val="239"/>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Effective tax rate</w:t>
            </w: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r>
    </w:tbl>
    <w:p>
      <w:pPr>
        <w:spacing w:after="0" w:line="147"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For the 13-week period ended March 30, 2025, the Company's effective tax rate of 27.6% differed from the 21% federal statutory rate primarily due to federal research and development tax credits, state taxes, the impact of foreign taxes in higher tax rate jurisdictions, and excess tax deficiencies from share-based compensation recognized during the period. For the 13-week period ended March 31, 2024, the Company’s effective tax rate of -31.4% differed from the 21% federal statutory rate primarily due to permanent differences related to changes in fair value of the warrant and earn-out liabilities recognized during the period, federal research and development tax credits, and the impact of foreign taxes in higher tax rate jurisdictions. In addition, the Company incurred expenses related to product rationalization that were determined to be significant and infrequent in nature; therefore, the full tax benefit of these expenses were recorded during the quarter as a discrete adjustment.</w:t>
      </w:r>
    </w:p>
    <w:p>
      <w:pPr>
        <w:sectPr>
          <w:pgSz w:w="11900" w:h="16838" w:orient="portrait"/>
          <w:cols w:equalWidth="0" w:num="1">
            <w:col w:w="11240"/>
          </w:cols>
          <w:pgMar w:left="320" w:top="122" w:right="3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calculation of basic and diluted earnings per share:</w:t>
      </w:r>
    </w:p>
    <w:p>
      <w:pPr>
        <w:spacing w:after="0" w:line="198"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5"/>
          </w:tcPr>
          <w:p>
            <w:pPr>
              <w:ind w:left="32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March 30, 2025</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31, 2024</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2,817</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3,730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118,845,487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117,871,829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Dilutive effect of potential common shares from RSUs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578,059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1,429,198</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Dilutive effect of potential common shares from PSUs</w:t>
            </w:r>
          </w:p>
        </w:tc>
        <w:tc>
          <w:tcPr>
            <w:tcW w:w="1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135,671</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204,303</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 - diluted</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119,559,217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119,505,330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b w:val="1"/>
                <w:bCs w:val="1"/>
                <w:color w:val="auto"/>
              </w:rPr>
              <w:t>Earnings per share:</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w:t>
            </w:r>
          </w:p>
        </w:tc>
        <w:tc>
          <w:tcPr>
            <w:tcW w:w="1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Diluted</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because their effect would have been anti-dilutive. Warrants to purchase shares of Common Stock having an exercise price greater than the average share market price are excluded from the calculation of diluted earnings per share.</w:t>
      </w:r>
    </w:p>
    <w:p>
      <w:pPr>
        <w:spacing w:after="0" w:line="155"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3300" w:type="dxa"/>
            <w:vAlign w:val="bottom"/>
            <w:gridSpan w:val="4"/>
          </w:tcPr>
          <w:p>
            <w:pPr>
              <w:ind w:left="44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2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March 30, 2025</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March 31, 2024</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Anti-dilutive shares excluded from calculation of diluted EPS:</w:t>
            </w: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Warrants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14,633,311</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14,633,311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Stock options</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437,268</w:t>
            </w:r>
          </w:p>
        </w:tc>
        <w:tc>
          <w:tcPr>
            <w:tcW w:w="1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701,849</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Restricted stock units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1,484,272</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61,470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Performance stock units</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2,514,393</w:t>
            </w:r>
          </w:p>
        </w:tc>
        <w:tc>
          <w:tcPr>
            <w:tcW w:w="1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797,879</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Unvested Earn-Out Shares</w:t>
            </w: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1,093,750</w:t>
            </w:r>
          </w:p>
        </w:tc>
        <w:tc>
          <w:tcPr>
            <w:tcW w:w="22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1,093,750</w:t>
            </w:r>
          </w:p>
        </w:tc>
        <w:tc>
          <w:tcPr>
            <w:tcW w:w="1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7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anti-dilutive shares</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20,162,994</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17,288,259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PLANS</w:t>
      </w:r>
    </w:p>
    <w:p>
      <w:pPr>
        <w:spacing w:after="0" w:line="198"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In 2021, the Company adopted the 2021 Omnibus Incentive Plan (the “2021 Plan”), under which awards, including stock options, restricted stock units ("RSUs") and performance stock units ("PSUs") may be granted to employees and non-employee directors. The 2021 Plan authorized 8,850,000 shares of Common Stock to be available for award grants. As of March 30, 2025, 3,502,607 shares of Common Stock remained available for future issuance under the 2021 Plan. On June 6, 2023, the Company granted 1,000,000 RSUs and 1,520,000 PSUs to its new President and Chief Executive Officer. These awards were granted outside of the 2021 Plan as employment inducement awards and did not require shareholder approval under the rules of the NYSE or otherwise.</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Equity-based compensation expense included the following components:</w:t>
      </w:r>
    </w:p>
    <w:p>
      <w:pPr>
        <w:spacing w:after="0" w:line="198"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5"/>
          </w:tcPr>
          <w:p>
            <w:pPr>
              <w:jc w:val="right"/>
              <w:ind w:right="54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March 30, 2025</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31, 2024</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Restricted stock units</w:t>
            </w:r>
          </w:p>
        </w:tc>
        <w:tc>
          <w:tcPr>
            <w:tcW w:w="28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960</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Performance stock units</w:t>
            </w: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491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390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w:t>
            </w:r>
          </w:p>
        </w:tc>
      </w:tr>
    </w:tbl>
    <w:p>
      <w:pPr>
        <w:spacing w:after="0" w:line="184"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All equity-based compensation expenses are recorded in selling, general and administrative costs in the condensed consolidated statements of comprehensive income.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RSUs and PSUs are collectively referred to as "Restricted Stock Awards". The Compensation Committee has awarded RSUs to select employees and non-employee directors and has awarded PSUs to select employees. The RSUs vest ratably over one to four years of continued employment or board services, as applicable. The grant date fair value of a time-based award or a performance-based award without a market condition is equal to the market price of Common Stock on the grant date and is recognized over the requisite service period. The grant date fair value of a performance-based award with a market condition is determined using a Monte Carlo simulation and is recognized over the requisite service period. On March 30, 2025, there was $8,201 of unrecognized compensation cost related to unvested Restricted Stock Awards that is expected to be recognized over a remaining weighted average period of 2.0 years.</w:t>
      </w:r>
    </w:p>
    <w:p>
      <w:pPr>
        <w:spacing w:after="0" w:line="17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weighted-average grant-date fair value of Restricted Stock Awards granted during the 13-week periods ended March 30, 2025 and March 31, 2024, was $2.57 and $4.25, respectively. The fair value of Restricted Stock Awards vested and converted to shares of Common Stock during the 13-week periods ended March 30, 2025 and March 31, 2024, was $1,084 and $3,364, respectively.</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Restricted Stock Award for the 13-week period ended March 30, 2025:</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3300" w:type="dxa"/>
            <w:vAlign w:val="bottom"/>
            <w:gridSpan w:val="6"/>
          </w:tcPr>
          <w:p>
            <w:pPr>
              <w:jc w:val="right"/>
              <w:ind w:right="320"/>
              <w:spacing w:after="0"/>
              <w:rPr>
                <w:sz w:val="20"/>
                <w:szCs w:val="20"/>
                <w:color w:val="auto"/>
              </w:rPr>
            </w:pPr>
            <w:r>
              <w:rPr>
                <w:rFonts w:ascii="Arial" w:cs="Arial" w:eastAsia="Arial" w:hAnsi="Arial"/>
                <w:sz w:val="18"/>
                <w:szCs w:val="18"/>
                <w:color w:val="auto"/>
              </w:rPr>
              <w:t>Unvested Restricted Stock Awards</w:t>
            </w:r>
          </w:p>
        </w:tc>
      </w:tr>
      <w:tr>
        <w:trPr>
          <w:trHeight w:val="177"/>
        </w:trPr>
        <w:tc>
          <w:tcPr>
            <w:tcW w:w="736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color w:val="auto"/>
                <w:w w:val="98"/>
              </w:rPr>
              <w:t>Weighted Average</w:t>
            </w:r>
          </w:p>
        </w:tc>
        <w:tc>
          <w:tcPr>
            <w:tcW w:w="100" w:type="dxa"/>
            <w:vAlign w:val="bottom"/>
          </w:tcPr>
          <w:p>
            <w:pPr>
              <w:spacing w:after="0"/>
              <w:rPr>
                <w:sz w:val="15"/>
                <w:szCs w:val="15"/>
                <w:color w:val="auto"/>
              </w:rPr>
            </w:pPr>
          </w:p>
        </w:tc>
      </w:tr>
      <w:tr>
        <w:trPr>
          <w:trHeight w:val="203"/>
        </w:trPr>
        <w:tc>
          <w:tcPr>
            <w:tcW w:w="7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9"/>
              </w:rPr>
              <w:t>Grant Date Fair</w:t>
            </w:r>
          </w:p>
        </w:tc>
      </w:tr>
      <w:tr>
        <w:trPr>
          <w:trHeight w:val="221"/>
        </w:trPr>
        <w:tc>
          <w:tcPr>
            <w:tcW w:w="7360" w:type="dxa"/>
            <w:vAlign w:val="bottom"/>
          </w:tcPr>
          <w:p>
            <w:pPr>
              <w:spacing w:after="0"/>
              <w:rPr>
                <w:sz w:val="19"/>
                <w:szCs w:val="19"/>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Number of RSAs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19"/>
                <w:szCs w:val="19"/>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on December 31, 2024</w:t>
            </w:r>
          </w:p>
        </w:tc>
        <w:tc>
          <w:tcPr>
            <w:tcW w:w="16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4,195,161</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3.12</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1,782,319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2.57</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(558,921)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3.04</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(234,692)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3.37</w:t>
            </w:r>
          </w:p>
        </w:tc>
      </w:tr>
      <w:tr>
        <w:trPr>
          <w:trHeight w:val="20"/>
        </w:trPr>
        <w:tc>
          <w:tcPr>
            <w:tcW w:w="7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on March 30, 2025</w:t>
            </w:r>
          </w:p>
        </w:tc>
        <w:tc>
          <w:tcPr>
            <w:tcW w:w="164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5,183,867</w:t>
            </w:r>
          </w:p>
        </w:tc>
        <w:tc>
          <w:tcPr>
            <w:tcW w:w="1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2.93</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96"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PSUs granted under the 2021 Plan represent shares of Common Stock that are potentially issuable in the future based on a combination of performance and service requirements. On March 21, 2025, the Company granted 812,256 PSUs under the 2021 Plan to key employees with a grant date fair value of $2.53. The PSUs granted to employees were based on salary and include annual net sales and adjusted EBITDA growth targets with threshold and stretch goals. The awards vest ratably over three years, subject to the employee’s continuous employment through the vesting date and the level of performance achieved. The number of PSUs granted reflects the target number able to be earned under a given award. Non-vested PSU compensation expense is based on the most recent performance assumption available and is adjusted as assumptions change. The fair value of a PSU at the grant date is equal to the market price of Common Stock on the grant date. The cost estimates for PSU grants represent initial target awards until the Company can reasonably forecast the financial performance of each PSU award grant. The actual number of shares of Common Stock to be issued at the end of each performance period will range from 0% to 150% of the initial target awards.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within 90 days of termination of service. Compensation expense for stock options is recorded based on straight-line amortization of the grant date fair value over the requisite service period. As of March 30, 2025, there was $5 of unrecognized compensation cost related to unvested stock options that is expected to be recognized over a remaining weighted-average period of 0.1 years.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for the 13-week period ended March 30, 2025:</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Weighted</w:t>
            </w:r>
          </w:p>
        </w:tc>
      </w:tr>
      <w:tr>
        <w:trPr>
          <w:trHeight w:val="203"/>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8"/>
              </w:rPr>
              <w:t>Average</w:t>
            </w:r>
          </w:p>
        </w:tc>
      </w:tr>
      <w:tr>
        <w:trPr>
          <w:trHeight w:val="203"/>
        </w:trPr>
        <w:tc>
          <w:tcPr>
            <w:tcW w:w="5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Weighted</w:t>
            </w:r>
          </w:p>
        </w:tc>
        <w:tc>
          <w:tcPr>
            <w:tcW w:w="15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Remaining</w:t>
            </w:r>
          </w:p>
        </w:tc>
      </w:tr>
      <w:tr>
        <w:trPr>
          <w:trHeight w:val="203"/>
        </w:trPr>
        <w:tc>
          <w:tcPr>
            <w:tcW w:w="5640" w:type="dxa"/>
            <w:vAlign w:val="bottom"/>
          </w:tcPr>
          <w:p>
            <w:pPr>
              <w:spacing w:after="0"/>
              <w:rPr>
                <w:sz w:val="17"/>
                <w:szCs w:val="17"/>
                <w:color w:val="auto"/>
              </w:rPr>
            </w:pPr>
          </w:p>
        </w:tc>
        <w:tc>
          <w:tcPr>
            <w:tcW w:w="17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Number of</w:t>
            </w:r>
          </w:p>
        </w:tc>
        <w:tc>
          <w:tcPr>
            <w:tcW w:w="140" w:type="dxa"/>
            <w:vAlign w:val="bottom"/>
          </w:tcPr>
          <w:p>
            <w:pPr>
              <w:spacing w:after="0"/>
              <w:rPr>
                <w:sz w:val="17"/>
                <w:szCs w:val="17"/>
                <w:color w:val="auto"/>
              </w:rPr>
            </w:pPr>
          </w:p>
        </w:tc>
        <w:tc>
          <w:tcPr>
            <w:tcW w:w="160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rPr>
              <w:t>Average</w:t>
            </w:r>
          </w:p>
        </w:tc>
        <w:tc>
          <w:tcPr>
            <w:tcW w:w="15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Contractual</w:t>
            </w:r>
          </w:p>
        </w:tc>
      </w:tr>
      <w:tr>
        <w:trPr>
          <w:trHeight w:val="221"/>
        </w:trPr>
        <w:tc>
          <w:tcPr>
            <w:tcW w:w="564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Stock Options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rPr>
              <w:t>Exercise Price</w:t>
            </w: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Term (years)</w:t>
            </w:r>
          </w:p>
        </w:tc>
        <w:tc>
          <w:tcPr>
            <w:tcW w:w="100" w:type="dxa"/>
            <w:vAlign w:val="bottom"/>
          </w:tcPr>
          <w:p>
            <w:pPr>
              <w:spacing w:after="0"/>
              <w:rPr>
                <w:sz w:val="19"/>
                <w:szCs w:val="19"/>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outstanding on December 31, 2024</w:t>
            </w:r>
          </w:p>
        </w:tc>
        <w:tc>
          <w:tcPr>
            <w:tcW w:w="17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437,268</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10.99</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Expired</w:t>
            </w:r>
          </w:p>
        </w:tc>
        <w:tc>
          <w:tcPr>
            <w:tcW w:w="1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56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640" w:type="dxa"/>
            <w:vAlign w:val="bottom"/>
          </w:tcPr>
          <w:p>
            <w:pPr>
              <w:spacing w:after="0" w:line="182" w:lineRule="exact"/>
              <w:rPr>
                <w:sz w:val="20"/>
                <w:szCs w:val="20"/>
                <w:color w:val="auto"/>
              </w:rPr>
            </w:pPr>
            <w:r>
              <w:rPr>
                <w:rFonts w:ascii="Arial" w:cs="Arial" w:eastAsia="Arial" w:hAnsi="Arial"/>
                <w:sz w:val="18"/>
                <w:szCs w:val="18"/>
                <w:color w:val="auto"/>
              </w:rPr>
              <w:t>Options outstanding on March 30, 2025</w:t>
            </w:r>
          </w:p>
        </w:tc>
        <w:tc>
          <w:tcPr>
            <w:tcW w:w="17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437,268</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10.99</w:t>
            </w:r>
          </w:p>
        </w:tc>
        <w:tc>
          <w:tcPr>
            <w:tcW w:w="15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6.56</w:t>
            </w:r>
          </w:p>
        </w:tc>
      </w:tr>
      <w:tr>
        <w:trPr>
          <w:trHeight w:val="20"/>
        </w:trPr>
        <w:tc>
          <w:tcPr>
            <w:tcW w:w="56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on March 30, 2025</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422,582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198"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leases retail stores, manufacturing, distribution, engineering, and research and development facilities, office space, equipment, and automobiles under operating lease agreements. Leases have remaining lease terms of one to 10 years, inclusive of renewal options that the Company is reasonably certain to exercise.</w:t>
      </w:r>
    </w:p>
    <w:p>
      <w:pPr>
        <w:spacing w:after="0" w:line="155"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operating lease assets and obligations, and provides information associated with the measurement of operating lease obligations.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6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As of</w:t>
            </w:r>
          </w:p>
        </w:tc>
        <w:tc>
          <w:tcPr>
            <w:tcW w:w="13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77"/>
        </w:trPr>
        <w:tc>
          <w:tcPr>
            <w:tcW w:w="6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90"/>
              <w:spacing w:after="0" w:line="177" w:lineRule="exact"/>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5"/>
                <w:szCs w:val="15"/>
                <w:color w:val="auto"/>
              </w:rPr>
            </w:pPr>
          </w:p>
        </w:tc>
      </w:tr>
      <w:tr>
        <w:trPr>
          <w:trHeight w:val="221"/>
        </w:trPr>
        <w:tc>
          <w:tcPr>
            <w:tcW w:w="6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March 30, 2025</w:t>
            </w:r>
          </w:p>
        </w:tc>
        <w:tc>
          <w:tcPr>
            <w:tcW w:w="140" w:type="dxa"/>
            <w:vAlign w:val="bottom"/>
          </w:tcPr>
          <w:p>
            <w:pPr>
              <w:spacing w:after="0"/>
              <w:rPr>
                <w:sz w:val="19"/>
                <w:szCs w:val="19"/>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Operating right of use assets</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34,841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35,974</w:t>
            </w: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Current operating lease liabilities - Accrued liabilities</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5,272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5,324</w:t>
            </w:r>
          </w:p>
        </w:tc>
      </w:tr>
      <w:tr>
        <w:trPr>
          <w:trHeight w:val="203"/>
        </w:trPr>
        <w:tc>
          <w:tcPr>
            <w:tcW w:w="626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operating lease liabilities - Other noncurrent liabilities</w:t>
            </w: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30,754</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31,876</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626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11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36,026</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37,200</w:t>
            </w:r>
          </w:p>
        </w:tc>
      </w:tr>
      <w:tr>
        <w:trPr>
          <w:trHeight w:val="20"/>
        </w:trPr>
        <w:tc>
          <w:tcPr>
            <w:tcW w:w="6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626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Lease term and discount rate</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3"/>
        </w:trPr>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6.4</w:t>
            </w:r>
          </w:p>
        </w:tc>
        <w:tc>
          <w:tcPr>
            <w:tcW w:w="140" w:type="dxa"/>
            <w:vAlign w:val="bottom"/>
          </w:tcPr>
          <w:p>
            <w:pPr>
              <w:spacing w:after="0"/>
              <w:rPr>
                <w:sz w:val="17"/>
                <w:szCs w:val="17"/>
                <w:color w:val="auto"/>
              </w:rPr>
            </w:pPr>
          </w:p>
        </w:tc>
        <w:tc>
          <w:tcPr>
            <w:tcW w:w="15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6.6</w:t>
            </w:r>
          </w:p>
        </w:tc>
      </w:tr>
      <w:tr>
        <w:trPr>
          <w:trHeight w:val="203"/>
        </w:trPr>
        <w:tc>
          <w:tcPr>
            <w:tcW w:w="6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Weighted average discount rate</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5.90%</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5.91%</w:t>
            </w:r>
          </w:p>
        </w:tc>
      </w:tr>
    </w:tbl>
    <w:p>
      <w:pPr>
        <w:spacing w:after="0" w:line="184"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following summarizes the components of operating lease expense and provides supplemental cash flow information for operating leases: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5"/>
          </w:tcPr>
          <w:p>
            <w:pPr>
              <w:ind w:left="320"/>
              <w:spacing w:after="0"/>
              <w:rPr>
                <w:sz w:val="20"/>
                <w:szCs w:val="20"/>
                <w:color w:val="auto"/>
              </w:rPr>
            </w:pPr>
            <w:r>
              <w:rPr>
                <w:rFonts w:ascii="Arial" w:cs="Arial" w:eastAsia="Arial" w:hAnsi="Arial"/>
                <w:sz w:val="18"/>
                <w:szCs w:val="18"/>
                <w:color w:val="auto"/>
              </w:rPr>
              <w:t>For the thirteen weeks ended</w:t>
            </w:r>
          </w:p>
        </w:tc>
        <w:tc>
          <w:tcPr>
            <w:tcW w:w="280" w:type="dxa"/>
            <w:vAlign w:val="bottom"/>
          </w:tcPr>
          <w:p>
            <w:pPr>
              <w:spacing w:after="0"/>
              <w:rPr>
                <w:sz w:val="19"/>
                <w:szCs w:val="19"/>
                <w:color w:val="auto"/>
              </w:rPr>
            </w:pPr>
          </w:p>
        </w:tc>
      </w:tr>
      <w:tr>
        <w:trPr>
          <w:trHeight w:val="196"/>
        </w:trPr>
        <w:tc>
          <w:tcPr>
            <w:tcW w:w="30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March 30, 2025</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31, 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lease expense: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6720" w:type="dxa"/>
            <w:vAlign w:val="bottom"/>
          </w:tcPr>
          <w:p>
            <w:pPr>
              <w:ind w:left="160"/>
              <w:spacing w:after="0" w:line="202" w:lineRule="exact"/>
              <w:rPr>
                <w:sz w:val="20"/>
                <w:szCs w:val="20"/>
                <w:color w:val="auto"/>
              </w:rPr>
            </w:pPr>
            <w:r>
              <w:rPr>
                <w:rFonts w:ascii="Arial" w:cs="Arial" w:eastAsia="Arial" w:hAnsi="Arial"/>
                <w:sz w:val="18"/>
                <w:szCs w:val="18"/>
                <w:color w:val="auto"/>
              </w:rPr>
              <w:t>Operating lease expense</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1,988</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6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Short-term lease expense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6720" w:type="dxa"/>
            <w:vAlign w:val="bottom"/>
          </w:tcPr>
          <w:p>
            <w:pPr>
              <w:ind w:left="160"/>
              <w:spacing w:after="0" w:line="202" w:lineRule="exact"/>
              <w:rPr>
                <w:sz w:val="20"/>
                <w:szCs w:val="20"/>
                <w:color w:val="auto"/>
              </w:rPr>
            </w:pPr>
            <w:r>
              <w:rPr>
                <w:rFonts w:ascii="Arial" w:cs="Arial" w:eastAsia="Arial" w:hAnsi="Arial"/>
                <w:sz w:val="18"/>
                <w:szCs w:val="18"/>
                <w:color w:val="auto"/>
              </w:rPr>
              <w:t>Variable lease expense</w:t>
            </w:r>
          </w:p>
        </w:tc>
        <w:tc>
          <w:tcPr>
            <w:tcW w:w="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6"/>
        </w:trPr>
        <w:tc>
          <w:tcPr>
            <w:tcW w:w="300" w:type="dxa"/>
            <w:vAlign w:val="bottom"/>
          </w:tcPr>
          <w:p>
            <w:pPr>
              <w:spacing w:after="0"/>
              <w:rPr>
                <w:sz w:val="20"/>
                <w:szCs w:val="20"/>
                <w:color w:val="auto"/>
              </w:rPr>
            </w:pPr>
          </w:p>
        </w:tc>
        <w:tc>
          <w:tcPr>
            <w:tcW w:w="67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lease expense</w:t>
            </w:r>
          </w:p>
        </w:tc>
        <w:tc>
          <w:tcPr>
            <w:tcW w:w="76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2,472</w:t>
            </w:r>
          </w:p>
        </w:tc>
        <w:tc>
          <w:tcPr>
            <w:tcW w:w="3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20"/>
                <w:szCs w:val="20"/>
                <w:color w:val="auto"/>
              </w:rPr>
            </w:pPr>
          </w:p>
        </w:tc>
        <w:tc>
          <w:tcPr>
            <w:tcW w:w="280" w:type="dxa"/>
            <w:vAlign w:val="bottom"/>
          </w:tcPr>
          <w:p>
            <w:pPr>
              <w:spacing w:after="0"/>
              <w:rPr>
                <w:sz w:val="20"/>
                <w:szCs w:val="20"/>
                <w:color w:val="auto"/>
              </w:rPr>
            </w:pPr>
          </w:p>
        </w:tc>
      </w:tr>
      <w:tr>
        <w:trPr>
          <w:trHeight w:val="183"/>
        </w:trPr>
        <w:tc>
          <w:tcPr>
            <w:tcW w:w="300" w:type="dxa"/>
            <w:vAlign w:val="bottom"/>
          </w:tcPr>
          <w:p>
            <w:pPr>
              <w:spacing w:after="0"/>
              <w:rPr>
                <w:sz w:val="15"/>
                <w:szCs w:val="15"/>
                <w:color w:val="auto"/>
              </w:rPr>
            </w:pPr>
          </w:p>
        </w:tc>
        <w:tc>
          <w:tcPr>
            <w:tcW w:w="6720" w:type="dxa"/>
            <w:vAlign w:val="bottom"/>
            <w:tcBorders>
              <w:top w:val="single" w:sz="8" w:color="CCEEFF"/>
            </w:tcBorders>
          </w:tcPr>
          <w:p>
            <w:pPr>
              <w:spacing w:after="0" w:line="183" w:lineRule="exact"/>
              <w:rPr>
                <w:sz w:val="20"/>
                <w:szCs w:val="20"/>
                <w:color w:val="auto"/>
              </w:rPr>
            </w:pPr>
            <w:r>
              <w:rPr>
                <w:rFonts w:ascii="Arial" w:cs="Arial" w:eastAsia="Arial" w:hAnsi="Arial"/>
                <w:sz w:val="18"/>
                <w:szCs w:val="18"/>
                <w:b w:val="1"/>
                <w:bCs w:val="1"/>
                <w:color w:val="auto"/>
              </w:rPr>
              <w:t>Supplemental cash flow information related to leases:</w:t>
            </w:r>
          </w:p>
        </w:tc>
        <w:tc>
          <w:tcPr>
            <w:tcW w:w="6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Pr>
          <w:p>
            <w:pPr>
              <w:spacing w:after="0"/>
              <w:rPr>
                <w:sz w:val="15"/>
                <w:szCs w:val="15"/>
                <w:color w:val="auto"/>
              </w:rPr>
            </w:pPr>
          </w:p>
        </w:tc>
      </w:tr>
      <w:tr>
        <w:trPr>
          <w:trHeight w:val="203"/>
        </w:trPr>
        <w:tc>
          <w:tcPr>
            <w:tcW w:w="30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amounts included in measurement of operating lease liabilities</w:t>
            </w: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1,884</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2,014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2"/>
        </w:trPr>
        <w:tc>
          <w:tcPr>
            <w:tcW w:w="30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Decapitalization of right-of-use assets upon lease termination or modification</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r>
      <w:tr>
        <w:trPr>
          <w:trHeight w:val="436"/>
        </w:trPr>
        <w:tc>
          <w:tcPr>
            <w:tcW w:w="7020" w:type="dxa"/>
            <w:vAlign w:val="bottom"/>
            <w:gridSpan w:val="2"/>
          </w:tcPr>
          <w:p>
            <w:pPr>
              <w:jc w:val="right"/>
              <w:ind w:right="1210"/>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98"/>
        </w:trPr>
        <w:tc>
          <w:tcPr>
            <w:tcW w:w="300" w:type="dxa"/>
            <w:vAlign w:val="bottom"/>
            <w:tcBorders>
              <w:bottom w:val="single" w:sz="8" w:color="auto"/>
            </w:tcBorders>
          </w:tcPr>
          <w:p>
            <w:pPr>
              <w:spacing w:after="0"/>
              <w:rPr>
                <w:sz w:val="8"/>
                <w:szCs w:val="8"/>
                <w:color w:val="auto"/>
              </w:rPr>
            </w:pPr>
          </w:p>
        </w:tc>
        <w:tc>
          <w:tcPr>
            <w:tcW w:w="67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9060" w:type="dxa"/>
            <w:vAlign w:val="bottom"/>
          </w:tcPr>
          <w:p>
            <w:pPr>
              <w:spacing w:after="0"/>
              <w:rPr>
                <w:sz w:val="20"/>
                <w:szCs w:val="20"/>
                <w:color w:val="auto"/>
              </w:rPr>
            </w:pPr>
            <w:r>
              <w:rPr>
                <w:rFonts w:ascii="Arial" w:cs="Arial" w:eastAsia="Arial" w:hAnsi="Arial"/>
                <w:sz w:val="18"/>
                <w:szCs w:val="18"/>
                <w:color w:val="auto"/>
              </w:rPr>
              <w:t>The following table summarizes the maturities of the Company's operating lease liabilities as of March 30, 2025:</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5"/>
        </w:trPr>
        <w:tc>
          <w:tcPr>
            <w:tcW w:w="9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 (excluding the thirteen weeks ended March 30, 2025)</w:t>
            </w:r>
          </w:p>
        </w:tc>
        <w:tc>
          <w:tcPr>
            <w:tcW w:w="52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5,585</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7,079</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7,100</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6,669</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2029</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5,736</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11,671</w:t>
            </w:r>
          </w:p>
        </w:tc>
      </w:tr>
      <w:tr>
        <w:trPr>
          <w:trHeight w:val="20"/>
        </w:trPr>
        <w:tc>
          <w:tcPr>
            <w:tcW w:w="9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43,840</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(7,814)</w:t>
            </w:r>
          </w:p>
        </w:tc>
      </w:tr>
      <w:tr>
        <w:trPr>
          <w:trHeight w:val="20"/>
        </w:trPr>
        <w:tc>
          <w:tcPr>
            <w:tcW w:w="9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520" w:type="dxa"/>
            <w:vAlign w:val="bottom"/>
            <w:shd w:val="clear" w:color="auto" w:fill="CCEEFF"/>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36,026</w:t>
            </w:r>
          </w:p>
        </w:tc>
      </w:tr>
      <w:tr>
        <w:trPr>
          <w:trHeight w:val="20"/>
        </w:trPr>
        <w:tc>
          <w:tcPr>
            <w:tcW w:w="90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right="7560" w:hanging="332"/>
        <w:spacing w:after="0" w:line="469" w:lineRule="auto"/>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as well as the putative securities class action described below. While the lawsuits and claims against the Company cannot be predicted with certainty, management believes that the ultimate resolution of such matters will not have a material effect on the consolidated financial position or liquidity of the Company; however, in light of the inherent uncertainties involved in such lawsuits and claims, some of which may be beyond the Company’s control, an adverse outcome in one or more of these matters could be material to the Company’s results of operations or cash flows for any particular reporting period. The Company has established loss provision for matters in which losses are probable and can be reasonably estimated. Although management will continue to reassess the estimated liability based on future developments, an objective assessment of such claims may not always be predictive of the outcome and actual results may vary from current estimates.</w:t>
      </w:r>
    </w:p>
    <w:p>
      <w:pPr>
        <w:spacing w:after="0" w:line="166"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A putative securities class action was filed on November 6, 2023, against the Company, Tom Tomlinson (the Company’s former Director, President, and Chief Executive Officer), and Dominic Bardos (the Company’s former Chief Financial Officer) in the United States District Court for the Western District of Kentucky (the “Complaint”) and is captioned City of Fort Lauderdale General Employees’ Retirement System v. Holley, Inc., f/k/a Empower LTD., Tom Tomlinson, and Dominic Bardos, Civil Action No. 1:23-cv-148-S.</w:t>
      </w:r>
    </w:p>
    <w:p>
      <w:pPr>
        <w:spacing w:after="0" w:line="160" w:lineRule="exact"/>
        <w:rPr>
          <w:rFonts w:ascii="Arial" w:cs="Arial" w:eastAsia="Arial" w:hAnsi="Arial"/>
          <w:sz w:val="18"/>
          <w:szCs w:val="18"/>
          <w:b w:val="1"/>
          <w:bCs w:val="1"/>
          <w:color w:val="auto"/>
        </w:rPr>
      </w:pPr>
    </w:p>
    <w:p>
      <w:pPr>
        <w:jc w:val="both"/>
        <w:ind w:left="3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On February 26, 2024, the court appointed City of Fort Lauderdale General Employees’ Retirement System to serve as lead plaintiff to prosecute claims on behalf of a proposed class of stockholders who purchased or otherwise acquired Holley securities between July 21, 2021, and February 6, 2023. On April 26, 2024, the lead plaintiff filed an amended Complaint, adding Vinod Nimmagadda (the Company’s Executive Vice President of Corporate Development and New Ventures) as a defendant. Lead plaintiff alleges that statements made regarding the Company’s business, operations, and prospects violated Sections 10(b), Section 20(a) and Rule 10b-5 of the Securities Exchange Act of 1934 and seeks class certification, damages, interest, attorneys’ fees, and other relief. The Company filed a motion to dismiss on June 28, 2024. On January 7, 2025, the lead plaintiff filed a motion for leave to file a supplemented amended Complaint, which the court granted on March 20, 2025. The Company filed a motion to dismiss the supplemented amended Complaint on April 3, 2025. Briefing on the motion to dismiss will be complete on May 8, 2025.</w:t>
      </w:r>
    </w:p>
    <w:p>
      <w:pPr>
        <w:spacing w:after="0" w:line="170"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Due to the early stage of this proceeding, we cannot reasonably estimate the potential range of loss, if any. The Company disputes the allegations and intends to vigorously defend against them.</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HOLLEY INC.</w:t>
      </w:r>
    </w:p>
    <w:p>
      <w:pPr>
        <w:jc w:val="center"/>
        <w:ind w:right="20"/>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9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155"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condensed consolidated balance sheets.</w:t>
      </w:r>
    </w:p>
    <w:p>
      <w:pPr>
        <w:spacing w:after="0" w:line="140"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2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March 30, 2025</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31, 2024</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2,332</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3,325</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60" w:type="dxa"/>
            <w:vAlign w:val="bottom"/>
          </w:tcPr>
          <w:p>
            <w:pPr>
              <w:spacing w:after="0" w:line="202" w:lineRule="exact"/>
              <w:rPr>
                <w:sz w:val="20"/>
                <w:szCs w:val="20"/>
                <w:color w:val="auto"/>
              </w:rPr>
            </w:pPr>
            <w:r>
              <w:rPr>
                <w:rFonts w:ascii="Arial" w:cs="Arial" w:eastAsia="Arial" w:hAnsi="Arial"/>
                <w:sz w:val="18"/>
                <w:szCs w:val="18"/>
                <w:color w:val="auto"/>
              </w:rPr>
              <w:t>Accrued for current year warranty claims</w:t>
            </w: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1,709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3,343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Settlement of warranty claims</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(1,897)</w:t>
            </w:r>
          </w:p>
        </w:tc>
      </w:tr>
      <w:tr>
        <w:trPr>
          <w:trHeight w:val="20"/>
        </w:trPr>
        <w:tc>
          <w:tcPr>
            <w:tcW w:w="2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380" w:type="dxa"/>
            <w:vAlign w:val="bottom"/>
            <w:gridSpan w:val="2"/>
          </w:tcPr>
          <w:p>
            <w:pPr>
              <w:spacing w:after="0" w:line="182" w:lineRule="exact"/>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2,327</w:t>
            </w:r>
          </w:p>
        </w:tc>
        <w:tc>
          <w:tcPr>
            <w:tcW w:w="120" w:type="dxa"/>
            <w:vAlign w:val="bottom"/>
          </w:tcPr>
          <w:p>
            <w:pPr>
              <w:spacing w:after="0"/>
              <w:rPr>
                <w:sz w:val="17"/>
                <w:szCs w:val="17"/>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4,771</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Savings Plans</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 has a defined-contribution savings plan under Section 401(k) of the Internal Revenue Code that covers United States-based employees. United States-based eligible employees may contribute up to the current statutory limits under the Internal Revenue Service regulations. Holley matches employee contributions to the 401(k) Plan up to 3.5% each pay period, and an additional discretionary match of up to 1.5% is made based on company performance targets. The Company also has a defined-contribution saving plan for Canada-based employees. Canada-based eligible employees may contribute up to the current statutory limits for a Registered Retirement Savings Plan. Holley matches employee contributions to the Group Savings Plan up to 3.0% each pay period, and an additional discretionary match of up to 1.5% is made based on company performance targets.</w:t>
      </w:r>
    </w:p>
    <w:p>
      <w:pPr>
        <w:spacing w:after="0" w:line="17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During the 13-week periods ended March 30, 2025 and March 31, 2024, the Company made matching contributions under the savings plans totaling $612 and $616,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jc w:val="center"/>
        <w:spacing w:after="0" w:line="234" w:lineRule="auto"/>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operates as one operating segment. The Company's chief operating decision maker ("CODM") is its Chief Executive Officer, who reviews financial information presented on a consolidated basis. The CODM uses consolidated gross margin and net income to assess financial performance and allocate resources. These financial metrics are used by the CODM to make key operating decisions, such as the determination of the rate at which the Company seeks to grow gross margin and the allocation of budget between cost of revenues, sales and marketing, research and development, and general and administrative expenses.</w:t>
      </w:r>
    </w:p>
    <w:p>
      <w:pPr>
        <w:spacing w:after="0" w:line="16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following table presents selected financial information with respect to the Company’s single operating segment for the 13-week periods ended March 30, 2025 and March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00" w:type="dxa"/>
            <w:vAlign w:val="bottom"/>
          </w:tcPr>
          <w:p>
            <w:pPr>
              <w:spacing w:after="0"/>
              <w:rPr>
                <w:sz w:val="19"/>
                <w:szCs w:val="19"/>
                <w:color w:val="auto"/>
              </w:rPr>
            </w:pPr>
          </w:p>
        </w:tc>
        <w:tc>
          <w:tcPr>
            <w:tcW w:w="3240" w:type="dxa"/>
            <w:vAlign w:val="bottom"/>
            <w:gridSpan w:val="4"/>
          </w:tcPr>
          <w:p>
            <w:pPr>
              <w:ind w:left="40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80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March 30, 2025</w:t>
            </w: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March 31, 2024</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$ 153,044</w:t>
            </w: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$ 158,636</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88,956</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106,577</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64,088</w:t>
            </w: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52,059</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36,699</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32,996</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4,093</w:t>
            </w: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4,812</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3,532</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3,436</w:t>
            </w:r>
          </w:p>
        </w:tc>
      </w:tr>
      <w:tr>
        <w:trPr>
          <w:trHeight w:val="202"/>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615</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Other operating income</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r>
      <w:tr>
        <w:trPr>
          <w:trHeight w:val="196"/>
        </w:trPr>
        <w:tc>
          <w:tcPr>
            <w:tcW w:w="800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operating expense</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44,745</w:t>
            </w:r>
          </w:p>
        </w:tc>
        <w:tc>
          <w:tcPr>
            <w:tcW w:w="2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41,851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340"/>
              <w:spacing w:after="0" w:line="196" w:lineRule="exact"/>
              <w:rPr>
                <w:sz w:val="20"/>
                <w:szCs w:val="20"/>
                <w:color w:val="auto"/>
              </w:rPr>
            </w:pPr>
            <w:r>
              <w:rPr>
                <w:rFonts w:ascii="Arial" w:cs="Arial" w:eastAsia="Arial" w:hAnsi="Arial"/>
                <w:sz w:val="18"/>
                <w:szCs w:val="18"/>
                <w:color w:val="auto"/>
              </w:rPr>
              <w:t>Operating income</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19,343</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10,208</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(3,127)</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(649)</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6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141</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15,708</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11,004</w:t>
            </w:r>
          </w:p>
        </w:tc>
      </w:tr>
      <w:tr>
        <w:trPr>
          <w:trHeight w:val="202"/>
        </w:trPr>
        <w:tc>
          <w:tcPr>
            <w:tcW w:w="800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non-operating expense</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15,450</w:t>
            </w:r>
          </w:p>
        </w:tc>
        <w:tc>
          <w:tcPr>
            <w:tcW w:w="2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7,369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340"/>
              <w:spacing w:after="0" w:line="196" w:lineRule="exact"/>
              <w:rPr>
                <w:sz w:val="20"/>
                <w:szCs w:val="20"/>
                <w:color w:val="auto"/>
              </w:rPr>
            </w:pPr>
            <w:r>
              <w:rPr>
                <w:rFonts w:ascii="Arial" w:cs="Arial" w:eastAsia="Arial" w:hAnsi="Arial"/>
                <w:sz w:val="18"/>
                <w:szCs w:val="18"/>
                <w:color w:val="auto"/>
              </w:rPr>
              <w:t>Income before income taxes</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3,893</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2,839</w:t>
            </w:r>
          </w:p>
        </w:tc>
      </w:tr>
      <w:tr>
        <w:trPr>
          <w:trHeight w:val="203"/>
        </w:trPr>
        <w:tc>
          <w:tcPr>
            <w:tcW w:w="80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1,076</w:t>
            </w:r>
          </w:p>
        </w:tc>
        <w:tc>
          <w:tcPr>
            <w:tcW w:w="2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340"/>
              <w:spacing w:after="0" w:line="182" w:lineRule="exact"/>
              <w:rPr>
                <w:sz w:val="20"/>
                <w:szCs w:val="20"/>
                <w:color w:val="auto"/>
              </w:rPr>
            </w:pPr>
            <w:r>
              <w:rPr>
                <w:rFonts w:ascii="Arial" w:cs="Arial" w:eastAsia="Arial" w:hAnsi="Arial"/>
                <w:sz w:val="18"/>
                <w:szCs w:val="18"/>
                <w:color w:val="auto"/>
              </w:rPr>
              <w:t>Net income</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$ 2,817</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$ 3,730</w:t>
            </w:r>
          </w:p>
        </w:tc>
      </w:tr>
      <w:tr>
        <w:trPr>
          <w:trHeight w:val="20"/>
        </w:trPr>
        <w:tc>
          <w:tcPr>
            <w:tcW w:w="8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SUBSEQUENT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Subsequent to March 30, 2025, the Company settled a litigation case for $1,146, which will be paid during the second quarter of 2025.</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Unless the context requires otherwise, references to </w:t>
      </w:r>
      <w:r>
        <w:rPr>
          <w:rFonts w:ascii="Arial" w:cs="Arial" w:eastAsia="Arial" w:hAnsi="Arial"/>
          <w:sz w:val="18"/>
          <w:szCs w:val="18"/>
          <w:color w:val="auto"/>
        </w:rPr>
        <w:t>“</w:t>
      </w:r>
      <w:r>
        <w:rPr>
          <w:rFonts w:ascii="Arial" w:cs="Arial" w:eastAsia="Arial" w:hAnsi="Arial"/>
          <w:sz w:val="18"/>
          <w:szCs w:val="18"/>
          <w:i w:val="1"/>
          <w:iCs w:val="1"/>
          <w:color w:val="auto"/>
        </w:rPr>
        <w:t>Holley,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the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section are to the business and operations of Holley Inc. and its subsidiaries unless the context otherwise indicates. The following discussion and analysis should be read in conjunction with Holley</w:t>
      </w:r>
      <w:r>
        <w:rPr>
          <w:rFonts w:ascii="Arial" w:cs="Arial" w:eastAsia="Arial" w:hAnsi="Arial"/>
          <w:sz w:val="18"/>
          <w:szCs w:val="18"/>
          <w:color w:val="auto"/>
        </w:rPr>
        <w:t>’</w:t>
      </w:r>
      <w:r>
        <w:rPr>
          <w:rFonts w:ascii="Arial" w:cs="Arial" w:eastAsia="Arial" w:hAnsi="Arial"/>
          <w:sz w:val="18"/>
          <w:szCs w:val="18"/>
          <w:i w:val="1"/>
          <w:iCs w:val="1"/>
          <w:color w:val="auto"/>
        </w:rPr>
        <w:t>s condensed consolidated financial statements and related notes thereto included in this Quarterly Report on Form 10-Q. In addition to historical information, this discussion contains forward-looking statements that involve risks, uncertainties, and assumptions that could cause Holley</w:t>
      </w:r>
      <w:r>
        <w:rPr>
          <w:rFonts w:ascii="Arial" w:cs="Arial" w:eastAsia="Arial" w:hAnsi="Arial"/>
          <w:sz w:val="18"/>
          <w:szCs w:val="18"/>
          <w:color w:val="auto"/>
        </w:rPr>
        <w:t>’</w:t>
      </w:r>
      <w:r>
        <w:rPr>
          <w:rFonts w:ascii="Arial" w:cs="Arial" w:eastAsia="Arial" w:hAnsi="Arial"/>
          <w:sz w:val="18"/>
          <w:szCs w:val="18"/>
          <w:i w:val="1"/>
          <w:iCs w:val="1"/>
          <w:color w:val="auto"/>
        </w:rPr>
        <w:t>s actual results to differ materially from 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expectations. Factors that could cause such differences are discussed herein and under the caption,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 leading designer, marketer, and manufacturer of high performance automotive aftermarket products serving car and truck enthusiasts, with sales, processing, and distribution facilities reaching most major markets in the United States, Canada, Europe and China. We design, market, manufacture and distribute a diversified line of performance automotive products including fuel injection systems, tuners, exhaust products, carburetors, safety equipment and various other performance automotive products. Our products are designed to enhance street, off-road, recreational and competitive vehicle performance and safety.</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Innovation is at the core of our business and growth strategy. 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we have historically used strategic acquisitions to (i) expand our brand portfolio, (ii) enter new product categories and consumer segments, (iii) increase direct-to-consumer scale and connection, (iv) expand share in current product categories and (v) realize value-enhancing revenue and cost synergies. While we believe our business is positioned for continued organic growth, we intend to continue evaluating opportunities for strategic acquisitions that would complement our current business and expand our addressable target market.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above, under the caption, "Cautionary Note Regarding Forward-Looking Statements," in this Quarterly Report on Form 10-Q, under the caption, “Risk Factors,” in our Annual Report on Form 10-K for the year ended December 31, 2024, as filed with the SEC on March 14, 2025, and in our subsequent filings with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business and results of operations, financial condition, and liquidity are impacted by broad economic conditions, as well as by geopolitical events, including the conflict in Ukraine, the conflict in the Middle East, and the possible expansion of such conflicts and potential geopolitical consequences. Our business is impacted by various economic factors that affect both consumers and the automotive industry, including by not limited to inflation, fuel costs, wage rates, supply chain disruptions, hiring, and other economic conditions. In response to inflationary impacts and supply chain disruptions, we have attempted to minimize potential adverse impacts on our business with cost savings initiatives, price increases to customers, and increased attention to maintaining appropriate inventory levels in the distribution channel. Our profitability has been, and may continue to be, adversely affected by constrained consumer demand, a shift in sales to lower-margin products, and demands on our performance that increase our costs. Should the ongoing macroeconomic conditions not improve, or worsen, or if our attempt to mitigate the impact on our supply chain, operations and costs is not successful, our business, results of operations and financial condition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Tariffs and International Trade Policy on Our Operations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Since February 2025, the United States government has imposed new tariffs on imports from certain countries and regions, including China, Canada, Mexico and the European Union. In response, some foreign governments have implemented retaliatory measures. These developments have introduced new complexities to global supply chains; however, we believe Holley's business model and sourcing strategies have positioned us to manage these challenges effectively.</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believe that our international exposure is currently primarily centered in China, which remains a significant source of certain raw materials and components. Tariffs on Chinese imports have been a factor in our sourcing strategies for several years, and we have proactively developed and implemented plans to mitigate their impact. These initiatives include, but are not limited to, conducting a harmonized tariff code audit to ensure accurate classification and compliance and exploring direct shipping from suppliers to international customers to reduce tariff exposure on goods entering the United States. We continue to evaluate additional strategies to further minimize the impact of tariffs on our operations.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Because our production costs are primarily U.S.-based and we have a broad product portfolio with a strong concentration of manufacturing and sourcing in the United States, we believe our U.S. focus enables us to better manage and mitigate the impact of tariffs on pricing more effectively than competitors who are less diversified and more reliant on single-source imports from China. However, if current tariff levels are sustained or increased, there is a risk that our profitability, cash flows and estimates inherent in our financial statements could be negatively affected.</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continue to monitor international trade developments closely, including potential changes in tariff rates and the possibility of new exemptions or retaliatory actions, in order to analyze their impact on our business and identify possible</w:t>
      </w:r>
    </w:p>
    <w:p>
      <w:pPr>
        <w:jc w:val="both"/>
        <w:spacing w:after="0"/>
        <w:rPr>
          <w:sz w:val="20"/>
          <w:szCs w:val="20"/>
          <w:color w:val="auto"/>
        </w:rPr>
      </w:pPr>
      <w:r>
        <w:rPr>
          <w:rFonts w:ascii="Arial" w:cs="Arial" w:eastAsia="Arial" w:hAnsi="Arial"/>
          <w:sz w:val="18"/>
          <w:szCs w:val="18"/>
          <w:color w:val="auto"/>
        </w:rPr>
        <w:t>actions to minimize adverse effects. The extent and duration of these tariffs, as well as their broader impact on macroeconomic conditions and our business, remain uncertain and will depend on a variety of factors outside of our control. Nevertheless, we remain committed to optimizing our operations, managing costs and leveraging our diversified supply chain to minimize the impact of tariffs on our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ectPr>
          <w:pgSz w:w="11900" w:h="16838" w:orient="portrait"/>
          <w:cols w:equalWidth="0" w:num="1">
            <w:col w:w="11240"/>
          </w:cols>
          <w:pgMar w:left="320" w:top="121" w:right="339" w:bottom="95" w:gutter="0" w:footer="0" w:header="0"/>
        </w:sectPr>
      </w:pPr>
    </w:p>
    <w:bookmarkStart w:id="25" w:name="page26"/>
    <w:bookmarkEnd w:id="25"/>
    <w:p>
      <w:pPr>
        <w:jc w:val="both"/>
        <w:spacing w:after="0" w:line="252" w:lineRule="auto"/>
        <w:rPr>
          <w:sz w:val="20"/>
          <w:szCs w:val="20"/>
          <w:color w:val="auto"/>
        </w:rPr>
      </w:pPr>
      <w:r>
        <w:rPr>
          <w:rFonts w:ascii="Arial" w:cs="Arial" w:eastAsia="Arial" w:hAnsi="Arial"/>
          <w:sz w:val="18"/>
          <w:szCs w:val="18"/>
          <w:color w:val="auto"/>
        </w:rPr>
        <w:t>The principal activity from which we generate sales is the designing, marketing, manufacturing and distribution of performance after-market automotive parts for our end consumers. Sales are displayed net of rebates and sales returns allowances. Sales returns are recorded as a charge against gross sales in the period in which the related sales are recognized.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costs consist of payroll and related personnel expenses, IT and office services, office rent expense and professional services. In addition, self-insurance, advertising, research and development, outgoing shipping costs, pre-production and start-up costs are also included within selling, general, and administrative.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Restructuring costs include charges attributable to operational restructuring and integration activities, including professional and consulting services; termination related benefits; facilities relocation; and executive transition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expense consists of interest due on the indebtedness under our credit facilities. Interest is based on SOFR or the base rate, at the Company's election, plus the applicable margin rate. As of March 30, 2025, $559.3 million was outstanding under our Credit Agreement.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March 30, 2025 Compared With 13-Week Period Ended March 31, 2024</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presents Holley’s results of operations for the 13-week periods ended March 30, 2025 and March 31, 2024 (dollars in thousands):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For the thirteen weeks ended</w:t>
            </w:r>
          </w:p>
        </w:tc>
        <w:tc>
          <w:tcPr>
            <w:tcW w:w="1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77"/>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20"/>
              <w:spacing w:after="0" w:line="177" w:lineRule="exact"/>
              <w:rPr>
                <w:sz w:val="20"/>
                <w:szCs w:val="20"/>
                <w:color w:val="auto"/>
              </w:rPr>
            </w:pPr>
            <w:r>
              <w:rPr>
                <w:rFonts w:ascii="Arial" w:cs="Arial" w:eastAsia="Arial" w:hAnsi="Arial"/>
                <w:sz w:val="18"/>
                <w:szCs w:val="18"/>
                <w:color w:val="auto"/>
                <w:w w:val="99"/>
              </w:rPr>
              <w:t>March 30,</w:t>
            </w:r>
          </w:p>
        </w:tc>
        <w:tc>
          <w:tcPr>
            <w:tcW w:w="120" w:type="dxa"/>
            <w:vAlign w:val="bottom"/>
          </w:tcPr>
          <w:p>
            <w:pPr>
              <w:spacing w:after="0"/>
              <w:rPr>
                <w:sz w:val="15"/>
                <w:szCs w:val="15"/>
                <w:color w:val="auto"/>
              </w:rPr>
            </w:pPr>
          </w:p>
        </w:tc>
        <w:tc>
          <w:tcPr>
            <w:tcW w:w="1140" w:type="dxa"/>
            <w:vAlign w:val="bottom"/>
            <w:gridSpan w:val="2"/>
          </w:tcPr>
          <w:p>
            <w:pPr>
              <w:jc w:val="center"/>
              <w:ind w:right="300"/>
              <w:spacing w:after="0" w:line="177" w:lineRule="exact"/>
              <w:rPr>
                <w:sz w:val="20"/>
                <w:szCs w:val="20"/>
                <w:color w:val="auto"/>
              </w:rPr>
            </w:pPr>
            <w:r>
              <w:rPr>
                <w:rFonts w:ascii="Arial" w:cs="Arial" w:eastAsia="Arial" w:hAnsi="Arial"/>
                <w:sz w:val="18"/>
                <w:szCs w:val="18"/>
                <w:color w:val="auto"/>
                <w:w w:val="99"/>
              </w:rPr>
              <w:t>March 31,</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5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Change ($)</w:t>
            </w:r>
          </w:p>
        </w:tc>
        <w:tc>
          <w:tcPr>
            <w:tcW w:w="200" w:type="dxa"/>
            <w:vAlign w:val="bottom"/>
          </w:tcPr>
          <w:p>
            <w:pPr>
              <w:spacing w:after="0"/>
              <w:rPr>
                <w:sz w:val="19"/>
                <w:szCs w:val="19"/>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Change (%)</w:t>
            </w:r>
          </w:p>
        </w:tc>
        <w:tc>
          <w:tcPr>
            <w:tcW w:w="240" w:type="dxa"/>
            <w:vAlign w:val="bottom"/>
          </w:tcPr>
          <w:p>
            <w:pPr>
              <w:spacing w:after="0"/>
              <w:rPr>
                <w:sz w:val="19"/>
                <w:szCs w:val="19"/>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153,044</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158,636</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(5,592)</w:t>
            </w:r>
          </w:p>
        </w:tc>
        <w:tc>
          <w:tcPr>
            <w:tcW w:w="1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(3.5)%</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88,956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106,577</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(17,621)</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(16.5)%</w:t>
            </w:r>
          </w:p>
        </w:tc>
      </w:tr>
      <w:tr>
        <w:trPr>
          <w:trHeight w:val="20"/>
        </w:trPr>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64,088</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52,059</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12,029</w:t>
            </w: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23.1%</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36,699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32,996</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3,703</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11.2%</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4,093</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4,812</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(719)</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(14.9)%</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3,532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3,436</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96</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615</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(152)</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(24.7)%</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Other operating income</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
        </w:trPr>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19,343</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10,208</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9,135</w:t>
            </w: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89.5%</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(3,127)</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3,054</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(649)</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464</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141</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(141)</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15,708</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11,004</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4,704</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42.7%</w:t>
            </w:r>
          </w:p>
        </w:tc>
      </w:tr>
      <w:tr>
        <w:trPr>
          <w:trHeight w:val="20"/>
        </w:trPr>
        <w:tc>
          <w:tcPr>
            <w:tcW w:w="5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3,893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2,839</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1,054</w:t>
            </w:r>
          </w:p>
        </w:tc>
        <w:tc>
          <w:tcPr>
            <w:tcW w:w="1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37.1%</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1,076</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(891)</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1,967</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(220.8)%</w:t>
            </w:r>
          </w:p>
        </w:tc>
      </w:tr>
      <w:tr>
        <w:trPr>
          <w:trHeight w:val="20"/>
        </w:trPr>
        <w:tc>
          <w:tcPr>
            <w:tcW w:w="5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2,817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3,730</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(913)</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(24.5)%</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(99)</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53.2%</w:t>
            </w:r>
          </w:p>
        </w:tc>
      </w:tr>
      <w:tr>
        <w:trPr>
          <w:trHeight w:val="20"/>
        </w:trPr>
        <w:tc>
          <w:tcPr>
            <w:tcW w:w="5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5600" w:type="dxa"/>
            <w:vAlign w:val="bottom"/>
          </w:tcPr>
          <w:p>
            <w:pPr>
              <w:spacing w:after="0" w:line="182" w:lineRule="exact"/>
              <w:rPr>
                <w:sz w:val="20"/>
                <w:szCs w:val="20"/>
                <w:color w:val="auto"/>
              </w:rPr>
            </w:pPr>
            <w:r>
              <w:rPr>
                <w:rFonts w:ascii="Arial" w:cs="Arial" w:eastAsia="Arial" w:hAnsi="Arial"/>
                <w:sz w:val="18"/>
                <w:szCs w:val="18"/>
                <w:color w:val="auto"/>
              </w:rPr>
              <w:t>Total comprehensive income</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2,532</w:t>
            </w:r>
          </w:p>
        </w:tc>
        <w:tc>
          <w:tcPr>
            <w:tcW w:w="180" w:type="dxa"/>
            <w:vAlign w:val="bottom"/>
          </w:tcPr>
          <w:p>
            <w:pPr>
              <w:spacing w:after="0"/>
              <w:rPr>
                <w:sz w:val="17"/>
                <w:szCs w:val="17"/>
                <w:color w:val="auto"/>
              </w:rPr>
            </w:pPr>
          </w:p>
        </w:tc>
        <w:tc>
          <w:tcPr>
            <w:tcW w:w="120" w:type="dxa"/>
            <w:vAlign w:val="bottom"/>
          </w:tcPr>
          <w:p>
            <w:pPr>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3,544</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(1,012)</w:t>
            </w:r>
          </w:p>
        </w:tc>
        <w:tc>
          <w:tcPr>
            <w:tcW w:w="12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(28.6)%</w:t>
            </w: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Net sales for the 13-week period ended March 30, 2025 decreased $5.6 million, or 3.5%, to $153.0 million, as compared to $158.6 million for the 13-week period ended March 31, 2024. Lower sales volume resulted in a decrease of approximately $8.0 million, offset partially by improved price realization of approximately $2.4 million compared to the prior year period.</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table below presents our net sales for the 13-week periods ended March 30, 2025 and March 31, 2024, as well as sales related to divestitures and sales part of our strategic product rationalization project. The divestitures sales relate to divested businesses prior to the divestiture date. The divestitures include Detroit Speed Engineering, Gear FX and Proforged. The strategic product rationalization sales related to a 2024 initiative to discontinued stock keeping units ("SKUs").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5"/>
          </w:tcPr>
          <w:p>
            <w:pPr>
              <w:ind w:left="300"/>
              <w:spacing w:after="0"/>
              <w:rPr>
                <w:sz w:val="20"/>
                <w:szCs w:val="20"/>
                <w:color w:val="auto"/>
              </w:rPr>
            </w:pPr>
            <w:r>
              <w:rPr>
                <w:rFonts w:ascii="Arial" w:cs="Arial" w:eastAsia="Arial" w:hAnsi="Arial"/>
                <w:sz w:val="18"/>
                <w:szCs w:val="18"/>
                <w:color w:val="auto"/>
              </w:rPr>
              <w:t>For the thirteen weeks ended</w:t>
            </w:r>
          </w:p>
        </w:tc>
      </w:tr>
      <w:tr>
        <w:trPr>
          <w:trHeight w:val="209"/>
        </w:trPr>
        <w:tc>
          <w:tcPr>
            <w:tcW w:w="8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March 30, 2025</w:t>
            </w:r>
          </w:p>
        </w:tc>
        <w:tc>
          <w:tcPr>
            <w:tcW w:w="14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March 31, 2024</w:t>
            </w:r>
          </w:p>
        </w:tc>
        <w:tc>
          <w:tcPr>
            <w:tcW w:w="100" w:type="dxa"/>
            <w:vAlign w:val="bottom"/>
          </w:tcPr>
          <w:p>
            <w:pPr>
              <w:spacing w:after="0"/>
              <w:rPr>
                <w:sz w:val="18"/>
                <w:szCs w:val="18"/>
                <w:color w:val="auto"/>
              </w:rPr>
            </w:pPr>
          </w:p>
        </w:tc>
      </w:tr>
      <w:tr>
        <w:trPr>
          <w:trHeight w:val="196"/>
        </w:trPr>
        <w:tc>
          <w:tcPr>
            <w:tcW w:w="8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153,044</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158,636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Divestitures</w:t>
            </w:r>
          </w:p>
        </w:tc>
        <w:tc>
          <w:tcPr>
            <w:tcW w:w="100" w:type="dxa"/>
            <w:vAlign w:val="bottom"/>
          </w:tcPr>
          <w:p>
            <w:pPr>
              <w:spacing w:after="0"/>
              <w:rPr>
                <w:sz w:val="17"/>
                <w:szCs w:val="17"/>
                <w:color w:val="auto"/>
              </w:rPr>
            </w:pPr>
          </w:p>
        </w:tc>
        <w:tc>
          <w:tcPr>
            <w:tcW w:w="1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3,785</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Strategic Product Rationalization</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6,752</w:t>
            </w:r>
          </w:p>
        </w:tc>
      </w:tr>
    </w:tbl>
    <w:p>
      <w:pPr>
        <w:spacing w:after="0" w:line="184"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 of goods sold for the 13-week period ended March 30, 2025 decreased $17.6 million, or 16.5%, to $ 89.0 million, as compared to $106.6 million for the 13-week period ended March 31, 2024. The decrease in cost of goods sold in the first quarter of 2025, a period in which product sales decreased 3.5%, was due to the $9.1 million of product rationalization initiative in 2024. The initiative focused on eliminating unprofitable or slow-moving SKUs. Lower freight costs also contributed to the decrease.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profit for the 13-week period ended March 30, 2025 increased $12.0 million, or 23.1%, to $64.1 million, as compared to $52.1 million for the 13-week period ended March 31, 2024. Gross margin for the 13-week period ended March 30, 2025 was 41.9% as compared to a gross margin of 32.8% for the 13-week period ended March 31, 2024. Gross profit margin increased primarily due to inventory charges in 2024, driven by the product rationalization initiative. The increase was also due to improvements in freight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Selling, general and administrative costs for the 13-week period ended March 30, 2025 increased $3.7 million, or 11.2%, to $36.7 million, as compared to $33.0 million for the 13-week period ended March 31, 2024. Selling, general and administrative costs expressed as a percentage of sales increased to 24.0% for the 13-week period ended March 30, 2025 compared to 20.8% for the 13-week period ended March 31, 2024. The increase in selling, general and administrative costs was driven by $0.8 million of internal control related investments, $0.8 million of external sales support and $1.4 million related to the timing impact of marketing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costs for the 13-week period ended March 30, 2025 slightly decreased to $ 4.1 million as compared to $4.8 million for the 13-week period ended March 31, 2024, primarily due to headcount reductions, reflecting the implementation of resource allocation efforts in support of portfolio development optimization.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Amortization of intangible assets was $3.5 million for the 13-week period ended March 30, 2025 compared to $3.4 million for the 13-week period ended March 31,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Restructuring costs for the 13-week period ended March 30, 2025 decreased by $ 0.1 million to $0.5 million, as compared to $0.6 million for the 13-week period ended March 31, 2024, reflecting restructuring and integration activities associated with our implementation of resource allocation efforts in support of portfolio development optimization.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operating income for the 13-week period ended March 30, 2025 increased $9.1 million, or 89.5%, to $19.3 million, as compared to $10.2 million for the 13-week period ended March 31, 2024.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13-week periods ended March 30, 2025 and March 31, 2024, we recognized a gain of $0.1 million and $3.1 million, respectively. The warrant liability reflects the fair value of the Warrants issued in connection with the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13-week periods ended March 30, 2025 and March 31, 2024, we recognized a gain of $0.2 million and $0.6 million, respectively. The earn-out liability reflects the fair value of the unvested Earn-Out Shares resulting from the Business Combination.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Interest expense for the 13-week period ended March 30, 2025 increased $4.7 million, or 42.7%, to $15.7 million, as compared to $11.0 million for the 13-week period ended March 31, 2024, reflecting the negative impact of the interest rate collar. The Company recognized interest expense of $3.8 million and interest income of $2.3 million related to the interest rate collar for 13-week periods ended March 30, 2025 and March 31, 2024,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we recognized $3.9 million and $2.8 million of income before income taxes for the 13-week periods ended March 30, 2025 and March 31, 2024,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Income tax expense for the 13-week period ended March 30, 2025 was $1.1 million, as compared to income tax benefit of $0.9 million for the 13-week period ended March 31, 2024. Our effective tax rate for the 13-week period ended March 30, 2025 was 27.6%. The difference between the effective tax rate for the 13-week period ended March 30, 2025 and the federal statutory rate in 2025 was due to federal research and development tax credits, state taxes, the impact of foreign taxes in higher tax rate jurisdictions, and excess tax deficiencies from share-based compensation recognized during the period. The effective tax rate for the 13-week period ended March 31, 2024 was -31.4%. The difference between the effective tax rate and the federal statutory rate in 2024 was primarily due to permanent differences related to changes in fair value of the warrant and earn-out liabilities recognized during the period, federal research and development tax credits, and the impact of foreign taxes in higher tax rate jurisdictions. In addition, the Company incurred expenses related to product rationalization that were determined to be significant and infrequent in nature; therefore, the full tax benefit of these expenses was recorded during the quarter as a discrete adjustment.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factors described above, we recognized net income of $2.8 million and $3.7 million for the 13-week periods ended March 30, 2025 and March 31, 2024, respectively. Additionally, we recognized total comprehensive income of $ 2.5 million for the 13-week period ended March 30, 2025, as compared to total comprehensive income of $3.5 million for the 13-week period ended March 31, 2024. Comprehensive income includes the effect of foreign currency translation adjustments.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present certain information with respect to EBITDA, Adjusted EBITDA, Adjusted EBITDA Margin, Adjusted Net Income, Adjusted Diluted EPS, and Free Cash Flow as supplemental measures of our operating performance and believe that such non-GAAP financial measures are useful to investors in evaluating our financial performance and in comparing our financial results between periods because they exclude the impact of certain items that we do not consider indicative of our ongoing operating performance. We believe that the presentation of these non-GAAP financial measures enhances the usefulness of our financial information by presenting measures that management uses internally to establish forecasts, budgets and operational goals to manage and monitor our business. We believe that these non-GAAP financial measures help to depict a more realistic representation of the performance of our underlying business, enabling us to evaluate and plan more effectively for the future.</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EBITDA, Adjusted EBITDA, Adjusted EBITDA Margin, Adjusted Net Income, Adjusted Diluted EPS, and Free Cash Flow are not prepared in accordance with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our financial performance. These metrics should not be considered as alternatives to net income, gross profit, net cash provided by operating activities, or any other performance measures, as applicable, derived in accordance with GAAP.</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define EBITDA as earnings before depreciation, amortization of intangible assets, interest expense, and income tax expense. We define Adjusted EBITDA as EBITDA adjusted to exclude, to the extent applicable, acquisition and restructuring costs, which includes operational restructuring and integration activities, termination related benefits, facilities relocation, and executive transition costs; changes in the fair value of the warrant liability; changes in the fair value of the earn-out liability; equity-based compensation expense; loss on the early extinguishment of debt; notable items that we do not believe are reflective of our underlying operating performance, including litigation settlements and certain costs incurred for advisory services related to identifying performance initiatives; and other expenses or gains, which includes gains or losses from disposal of fixed assets, franchise taxes, and gains or losses from foreign currency transactions. We define Adjusted EBITDA Margin as Adjusted EBITDA divided by net sales.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unaudited table presents the reconciliation of net income, the most directly comparable GAAP measure, to EBITDA, Adjusted EBITDA, and Adjusted EBITDA Margin for the 13-week period ended March 30, 2025 and March 31, 2024 (dollars in thousands):</w:t>
      </w:r>
    </w:p>
    <w:p>
      <w:pPr>
        <w:spacing w:after="0" w:line="140"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gridSpan w:val="6"/>
          </w:tcPr>
          <w:p>
            <w:pPr>
              <w:jc w:val="right"/>
              <w:ind w:right="62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30, 2025</w:t>
            </w: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31, 2024</w:t>
            </w:r>
          </w:p>
        </w:tc>
        <w:tc>
          <w:tcPr>
            <w:tcW w:w="1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2,817</w:t>
            </w:r>
          </w:p>
        </w:tc>
        <w:tc>
          <w:tcPr>
            <w:tcW w:w="2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3,730</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Depreciation</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2,299</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2,464</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intangible assets</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3,532</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3,436</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expense, net</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15,708</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11,004</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Income tax expense (benefit)</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(891)</w:t>
            </w: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20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25,432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19,743</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(3,127)</w:t>
            </w: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Change in fair value of earn-out liability</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(649)</w:t>
            </w: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Equity-based compensation expense</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1,495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1,141</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Loss on early extinguishment of debt</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Restructuring costs</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463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Notable items</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3,100</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line="202" w:lineRule="exact"/>
              <w:rPr>
                <w:sz w:val="20"/>
                <w:szCs w:val="20"/>
                <w:color w:val="auto"/>
              </w:rPr>
            </w:pPr>
            <w:r>
              <w:rPr>
                <w:rFonts w:ascii="Arial" w:cs="Arial" w:eastAsia="Arial" w:hAnsi="Arial"/>
                <w:sz w:val="18"/>
                <w:szCs w:val="18"/>
                <w:color w:val="auto"/>
              </w:rPr>
              <w:t>Other income</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r>
      <w:tr>
        <w:trPr>
          <w:trHeight w:val="236"/>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Adjusted EBITDA</w:t>
            </w:r>
          </w:p>
        </w:tc>
        <w:tc>
          <w:tcPr>
            <w:tcW w:w="2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27,290</w:t>
            </w: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20,956</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260" w:type="dxa"/>
            <w:vAlign w:val="bottom"/>
          </w:tcPr>
          <w:p>
            <w:pPr>
              <w:spacing w:after="0" w:line="183" w:lineRule="exact"/>
              <w:rPr>
                <w:sz w:val="20"/>
                <w:szCs w:val="20"/>
                <w:color w:val="auto"/>
              </w:rPr>
            </w:pPr>
            <w:r>
              <w:rPr>
                <w:rFonts w:ascii="Arial" w:cs="Arial" w:eastAsia="Arial" w:hAnsi="Arial"/>
                <w:sz w:val="18"/>
                <w:szCs w:val="18"/>
                <w:color w:val="auto"/>
              </w:rPr>
              <w:t>Net sales</w:t>
            </w:r>
          </w:p>
        </w:tc>
        <w:tc>
          <w:tcPr>
            <w:tcW w:w="21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8"/>
                <w:szCs w:val="18"/>
                <w:color w:val="auto"/>
              </w:rPr>
              <w:t>153,044</w:t>
            </w:r>
          </w:p>
        </w:tc>
        <w:tc>
          <w:tcPr>
            <w:tcW w:w="200" w:type="dxa"/>
            <w:vAlign w:val="bottom"/>
          </w:tcPr>
          <w:p>
            <w:pPr>
              <w:spacing w:after="0"/>
              <w:rPr>
                <w:sz w:val="15"/>
                <w:szCs w:val="15"/>
                <w:color w:val="auto"/>
              </w:rPr>
            </w:pPr>
          </w:p>
        </w:tc>
        <w:tc>
          <w:tcPr>
            <w:tcW w:w="1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8"/>
                <w:szCs w:val="18"/>
                <w:color w:val="auto"/>
              </w:rPr>
              <w:t>158,636</w:t>
            </w:r>
          </w:p>
        </w:tc>
        <w:tc>
          <w:tcPr>
            <w:tcW w:w="1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margin</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39"/>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Adjusted EBITDA Margin</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13.2%</w:t>
            </w:r>
          </w:p>
        </w:tc>
      </w:tr>
    </w:tbl>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Adjusted EBITDA for 2024 includes the impact of a $9.1 million, non-cash charge related to a previously announced strategic product rationalization. For 2024, Adjusted EBITDA includes $2.1 million benefit also related to the strategic product rationalization, netting to $7.0 million non-cash charge.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define Adjusted Net Income as earnings excluding the after-tax effect of changes in the fair value of the warrant liability, changes in the fair value of the earn-out liability, and gain or loss on the early extinguishment of debt. We define Adjusted Diluted EPS as Adjusted Net Income on a per share basis. Management uses these measures to focus on on-going operations and believes that it is useful to investors because it enables them to perform meaningful comparisons of past and present consolidated operating results. We believe that using this information, along with net income and net income per diluted share, provides for a more complete analysis of the results of operations.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unaudited tables present the reconciliation of net income and net income per diluted share, the most directly comparable GAAP measures, to Adjusted Net Income and Adjusted Diluted EPS for the 13-week period ended March 30, 2025 and March 31, 2024 (dollars in thousands):</w:t>
      </w:r>
    </w:p>
    <w:p>
      <w:pPr>
        <w:spacing w:after="0" w:line="155"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March 30, 2025</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31, 2024</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3,730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40" w:type="dxa"/>
            <w:vAlign w:val="bottom"/>
          </w:tcPr>
          <w:p>
            <w:pPr>
              <w:spacing w:after="0" w:line="202" w:lineRule="exact"/>
              <w:rPr>
                <w:sz w:val="20"/>
                <w:szCs w:val="20"/>
                <w:color w:val="auto"/>
              </w:rPr>
            </w:pPr>
            <w:r>
              <w:rPr>
                <w:rFonts w:ascii="Arial" w:cs="Arial" w:eastAsia="Arial" w:hAnsi="Arial"/>
                <w:sz w:val="18"/>
                <w:szCs w:val="18"/>
                <w:color w:val="auto"/>
              </w:rPr>
              <w:t>Special items: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 for: Change in fair value of Warrant liability</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(3,127)</w:t>
            </w:r>
          </w:p>
        </w:tc>
      </w:tr>
      <w:tr>
        <w:trPr>
          <w:trHeight w:val="203"/>
        </w:trPr>
        <w:tc>
          <w:tcPr>
            <w:tcW w:w="20" w:type="dxa"/>
            <w:vAlign w:val="bottom"/>
          </w:tcPr>
          <w:p>
            <w:pPr>
              <w:spacing w:after="0"/>
              <w:rPr>
                <w:sz w:val="17"/>
                <w:szCs w:val="17"/>
                <w:color w:val="auto"/>
              </w:rPr>
            </w:pPr>
          </w:p>
        </w:tc>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Adjust for: Change in fair value of earn-out liability</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(649)</w:t>
            </w:r>
          </w:p>
        </w:tc>
      </w:tr>
      <w:tr>
        <w:trPr>
          <w:trHeight w:val="203"/>
        </w:trPr>
        <w:tc>
          <w:tcPr>
            <w:tcW w:w="20" w:type="dxa"/>
            <w:vAlign w:val="bottom"/>
          </w:tcPr>
          <w:p>
            <w:pPr>
              <w:spacing w:after="0"/>
              <w:rPr>
                <w:sz w:val="17"/>
                <w:szCs w:val="17"/>
                <w:color w:val="auto"/>
              </w:rPr>
            </w:pPr>
          </w:p>
        </w:tc>
        <w:tc>
          <w:tcPr>
            <w:tcW w:w="574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 for: Loss on early extinguishment of debt</w:t>
            </w:r>
          </w:p>
        </w:tc>
        <w:tc>
          <w:tcPr>
            <w:tcW w:w="1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5760" w:type="dxa"/>
            <w:vAlign w:val="bottom"/>
            <w:gridSpan w:val="2"/>
          </w:tcPr>
          <w:p>
            <w:pPr>
              <w:spacing w:after="0" w:line="182" w:lineRule="exact"/>
              <w:rPr>
                <w:sz w:val="20"/>
                <w:szCs w:val="20"/>
                <w:color w:val="auto"/>
              </w:rPr>
            </w:pPr>
            <w:r>
              <w:rPr>
                <w:rFonts w:ascii="Arial" w:cs="Arial" w:eastAsia="Arial" w:hAnsi="Arial"/>
                <w:sz w:val="18"/>
                <w:szCs w:val="18"/>
                <w:color w:val="auto"/>
              </w:rPr>
              <w:t>Adjusted Net Income (Loss)</w:t>
            </w:r>
          </w:p>
        </w:tc>
        <w:tc>
          <w:tcPr>
            <w:tcW w:w="17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2,559</w:t>
            </w:r>
          </w:p>
        </w:tc>
        <w:tc>
          <w:tcPr>
            <w:tcW w:w="120" w:type="dxa"/>
            <w:vAlign w:val="bottom"/>
          </w:tcPr>
          <w:p>
            <w:pPr>
              <w:spacing w:after="0"/>
              <w:rPr>
                <w:sz w:val="17"/>
                <w:szCs w:val="17"/>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color w:val="auto"/>
              </w:rPr>
              <w:t>For the thirteen weeks ended</w:t>
            </w:r>
          </w:p>
        </w:tc>
      </w:tr>
      <w:tr>
        <w:trPr>
          <w:trHeight w:val="196"/>
        </w:trPr>
        <w:tc>
          <w:tcPr>
            <w:tcW w:w="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March 30, 2025</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31, 2024</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diluted share</w:t>
            </w:r>
          </w:p>
        </w:tc>
        <w:tc>
          <w:tcPr>
            <w:tcW w:w="17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40" w:type="dxa"/>
            <w:vAlign w:val="bottom"/>
          </w:tcPr>
          <w:p>
            <w:pPr>
              <w:spacing w:after="0" w:line="202" w:lineRule="exact"/>
              <w:rPr>
                <w:sz w:val="20"/>
                <w:szCs w:val="20"/>
                <w:color w:val="auto"/>
              </w:rPr>
            </w:pPr>
            <w:r>
              <w:rPr>
                <w:rFonts w:ascii="Arial" w:cs="Arial" w:eastAsia="Arial" w:hAnsi="Arial"/>
                <w:sz w:val="18"/>
                <w:szCs w:val="18"/>
                <w:color w:val="auto"/>
              </w:rPr>
              <w:t>Special items: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 for: Change in fair value of Warrant liability</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20" w:type="dxa"/>
            <w:vAlign w:val="bottom"/>
          </w:tcPr>
          <w:p>
            <w:pPr>
              <w:spacing w:after="0"/>
              <w:rPr>
                <w:sz w:val="17"/>
                <w:szCs w:val="17"/>
                <w:color w:val="auto"/>
              </w:rPr>
            </w:pPr>
          </w:p>
        </w:tc>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Adjust for: Change in fair value of earn-out liability</w:t>
            </w:r>
          </w:p>
        </w:tc>
        <w:tc>
          <w:tcPr>
            <w:tcW w:w="1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Adjusted Diluted EPS</w:t>
            </w:r>
          </w:p>
        </w:tc>
        <w:tc>
          <w:tcPr>
            <w:tcW w:w="174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define Free Cash Flow as net cash provided by operating activities minus cash payments for capital expenditures, net of dispositions. Management believes providing Free Cash Flow is useful for investors to understand our performance and results of cash generation after making capital investments required to support ongoing business operations.</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unaudited table presents the reconciliation of net cash provided by operating activities, the most directly comparable GAAP measure, to Free Cash Flow for the 13-week period ended March 30, 2025 and March 31, 2024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6"/>
          </w:tcPr>
          <w:p>
            <w:pPr>
              <w:jc w:val="right"/>
              <w:ind w:right="540"/>
              <w:spacing w:after="0"/>
              <w:rPr>
                <w:sz w:val="20"/>
                <w:szCs w:val="20"/>
                <w:color w:val="auto"/>
              </w:rPr>
            </w:pPr>
            <w:r>
              <w:rPr>
                <w:rFonts w:ascii="Arial" w:cs="Arial" w:eastAsia="Arial" w:hAnsi="Arial"/>
                <w:sz w:val="18"/>
                <w:szCs w:val="18"/>
                <w:color w:val="auto"/>
              </w:rPr>
              <w:t>For the thirteen weeks 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March 30, 2025</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31, 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1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(7,850)</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18,843</w:t>
            </w: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380" w:type="dxa"/>
            <w:vAlign w:val="bottom"/>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(1,265)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438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the disposal of fixed assets</w:t>
            </w:r>
          </w:p>
        </w:tc>
        <w:tc>
          <w:tcPr>
            <w:tcW w:w="2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gridSpan w:val="2"/>
          </w:tcPr>
          <w:p>
            <w:pPr>
              <w:ind w:left="280"/>
              <w:spacing w:after="0" w:line="182" w:lineRule="exact"/>
              <w:rPr>
                <w:sz w:val="20"/>
                <w:szCs w:val="20"/>
                <w:color w:val="auto"/>
              </w:rPr>
            </w:pPr>
            <w:r>
              <w:rPr>
                <w:rFonts w:ascii="Arial" w:cs="Arial" w:eastAsia="Arial" w:hAnsi="Arial"/>
                <w:sz w:val="18"/>
                <w:szCs w:val="18"/>
                <w:color w:val="auto"/>
              </w:rPr>
              <w:t>Free Cash Flow</w:t>
            </w:r>
          </w:p>
        </w:tc>
        <w:tc>
          <w:tcPr>
            <w:tcW w:w="31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(10,830)</w:t>
            </w: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17,752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980" w:type="dxa"/>
            <w:vAlign w:val="bottom"/>
            <w:vMerge w:val="restart"/>
          </w:tcPr>
          <w:p>
            <w:pPr>
              <w:jc w:val="right"/>
              <w:ind w:right="1850"/>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00" w:type="dxa"/>
            <w:vAlign w:val="bottom"/>
            <w:tcBorders>
              <w:bottom w:val="single" w:sz="8" w:color="auto"/>
            </w:tcBorders>
          </w:tcPr>
          <w:p>
            <w:pPr>
              <w:spacing w:after="0"/>
              <w:rPr>
                <w:sz w:val="8"/>
                <w:szCs w:val="8"/>
                <w:color w:val="auto"/>
              </w:rPr>
            </w:pPr>
          </w:p>
        </w:tc>
        <w:tc>
          <w:tcPr>
            <w:tcW w:w="438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primary cash needs are to support working capital, capital expenditures, acquisitions, and debt repayments. We have generally financed our historical needs with operating cash flows, capital contributions and borrowings under our credit facilities. These sources of liquidity may be impacted by various factors, including demand for our products, investments made in acquired businesses, plant and equipment and other capital expenditures, and expenditures on general infrastructure and information technology.</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March 30, 2025, the Company had cash of $39.1 million and availability of $97.4 million under its revolving credit facility. The Company has a senior secured revolving credit facility with $100 million in borrowing capacity. As of March 30, 2025, the Company had $2.5 million in letters of credit outstanding under the revolving credit facility. In February 2023, the Company entered into an amendment to its Credit Agreement which, among other things, contains a minimum liquidity financial covenant of $45 million, which includes unrestricted cash and any available borrowing capacity under the revolving credit facility. The amendment also increased the Total Leverage Ratio applicable under the Credit Agreement as of the fiscal quarter ending April 2, 2023, to initially 7.25:1.00, and provides for modified step-down levels for such covenant thereafter through the fiscal quarter ending June 30, 2024. During the 13-week period ended March 30, 2025, the Company successfully exited the Covenant Relief Period.</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Company is obligated under various operating leases for facilities, equipment and automobiles with estimated lease payments of approximately $1.6 million, including short term leases, due during the remainder of fiscal year 2025.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in the Notes to the condensed consolidated financial statements included elsewhere in this Quarterly Report on Form 10-Q for additional information related to the Company’s lease obligations.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condensed consolidated financial statements included in this Quarterly Report on Form 10-Q for further detail of our credit facility and the timing of principal maturities. As of March 30, 2025, based on the then current weighted average interest rate of 8.2%, expected interest payments associated with outstanding debt totaled approximately $11.3 million for the remainder of fiscal year 2025.</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discussed under “Business Environment” above, although the future impact of supply chain disruptions and inflationary pressures are highly uncertain, we believe that cash generated through our current operating performance, and our operating plans, cash position, and borrowings available under our revolving credit facility, will be sufficient to satisfy our liquidity needs and capital expenditure requirements for the next 12 months and thereafter for the foreseeable future.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 (dollars in thousands):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March 30, 2025 Compared With 13-week Period Ended March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-118745</wp:posOffset>
            </wp:positionV>
            <wp:extent cx="677227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Cash flows used in investing activities</w:t>
      </w:r>
    </w:p>
    <w:p>
      <w:pPr>
        <w:ind w:left="340"/>
        <w:spacing w:after="0"/>
        <w:rPr>
          <w:sz w:val="20"/>
          <w:szCs w:val="20"/>
          <w:color w:val="auto"/>
        </w:rPr>
      </w:pPr>
      <w:r>
        <w:rPr>
          <w:rFonts w:ascii="Arial" w:cs="Arial" w:eastAsia="Arial" w:hAnsi="Arial"/>
          <w:sz w:val="18"/>
          <w:szCs w:val="18"/>
          <w:color w:val="auto"/>
        </w:rPr>
        <w:t>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77227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340" w:right="2660"/>
        <w:spacing w:after="0" w:line="297" w:lineRule="auto"/>
        <w:rPr>
          <w:sz w:val="20"/>
          <w:szCs w:val="20"/>
          <w:color w:val="auto"/>
        </w:rPr>
      </w:pPr>
      <w:r>
        <w:rPr>
          <w:rFonts w:ascii="Arial" w:cs="Arial" w:eastAsia="Arial" w:hAnsi="Arial"/>
          <w:sz w:val="18"/>
          <w:szCs w:val="18"/>
          <w:color w:val="auto"/>
        </w:rPr>
        <w:t>Effect of foreign currency rate fluctuations on cash 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-195580</wp:posOffset>
            </wp:positionV>
            <wp:extent cx="677227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thirty-nine weeks ended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jc w:val="right"/>
              <w:ind w:right="340"/>
              <w:spacing w:after="0" w:line="196" w:lineRule="exact"/>
              <w:rPr>
                <w:sz w:val="20"/>
                <w:szCs w:val="20"/>
                <w:color w:val="auto"/>
              </w:rPr>
            </w:pPr>
            <w:r>
              <w:rPr>
                <w:rFonts w:ascii="Arial" w:cs="Arial" w:eastAsia="Arial" w:hAnsi="Arial"/>
                <w:sz w:val="18"/>
                <w:szCs w:val="18"/>
                <w:color w:val="auto"/>
                <w:w w:val="99"/>
              </w:rPr>
              <w:t>March 30, 2025</w:t>
            </w: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March 31, 2024</w:t>
            </w:r>
          </w:p>
        </w:tc>
        <w:tc>
          <w:tcPr>
            <w:tcW w:w="60" w:type="dxa"/>
            <w:vAlign w:val="bottom"/>
          </w:tcPr>
          <w:p>
            <w:pPr>
              <w:spacing w:after="0"/>
              <w:rPr>
                <w:sz w:val="17"/>
                <w:szCs w:val="17"/>
                <w:color w:val="auto"/>
              </w:rPr>
            </w:pPr>
          </w:p>
        </w:tc>
      </w:tr>
      <w:tr>
        <w:trPr>
          <w:trHeight w:val="177"/>
        </w:trPr>
        <w:tc>
          <w:tcPr>
            <w:tcW w:w="1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(7,850)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18,843</w:t>
            </w:r>
          </w:p>
        </w:tc>
        <w:tc>
          <w:tcPr>
            <w:tcW w:w="60" w:type="dxa"/>
            <w:vAlign w:val="bottom"/>
          </w:tcPr>
          <w:p>
            <w:pPr>
              <w:spacing w:after="0"/>
              <w:rPr>
                <w:sz w:val="15"/>
                <w:szCs w:val="15"/>
                <w:color w:val="auto"/>
              </w:rPr>
            </w:pPr>
          </w:p>
        </w:tc>
      </w:tr>
      <w:tr>
        <w:trPr>
          <w:trHeight w:val="203"/>
        </w:trPr>
        <w:tc>
          <w:tcPr>
            <w:tcW w:w="120" w:type="dxa"/>
            <w:vAlign w:val="bottom"/>
          </w:tcPr>
          <w:p>
            <w:pPr>
              <w:spacing w:after="0"/>
              <w:rPr>
                <w:sz w:val="17"/>
                <w:szCs w:val="17"/>
                <w:color w:val="auto"/>
              </w:rPr>
            </w:pPr>
          </w:p>
        </w:tc>
        <w:tc>
          <w:tcPr>
            <w:tcW w:w="16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(7,740)</w:t>
            </w:r>
          </w:p>
        </w:tc>
        <w:tc>
          <w:tcPr>
            <w:tcW w:w="100" w:type="dxa"/>
            <w:vAlign w:val="bottom"/>
          </w:tcPr>
          <w:p>
            <w:pPr>
              <w:spacing w:after="0"/>
              <w:rPr>
                <w:sz w:val="17"/>
                <w:szCs w:val="17"/>
                <w:color w:val="auto"/>
              </w:rPr>
            </w:pP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(1,091)</w:t>
            </w:r>
          </w:p>
        </w:tc>
      </w:tr>
      <w:tr>
        <w:trPr>
          <w:trHeight w:val="203"/>
        </w:trPr>
        <w:tc>
          <w:tcPr>
            <w:tcW w:w="120" w:type="dxa"/>
            <w:vAlign w:val="bottom"/>
          </w:tcPr>
          <w:p>
            <w:pPr>
              <w:spacing w:after="0"/>
              <w:rPr>
                <w:sz w:val="17"/>
                <w:szCs w:val="17"/>
                <w:color w:val="auto"/>
              </w:rPr>
            </w:pPr>
          </w:p>
        </w:tc>
        <w:tc>
          <w:tcPr>
            <w:tcW w:w="16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(2,370)</w:t>
            </w:r>
          </w:p>
        </w:tc>
        <w:tc>
          <w:tcPr>
            <w:tcW w:w="100" w:type="dxa"/>
            <w:vAlign w:val="bottom"/>
          </w:tcPr>
          <w:p>
            <w:pPr>
              <w:spacing w:after="0"/>
              <w:rPr>
                <w:sz w:val="17"/>
                <w:szCs w:val="17"/>
                <w:color w:val="auto"/>
              </w:rPr>
            </w:pP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(17,669)</w:t>
            </w:r>
          </w:p>
        </w:tc>
      </w:tr>
      <w:tr>
        <w:trPr>
          <w:trHeight w:val="221"/>
        </w:trPr>
        <w:tc>
          <w:tcPr>
            <w:tcW w:w="1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941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196"/>
        </w:trPr>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(17,019)</w:t>
            </w:r>
          </w:p>
        </w:tc>
        <w:tc>
          <w:tcPr>
            <w:tcW w:w="18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c>
          <w:tcPr>
            <w:tcW w:w="60" w:type="dxa"/>
            <w:vAlign w:val="bottom"/>
          </w:tcPr>
          <w:p>
            <w:pPr>
              <w:spacing w:after="0"/>
              <w:rPr>
                <w:sz w:val="17"/>
                <w:szCs w:val="17"/>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2">
            <w:col w:w="6980" w:space="720"/>
            <w:col w:w="3540"/>
          </w:cols>
          <w:pgMar w:left="320" w:top="121" w:right="339" w:bottom="1440" w:gutter="0" w:footer="0" w:header="0"/>
          <w:type w:val="continuous"/>
        </w:sectPr>
      </w:pPr>
    </w:p>
    <w:p>
      <w:pPr>
        <w:jc w:val="both"/>
        <w:spacing w:after="0" w:line="24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for the 13-week period ended March 30, 2025 was $7.9 million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operating activities of $18.8 million for the 13-week period ended March 31, 2024. Significant changes in the year-over-year change in working capital activity included negative fluctuations in accounts receivable and accounts payable of $14.5 million and $13.7 million, respectively. Partially offsetting the decrease was a positive fluctuation from inventories of $3.3 million.</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for the 13-week periods ended March 30, 2025 and March 31, 2024 was $7.7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$1.1 million, respectively, due to the cash payments related to the acquisition of the perpetual license agreement with Cataclean in January 2025 and other capital expenditures.</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Cash used in financing activities for the 13-week period ended March 30, 2025 was $2.4 million, which primarily reflects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payments on long-term debt and deferred financing fees. Cash used in financing activities for the 13-week period ended March 31, 2024 was $17.7 million, which primarily reflects the repurchase of $15.0 million outstanding principal on the first lien term loan, principal payments on long-term debt.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judgements and assumptions that affect the reported amounts of assets, liabilities, sales, expenses and related disclosures. We evaluate our estimates, judgements and assumptions on an ongoing basis. Our estimates are based on historical experience and various other assumptions that we believe to be reasonable under the circumstances. Our actual results could differ from these estimates. For a discussion of our critical accounting estimates, refer to the section entitled “Critical Accounting Estimates” in our Annual Report on Form 10-K for the year ended December 31, 2024, as filed with the SEC on March 14, 2025. For further information see also Note 1, “</w:t>
      </w:r>
      <w:r>
        <w:rPr>
          <w:rFonts w:ascii="Arial" w:cs="Arial" w:eastAsia="Arial" w:hAnsi="Arial"/>
          <w:sz w:val="18"/>
          <w:szCs w:val="18"/>
          <w:i w:val="1"/>
          <w:iCs w:val="1"/>
          <w:color w:val="auto"/>
        </w:rPr>
        <w:t>Description of the Business, Basis of Presentation, and Summary of Significant Accounting Policies</w:t>
      </w:r>
      <w:r>
        <w:rPr>
          <w:rFonts w:ascii="Arial" w:cs="Arial" w:eastAsia="Arial" w:hAnsi="Arial"/>
          <w:sz w:val="18"/>
          <w:szCs w:val="18"/>
          <w:color w:val="auto"/>
        </w:rPr>
        <w:t>” in the Notes to the condensed consolidated financial statements included in this Quarterly Report on Form 10-Q. There have been no material changes to the Company’s critical accounting estimates included in our Annual Report on Form 10-K for the year ended December 31,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condensed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Quarterly Report on Form 10-Q.</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Holley is exposed to market risk in the normal course of business due to the Company’s ongoing investing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When appropriate, the Company uses derivative financial instruments to mitigate the risk from its interest rate exposure. The Company's interest rate collar is intended to mitigate some of the effects of increases in interest rates. As of March 30, 2025, a total of $559.3 million of term loan and revolver borrowings were subject to variable interest rates, with a weighted average borrowing rate of 8.2%. A hypothetical 100 basis point increase in interest rates would result in an approximately $0.6 million increase in annual interest expense, while a hypothetical 100 basis point decrease in interest rates would result in an approximately $5.6 million decrease to Holley’s annual interest expense.</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Credit and other Risks. </w:t>
      </w:r>
      <w:r>
        <w:rPr>
          <w:rFonts w:ascii="Arial" w:cs="Arial" w:eastAsia="Arial" w:hAnsi="Arial"/>
          <w:sz w:val="18"/>
          <w:szCs w:val="18"/>
          <w:color w:val="auto"/>
        </w:rPr>
        <w:t>Holley is exposed to credit risk associated with cash and cash equivalents and trade receivables. As of March 30,</w:t>
      </w:r>
      <w:r>
        <w:rPr>
          <w:rFonts w:ascii="Arial" w:cs="Arial" w:eastAsia="Arial" w:hAnsi="Arial"/>
          <w:sz w:val="18"/>
          <w:szCs w:val="18"/>
          <w:i w:val="1"/>
          <w:iCs w:val="1"/>
          <w:color w:val="auto"/>
        </w:rPr>
        <w:t xml:space="preserve"> </w:t>
      </w:r>
      <w:r>
        <w:rPr>
          <w:rFonts w:ascii="Arial" w:cs="Arial" w:eastAsia="Arial" w:hAnsi="Arial"/>
          <w:sz w:val="18"/>
          <w:szCs w:val="18"/>
          <w:color w:val="auto"/>
        </w:rPr>
        <w:t>2025, the majority of the Company’s cash and cash equivalents consisted of cash balances in an overnight sweep account where funds are transferred to an interest-bearing deposit account that is insured by the Federal Deposit Insurance Corporation ("FDIC"). The FDIC insures financial institution deposits up to $250 thousand. Holley maintains deposits in certain accounts which exceed the insurance coverage provided on such deposits. The Company does not believe that its cash equivalents present significant credit risks because the counterparties to the instruments consist of major financial institutions.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Exchange Rate Sensitivity. </w:t>
      </w:r>
      <w:r>
        <w:rPr>
          <w:rFonts w:ascii="Arial" w:cs="Arial" w:eastAsia="Arial" w:hAnsi="Arial"/>
          <w:sz w:val="18"/>
          <w:szCs w:val="18"/>
          <w:color w:val="auto"/>
        </w:rPr>
        <w:t>As of March 30, 2025, the Company is exposed to changes in foreign currency exchange rates. While historically</w:t>
      </w:r>
      <w:r>
        <w:rPr>
          <w:rFonts w:ascii="Arial" w:cs="Arial" w:eastAsia="Arial" w:hAnsi="Arial"/>
          <w:sz w:val="18"/>
          <w:szCs w:val="18"/>
          <w:i w:val="1"/>
          <w:iCs w:val="1"/>
          <w:color w:val="auto"/>
        </w:rPr>
        <w:t xml:space="preserve"> </w:t>
      </w:r>
      <w:r>
        <w:rPr>
          <w:rFonts w:ascii="Arial" w:cs="Arial" w:eastAsia="Arial" w:hAnsi="Arial"/>
          <w:sz w:val="18"/>
          <w:szCs w:val="18"/>
          <w:color w:val="auto"/>
        </w:rPr>
        <w:t>this exposure to changes in foreign currency exchange rates has not had a material effect on the Company’s financial condition or results of operations, foreign currency fluctuations could have a material adverse effect on business and results of operations in the future. Historically, Holley’s primary exposure has been related to transactions denominated in the Euro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Management, which includes our President, Chief Executive Officer and Chief Financial Officer, has evaluated the effectiveness of our disclosure controls and procedures (as defined in Rules 13a-15(e) and 15d-15(e) of the Securities Exchange Act of 1934, as amended (the “Exchange Act”)) as of the end of the period covered by this Annual Report.</w:t>
      </w:r>
    </w:p>
    <w:p>
      <w:pPr>
        <w:spacing w:after="0" w:line="15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management has evaluated the effectiveness of the design and operation of our disclosure controls and procedures as of March 30, 2025, the end of the period covered by this Quarterly Report on Form 10-Q. Based on such evaluation, our Chief Executive Officer and Chief Financial Officer have concluded that, as of such date, our disclosure controls and procedures were not effective because of a previously reported material weakness in our internal control over financial reporting, which we describe in Part II, Item 9A of our Form 10-K for the fiscal year ended December 31, 2024, and because of the material weakness affecting the fiscal quarter ended March 30, 2025 described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executive management and effected by our board of directors, to provide reasonable assurance regarding the reliability of financial reporting and the preparation of financial statements for external purposes in accordance with U.S. GAAP. Based on this assessment, our management has determined that our internal control over financial reporting was not effective as of March 30, 2025, due to the material weakness described below. A material weakness is a control deficiency or combination of deficiencies in internal control, such that there is a reasonable possibility that a material misstatement of the entity’s financial statements will not be prevented or detected and corrected on a timely basis.</w:t>
      </w:r>
    </w:p>
    <w:p>
      <w:pPr>
        <w:spacing w:after="0" w:line="167"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As disclosed in our Form 10-K, we concluded that we did not have sufficient resources with the appropriate accounting expertise that resulted in a lack of adequate controls with respect to the preparation and precision of review of reconciliations, manual journal entries and third-party reports supporting journal entries. Accordingly, management has determined that this control deficiency constituted a material weakness.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the Material Weakness</w:t>
      </w:r>
    </w:p>
    <w:p>
      <w:pPr>
        <w:spacing w:after="0" w:line="198" w:lineRule="exact"/>
        <w:rPr>
          <w:sz w:val="20"/>
          <w:szCs w:val="20"/>
          <w:color w:val="auto"/>
        </w:rPr>
      </w:pPr>
    </w:p>
    <w:p>
      <w:pPr>
        <w:ind w:right="580"/>
        <w:spacing w:after="0" w:line="275" w:lineRule="auto"/>
        <w:rPr>
          <w:sz w:val="20"/>
          <w:szCs w:val="20"/>
          <w:color w:val="auto"/>
        </w:rPr>
      </w:pPr>
      <w:r>
        <w:rPr>
          <w:rFonts w:ascii="Arial" w:cs="Arial" w:eastAsia="Arial" w:hAnsi="Arial"/>
          <w:sz w:val="17"/>
          <w:szCs w:val="17"/>
          <w:color w:val="auto"/>
        </w:rPr>
        <w:t>We have undertaken and are continuing to design and implement remediation measures intended to address the material weakness. Following the identification of the material weakness, and with the oversight of the Audit Committee of our Board of Directors, we have commenced and will continue to implement remediation efforts to enhance our environmental controls, which are described below.</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Hiring and augmenting our accounting team with knowledgeable and qualified accounting and finance professionals.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●Engaging a third-party expert to conduct an external evaluation, provide recommended options, support, and validate our approach.</w:t>
      </w:r>
    </w:p>
    <w:p>
      <w:pPr>
        <w:ind w:left="240" w:right="360" w:hanging="178"/>
        <w:spacing w:after="0" w:line="183" w:lineRule="auto"/>
        <w:tabs>
          <w:tab w:leader="none" w:pos="240" w:val="left"/>
        </w:tabs>
        <w:numPr>
          <w:ilvl w:val="0"/>
          <w:numId w:val="20"/>
        </w:numPr>
        <w:rPr>
          <w:rFonts w:ascii="Arial" w:cs="Arial" w:eastAsia="Arial" w:hAnsi="Arial"/>
          <w:sz w:val="30"/>
          <w:szCs w:val="30"/>
          <w:color w:val="auto"/>
          <w:vertAlign w:val="subscript"/>
        </w:rPr>
      </w:pPr>
      <w:r>
        <w:rPr>
          <w:rFonts w:ascii="Arial" w:cs="Arial" w:eastAsia="Arial" w:hAnsi="Arial"/>
          <w:sz w:val="16"/>
          <w:szCs w:val="16"/>
          <w:color w:val="auto"/>
        </w:rPr>
        <w:t>Enhancing related policies and process documentation, redesigning existing controls or implementing new controls, and improving the skills of process owners.</w:t>
      </w:r>
    </w:p>
    <w:p>
      <w:pPr>
        <w:spacing w:after="0" w:line="1" w:lineRule="exact"/>
        <w:rPr>
          <w:rFonts w:ascii="Arial" w:cs="Arial" w:eastAsia="Arial" w:hAnsi="Arial"/>
          <w:sz w:val="30"/>
          <w:szCs w:val="30"/>
          <w:color w:val="auto"/>
          <w:vertAlign w:val="subscript"/>
        </w:rPr>
      </w:pPr>
    </w:p>
    <w:p>
      <w:pPr>
        <w:ind w:left="240" w:hanging="178"/>
        <w:spacing w:after="0" w:line="234" w:lineRule="auto"/>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Implementation of a reconciliation and review tool.</w:t>
      </w:r>
    </w:p>
    <w:p>
      <w:pPr>
        <w:ind w:left="240" w:hanging="178"/>
        <w:spacing w:after="0" w:line="234" w:lineRule="auto"/>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Training process owners, evaluating the adoption of revised policies and procedures, and monitoring results.</w:t>
      </w:r>
    </w:p>
    <w:p>
      <w:pPr>
        <w:ind w:left="200" w:hanging="138"/>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and maintaining documentation to promote knowledge transfer upon personnel and function changes.</w:t>
      </w:r>
    </w:p>
    <w:p>
      <w:pPr>
        <w:sectPr>
          <w:pgSz w:w="11900" w:h="16838" w:orient="portrait"/>
          <w:cols w:equalWidth="0" w:num="1">
            <w:col w:w="11240"/>
          </w:cols>
          <w:pgMar w:left="320" w:top="121" w:right="339" w:bottom="79" w:gutter="0" w:footer="0" w:header="0"/>
        </w:sectPr>
      </w:pPr>
    </w:p>
    <w:bookmarkStart w:id="34" w:name="page35"/>
    <w:bookmarkEnd w:id="34"/>
    <w:p>
      <w:pPr>
        <w:spacing w:after="0" w:line="252" w:lineRule="auto"/>
        <w:rPr>
          <w:sz w:val="20"/>
          <w:szCs w:val="20"/>
          <w:color w:val="auto"/>
        </w:rPr>
      </w:pPr>
      <w:r>
        <w:rPr>
          <w:rFonts w:ascii="Arial" w:cs="Arial" w:eastAsia="Arial" w:hAnsi="Arial"/>
          <w:sz w:val="18"/>
          <w:szCs w:val="18"/>
          <w:color w:val="auto"/>
        </w:rPr>
        <w:t>We are committed to successfully implementing the remediation plan as promptly as possible and believe that these actions will remediate the material weakness. Our plans can only be accomplished over time, and we can offer no assurance that these initiatives will ultimately have the intended effects. See our Form 10-K Risk Factors for the year ended December 31, 2024, as filed with the SEC on March 14, 2025.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Our plans for remediating the material weaknesses described above will constitute changes in our internal control over financial reporting, prospectively, when such remediation plans are effectively implemented. There were no changes in our internal control over financial reporting, other than the remediation actions described below, that have materially affected, or are reasonably likely to materially affect, our internal control over financial reporting.</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See Litigation in Note 15 “Commitments and Contingencies” to the condensed consolidated financial statements, which is incorporated by reference in this Item 1. Legal Proceedings.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operate in a changing environment that involves numerous known and unknown risks and uncertainties that could materially affect our operations. Factors that could materially affect our actual results, levels of activity, performance or achievements include, but are not limited to, those under the caption “Risk Factors” included in our Annual Report on Form 10-K for the year ended December 31, 2024, as filed with the SEC on March 14, 2025. Such risks, uncertainties and other factors may cause our actual results, performance, and achievements to be materially different from those expressed or implied by our forward-looking statements. If any of these risks or events occur, our business, financial condition or results of operations may be adversely affected.</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significant tariffs or other restrictions are placed on products or materials we import, or any related counter-measures are taken by foreign countries, our revenue and results of operations may be materially harmed.</w:t>
      </w:r>
    </w:p>
    <w:p>
      <w:pPr>
        <w:spacing w:after="0" w:line="12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Tariffs and other trade restrictions—such as those imposed or threatened by the U.S. on goods from China and other countries—have increased uncertainty in global trade and may materially impact our operations. Several countries,</w:t>
      </w:r>
    </w:p>
    <w:p>
      <w:pPr>
        <w:jc w:val="both"/>
        <w:spacing w:after="0"/>
        <w:rPr>
          <w:sz w:val="20"/>
          <w:szCs w:val="20"/>
          <w:color w:val="auto"/>
        </w:rPr>
      </w:pPr>
      <w:r>
        <w:rPr>
          <w:rFonts w:ascii="Arial" w:cs="Arial" w:eastAsia="Arial" w:hAnsi="Arial"/>
          <w:sz w:val="18"/>
          <w:szCs w:val="18"/>
          <w:color w:val="auto"/>
        </w:rPr>
        <w:t>including China, have responded with retaliatory tariffs and other counter-measures, which could escalate further. These actions affect products and raw materials we import and may result in higher input costs, supply chain disruptions and reduced competitiveness. The extent of the impact on our financial condition and results of operations will depend on the scope and duration of these tariffs and related trade policies, as well as our ability to mitigate associated cost pressures.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Plans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fiscal quarter ended March 30, 2025, no director or Section 16 officer adopted or terminated any Rule 10b5-1 trading arrangements or non-Rule 10b5-1 trading arrangements (in each case, as defined in Item 408(a) of Regulation S-K).</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3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0"/>
        </w:trPr>
        <w:tc>
          <w:tcPr>
            <w:tcW w:w="140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5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9860" w:type="dxa"/>
            <w:vAlign w:val="bottom"/>
            <w:gridSpan w:val="13"/>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69"/>
        </w:trPr>
        <w:tc>
          <w:tcPr>
            <w:tcW w:w="13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60" w:type="dxa"/>
            <w:vAlign w:val="bottom"/>
            <w:tcBorders>
              <w:top w:val="single" w:sz="8" w:color="auto"/>
            </w:tcBorders>
            <w:gridSpan w:val="13"/>
          </w:tcPr>
          <w:p>
            <w:pPr>
              <w:spacing w:after="0" w:line="169" w:lineRule="exact"/>
              <w:rPr>
                <w:rFonts w:ascii="Arial" w:cs="Arial" w:eastAsia="Arial" w:hAnsi="Arial"/>
                <w:sz w:val="18"/>
                <w:szCs w:val="18"/>
                <w:color w:val="0000EE"/>
              </w:rPr>
            </w:pPr>
            <w:hyperlink r:id="rId39">
              <w:r>
                <w:rPr>
                  <w:rFonts w:ascii="Arial" w:cs="Arial" w:eastAsia="Arial" w:hAnsi="Arial"/>
                  <w:sz w:val="18"/>
                  <w:szCs w:val="18"/>
                  <w:color w:val="0000EE"/>
                </w:rPr>
                <w:t>Agreement and Plan of Merger, dated as of March 11, 2021, by and among Empower Ltd., Empower Merger Sub I Inc.,</w:t>
              </w:r>
            </w:hyperlink>
          </w:p>
        </w:tc>
        <w:tc>
          <w:tcPr>
            <w:tcW w:w="0" w:type="dxa"/>
            <w:vAlign w:val="bottom"/>
          </w:tcPr>
          <w:p>
            <w:pPr>
              <w:spacing w:after="0"/>
              <w:rPr>
                <w:sz w:val="1"/>
                <w:szCs w:val="1"/>
                <w:color w:val="auto"/>
              </w:rPr>
            </w:pPr>
          </w:p>
        </w:tc>
      </w:tr>
      <w:tr>
        <w:trPr>
          <w:trHeight w:val="182"/>
        </w:trPr>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rPr>
            </w:pPr>
            <w:hyperlink r:id="rId39">
              <w:r>
                <w:rPr>
                  <w:rFonts w:ascii="Arial" w:cs="Arial" w:eastAsia="Arial" w:hAnsi="Arial"/>
                  <w:sz w:val="18"/>
                  <w:szCs w:val="18"/>
                  <w:color w:val="0000EE"/>
                </w:rPr>
                <w:t>Empower Merger Sub II LLC and Holley Intermediate Holdings, Inc. (incorporated by reference to Exhibit 2.1 to the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0" w:type="dxa"/>
            <w:vAlign w:val="bottom"/>
            <w:gridSpan w:val="10"/>
          </w:tcPr>
          <w:p>
            <w:pPr>
              <w:spacing w:after="0" w:line="182" w:lineRule="exact"/>
              <w:rPr>
                <w:rFonts w:ascii="Arial" w:cs="Arial" w:eastAsia="Arial" w:hAnsi="Arial"/>
                <w:sz w:val="18"/>
                <w:szCs w:val="18"/>
                <w:color w:val="0000EE"/>
              </w:rPr>
            </w:pPr>
            <w:hyperlink r:id="rId39">
              <w:r>
                <w:rPr>
                  <w:rFonts w:ascii="Arial" w:cs="Arial" w:eastAsia="Arial" w:hAnsi="Arial"/>
                  <w:sz w:val="18"/>
                  <w:szCs w:val="18"/>
                  <w:color w:val="0000EE"/>
                </w:rPr>
                <w:t>Company’s Current Report on Form 8-K, filed with the SEC on March 12,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60" w:type="dxa"/>
            <w:vAlign w:val="bottom"/>
            <w:gridSpan w:val="13"/>
          </w:tcPr>
          <w:p>
            <w:pPr>
              <w:spacing w:after="0" w:line="182" w:lineRule="exact"/>
              <w:rPr>
                <w:rFonts w:ascii="Arial" w:cs="Arial" w:eastAsia="Arial" w:hAnsi="Arial"/>
                <w:sz w:val="18"/>
                <w:szCs w:val="18"/>
                <w:color w:val="0000EE"/>
              </w:rPr>
            </w:pPr>
            <w:hyperlink r:id="rId40">
              <w:r>
                <w:rPr>
                  <w:rFonts w:ascii="Arial" w:cs="Arial" w:eastAsia="Arial" w:hAnsi="Arial"/>
                  <w:sz w:val="18"/>
                  <w:szCs w:val="18"/>
                  <w:color w:val="0000EE"/>
                </w:rPr>
                <w:t>Certificate of Incorporation of the Company, dated July 16, 2021 (incorporated by reference to Exhibit 3.1 of the</w:t>
              </w:r>
            </w:hyperlink>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2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40">
              <w:r>
                <w:rPr>
                  <w:rFonts w:ascii="Arial" w:cs="Arial" w:eastAsia="Arial" w:hAnsi="Arial"/>
                  <w:sz w:val="18"/>
                  <w:szCs w:val="18"/>
                  <w:color w:val="0000EE"/>
                </w:rPr>
                <w:t>Company’s Current Report on Form 8-K, filed with the SEC on July 21,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8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r:id="rId41">
              <w:r>
                <w:rPr>
                  <w:rFonts w:ascii="Arial" w:cs="Arial" w:eastAsia="Arial" w:hAnsi="Arial"/>
                  <w:sz w:val="18"/>
                  <w:szCs w:val="18"/>
                  <w:color w:val="0000EE"/>
                </w:rPr>
                <w:t>Amended and Restated By-Laws of the Company, dated August 8, 2023</w:t>
              </w:r>
            </w:hyperlink>
          </w:p>
        </w:tc>
        <w:tc>
          <w:tcPr>
            <w:tcW w:w="3680" w:type="dxa"/>
            <w:vAlign w:val="bottom"/>
            <w:gridSpan w:val="10"/>
          </w:tcPr>
          <w:p>
            <w:pPr>
              <w:spacing w:after="0" w:line="182" w:lineRule="exact"/>
              <w:rPr>
                <w:rFonts w:ascii="Arial" w:cs="Arial" w:eastAsia="Arial" w:hAnsi="Arial"/>
                <w:sz w:val="18"/>
                <w:szCs w:val="18"/>
                <w:color w:val="0000EE"/>
                <w:w w:val="98"/>
              </w:rPr>
            </w:pPr>
            <w:hyperlink r:id="rId41">
              <w:r>
                <w:rPr>
                  <w:rFonts w:ascii="Arial" w:cs="Arial" w:eastAsia="Arial" w:hAnsi="Arial"/>
                  <w:sz w:val="18"/>
                  <w:szCs w:val="18"/>
                  <w:color w:val="0000EE"/>
                  <w:w w:val="98"/>
                </w:rPr>
                <w:t>(incorporated by reference to Exhibit 3.1 of the</w:t>
              </w:r>
            </w:hyperlink>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41">
              <w:r>
                <w:rPr>
                  <w:rFonts w:ascii="Arial" w:cs="Arial" w:eastAsia="Arial" w:hAnsi="Arial"/>
                  <w:sz w:val="18"/>
                  <w:szCs w:val="18"/>
                  <w:color w:val="0000EE"/>
                </w:rPr>
                <w:t>Company’s Current Report on Form 8-K, filed with the SEC on August 9, 2023).</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36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Cataclean License and Distribution Agreement</w:t>
            </w: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97"/>
              </w:rPr>
              <w:t>Certification of Chief Executive Officer pursuant</w:t>
            </w:r>
          </w:p>
        </w:tc>
        <w:tc>
          <w:tcPr>
            <w:tcW w:w="6160" w:type="dxa"/>
            <w:vAlign w:val="bottom"/>
            <w:gridSpan w:val="12"/>
          </w:tcPr>
          <w:p>
            <w:pPr>
              <w:ind w:left="120"/>
              <w:spacing w:after="0" w:line="182" w:lineRule="exact"/>
              <w:rPr>
                <w:sz w:val="20"/>
                <w:szCs w:val="20"/>
                <w:color w:val="auto"/>
              </w:rPr>
            </w:pPr>
            <w:r>
              <w:rPr>
                <w:rFonts w:ascii="Arial" w:cs="Arial" w:eastAsia="Arial" w:hAnsi="Arial"/>
                <w:sz w:val="18"/>
                <w:szCs w:val="18"/>
                <w:color w:val="0000EE"/>
              </w:rPr>
              <w:t>to Rules 13a-14(a) and 15d-14(a) of the Exchange Act</w:t>
            </w:r>
          </w:p>
        </w:tc>
        <w:tc>
          <w:tcPr>
            <w:tcW w:w="0" w:type="dxa"/>
            <w:vAlign w:val="bottom"/>
          </w:tcPr>
          <w:p>
            <w:pPr>
              <w:spacing w:after="0"/>
              <w:rPr>
                <w:sz w:val="1"/>
                <w:szCs w:val="1"/>
                <w:color w:val="auto"/>
              </w:rPr>
            </w:pPr>
          </w:p>
        </w:tc>
      </w:tr>
      <w:tr>
        <w:trPr>
          <w:trHeight w:val="183"/>
        </w:trPr>
        <w:tc>
          <w:tcPr>
            <w:tcW w:w="138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2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Certification of Chief Financial Officer Pursuant to Rules 13a-14(a) and 15d-14(a) of the Exchange Act</w:t>
            </w:r>
          </w:p>
        </w:tc>
        <w:tc>
          <w:tcPr>
            <w:tcW w:w="40" w:type="dxa"/>
            <w:vAlign w:val="bottom"/>
            <w:tcBorders>
              <w:top w:val="single" w:sz="8" w:color="0000EE"/>
            </w:tcBorders>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60" w:type="dxa"/>
            <w:vAlign w:val="bottom"/>
            <w:gridSpan w:val="13"/>
          </w:tcPr>
          <w:p>
            <w:pPr>
              <w:spacing w:after="0" w:line="182" w:lineRule="exact"/>
              <w:rPr>
                <w:sz w:val="20"/>
                <w:szCs w:val="20"/>
                <w:color w:val="auto"/>
              </w:rPr>
            </w:pPr>
            <w:r>
              <w:rPr>
                <w:rFonts w:ascii="Arial" w:cs="Arial" w:eastAsia="Arial" w:hAnsi="Arial"/>
                <w:sz w:val="18"/>
                <w:szCs w:val="18"/>
                <w:color w:val="0000EE"/>
              </w:rPr>
              <w:t>Certification of Chief Executive Officer pursuant to Rule 13a-14(b) of the Exchange Act and 18 U.S.C. 1350, as adopted</w:t>
            </w:r>
          </w:p>
        </w:tc>
        <w:tc>
          <w:tcPr>
            <w:tcW w:w="0" w:type="dxa"/>
            <w:vAlign w:val="bottom"/>
          </w:tcPr>
          <w:p>
            <w:pPr>
              <w:spacing w:after="0"/>
              <w:rPr>
                <w:sz w:val="1"/>
                <w:szCs w:val="1"/>
                <w:color w:val="auto"/>
              </w:rPr>
            </w:pPr>
          </w:p>
        </w:tc>
      </w:tr>
      <w:tr>
        <w:trPr>
          <w:trHeight w:val="183"/>
        </w:trPr>
        <w:tc>
          <w:tcPr>
            <w:tcW w:w="138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pursuant to Section 906 of the Sarbanes-Oxley Act of 2002</w:t>
            </w:r>
          </w:p>
        </w:tc>
        <w:tc>
          <w:tcPr>
            <w:tcW w:w="5040" w:type="dxa"/>
            <w:vAlign w:val="bottom"/>
            <w:tcBorders>
              <w:top w:val="single" w:sz="8" w:color="0000EE"/>
            </w:tcBorders>
            <w:gridSpan w:val="5"/>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60" w:type="dxa"/>
            <w:vAlign w:val="bottom"/>
            <w:gridSpan w:val="13"/>
          </w:tcPr>
          <w:p>
            <w:pPr>
              <w:spacing w:after="0" w:line="182" w:lineRule="exact"/>
              <w:rPr>
                <w:sz w:val="20"/>
                <w:szCs w:val="20"/>
                <w:color w:val="auto"/>
              </w:rPr>
            </w:pPr>
            <w:r>
              <w:rPr>
                <w:rFonts w:ascii="Arial" w:cs="Arial" w:eastAsia="Arial" w:hAnsi="Arial"/>
                <w:sz w:val="18"/>
                <w:szCs w:val="18"/>
                <w:color w:val="0000EE"/>
              </w:rPr>
              <w:t>Certification of Chief Financial Officer pursuant to Rule 13a-14(b) of the Exchange Act and 18 U.S.C. 1350, as adopted</w:t>
            </w:r>
          </w:p>
        </w:tc>
        <w:tc>
          <w:tcPr>
            <w:tcW w:w="0" w:type="dxa"/>
            <w:vAlign w:val="bottom"/>
          </w:tcPr>
          <w:p>
            <w:pPr>
              <w:spacing w:after="0"/>
              <w:rPr>
                <w:sz w:val="1"/>
                <w:szCs w:val="1"/>
                <w:color w:val="auto"/>
              </w:rPr>
            </w:pPr>
          </w:p>
        </w:tc>
      </w:tr>
      <w:tr>
        <w:trPr>
          <w:trHeight w:val="183"/>
        </w:trPr>
        <w:tc>
          <w:tcPr>
            <w:tcW w:w="1500" w:type="dxa"/>
            <w:vAlign w:val="bottom"/>
            <w:gridSpan w:val="3"/>
            <w:vMerge w:val="restart"/>
          </w:tcPr>
          <w:p>
            <w:pPr>
              <w:spacing w:after="0"/>
              <w:rPr>
                <w:sz w:val="20"/>
                <w:szCs w:val="20"/>
                <w:color w:val="auto"/>
              </w:rPr>
            </w:pPr>
            <w:r>
              <w:rPr>
                <w:rFonts w:ascii="Arial" w:cs="Arial" w:eastAsia="Arial" w:hAnsi="Arial"/>
                <w:sz w:val="18"/>
                <w:szCs w:val="18"/>
                <w:color w:val="auto"/>
              </w:rPr>
              <w:t>101.INS</w:t>
            </w:r>
          </w:p>
        </w:tc>
        <w:tc>
          <w:tcPr>
            <w:tcW w:w="98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pursuant to Section 906 of the Sarbanes-Oxley Act of 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00" w:type="dxa"/>
            <w:vAlign w:val="bottom"/>
            <w:gridSpan w:val="3"/>
            <w:vMerge w:val="continue"/>
          </w:tcPr>
          <w:p>
            <w:pPr>
              <w:spacing w:after="0"/>
              <w:rPr>
                <w:sz w:val="16"/>
                <w:szCs w:val="16"/>
                <w:color w:val="auto"/>
              </w:rPr>
            </w:pPr>
          </w:p>
        </w:tc>
        <w:tc>
          <w:tcPr>
            <w:tcW w:w="4700" w:type="dxa"/>
            <w:vAlign w:val="bottom"/>
            <w:tcBorders>
              <w:top w:val="single" w:sz="8" w:color="0000EE"/>
            </w:tcBorders>
            <w:gridSpan w:val="2"/>
          </w:tcPr>
          <w:p>
            <w:pPr>
              <w:spacing w:after="0" w:line="191" w:lineRule="exact"/>
              <w:rPr>
                <w:sz w:val="20"/>
                <w:szCs w:val="20"/>
                <w:color w:val="auto"/>
              </w:rPr>
            </w:pPr>
            <w:r>
              <w:rPr>
                <w:rFonts w:ascii="Arial" w:cs="Arial" w:eastAsia="Arial" w:hAnsi="Arial"/>
                <w:sz w:val="18"/>
                <w:szCs w:val="18"/>
                <w:color w:val="auto"/>
              </w:rPr>
              <w:t>Inline XBRL Instance Document - the instance document</w:t>
            </w:r>
          </w:p>
        </w:tc>
        <w:tc>
          <w:tcPr>
            <w:tcW w:w="5160" w:type="dxa"/>
            <w:vAlign w:val="bottom"/>
            <w:gridSpan w:val="11"/>
          </w:tcPr>
          <w:p>
            <w:pPr>
              <w:spacing w:after="0" w:line="191" w:lineRule="exact"/>
              <w:rPr>
                <w:sz w:val="20"/>
                <w:szCs w:val="20"/>
                <w:color w:val="auto"/>
              </w:rPr>
            </w:pPr>
            <w:r>
              <w:rPr>
                <w:rFonts w:ascii="Arial" w:cs="Arial" w:eastAsia="Arial" w:hAnsi="Arial"/>
                <w:sz w:val="18"/>
                <w:szCs w:val="18"/>
                <w:color w:val="auto"/>
              </w:rPr>
              <w:t>does not appear in the Interactive Data File because its XBRL</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3"/>
          </w:tcPr>
          <w:p>
            <w:pPr>
              <w:spacing w:after="0" w:line="202" w:lineRule="exact"/>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203"/>
        </w:trPr>
        <w:tc>
          <w:tcPr>
            <w:tcW w:w="1500" w:type="dxa"/>
            <w:vAlign w:val="bottom"/>
            <w:gridSpan w:val="3"/>
          </w:tcPr>
          <w:p>
            <w:pPr>
              <w:spacing w:after="0" w:line="202" w:lineRule="exact"/>
              <w:rPr>
                <w:sz w:val="20"/>
                <w:szCs w:val="20"/>
                <w:color w:val="auto"/>
              </w:rPr>
            </w:pPr>
            <w:r>
              <w:rPr>
                <w:rFonts w:ascii="Arial" w:cs="Arial" w:eastAsia="Arial" w:hAnsi="Arial"/>
                <w:sz w:val="18"/>
                <w:szCs w:val="18"/>
                <w:color w:val="auto"/>
              </w:rPr>
              <w:t>101.SCH</w:t>
            </w:r>
          </w:p>
        </w:tc>
        <w:tc>
          <w:tcPr>
            <w:tcW w:w="986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500" w:type="dxa"/>
            <w:vAlign w:val="bottom"/>
            <w:gridSpan w:val="3"/>
          </w:tcPr>
          <w:p>
            <w:pPr>
              <w:spacing w:after="0" w:line="202" w:lineRule="exact"/>
              <w:rPr>
                <w:sz w:val="20"/>
                <w:szCs w:val="20"/>
                <w:color w:val="auto"/>
              </w:rPr>
            </w:pPr>
            <w:r>
              <w:rPr>
                <w:rFonts w:ascii="Arial" w:cs="Arial" w:eastAsia="Arial" w:hAnsi="Arial"/>
                <w:sz w:val="18"/>
                <w:szCs w:val="18"/>
                <w:color w:val="auto"/>
              </w:rPr>
              <w:t>101.CAL</w:t>
            </w:r>
          </w:p>
        </w:tc>
        <w:tc>
          <w:tcPr>
            <w:tcW w:w="986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500" w:type="dxa"/>
            <w:vAlign w:val="bottom"/>
            <w:gridSpan w:val="3"/>
          </w:tcPr>
          <w:p>
            <w:pPr>
              <w:spacing w:after="0" w:line="202" w:lineRule="exact"/>
              <w:rPr>
                <w:sz w:val="20"/>
                <w:szCs w:val="20"/>
                <w:color w:val="auto"/>
              </w:rPr>
            </w:pPr>
            <w:r>
              <w:rPr>
                <w:rFonts w:ascii="Arial" w:cs="Arial" w:eastAsia="Arial" w:hAnsi="Arial"/>
                <w:sz w:val="18"/>
                <w:szCs w:val="18"/>
                <w:color w:val="auto"/>
              </w:rPr>
              <w:t>101.DEF</w:t>
            </w:r>
          </w:p>
        </w:tc>
        <w:tc>
          <w:tcPr>
            <w:tcW w:w="986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500" w:type="dxa"/>
            <w:vAlign w:val="bottom"/>
            <w:gridSpan w:val="3"/>
          </w:tcPr>
          <w:p>
            <w:pPr>
              <w:spacing w:after="0" w:line="202" w:lineRule="exact"/>
              <w:rPr>
                <w:sz w:val="20"/>
                <w:szCs w:val="20"/>
                <w:color w:val="auto"/>
              </w:rPr>
            </w:pPr>
            <w:r>
              <w:rPr>
                <w:rFonts w:ascii="Arial" w:cs="Arial" w:eastAsia="Arial" w:hAnsi="Arial"/>
                <w:sz w:val="18"/>
                <w:szCs w:val="18"/>
                <w:color w:val="auto"/>
              </w:rPr>
              <w:t>101.LAB</w:t>
            </w:r>
          </w:p>
        </w:tc>
        <w:tc>
          <w:tcPr>
            <w:tcW w:w="986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1"/>
        </w:trPr>
        <w:tc>
          <w:tcPr>
            <w:tcW w:w="15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500" w:hanging="1492"/>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 in Exhibit 101)</w:t>
      </w:r>
    </w:p>
    <w:p>
      <w:pPr>
        <w:spacing w:after="0" w:line="38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Holley Inc.</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Jesse Weaver</w:t>
      </w:r>
    </w:p>
    <w:p>
      <w:pPr>
        <w:ind w:left="6760"/>
        <w:spacing w:after="0"/>
        <w:rPr>
          <w:sz w:val="20"/>
          <w:szCs w:val="20"/>
          <w:color w:val="auto"/>
        </w:rPr>
      </w:pPr>
      <w:r>
        <w:rPr>
          <w:rFonts w:ascii="Arial" w:cs="Arial" w:eastAsia="Arial" w:hAnsi="Arial"/>
          <w:sz w:val="18"/>
          <w:szCs w:val="18"/>
          <w:color w:val="auto"/>
        </w:rPr>
        <w:t>Chief Financial Officer (Duly Authorized Officer)</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May 7, 2025</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1" w:right="3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AND DISTRBUTION AGREEMENT</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License and Distribution Agreement (together with all of its schedules, this “Agreement”) is made and entered into as of the Effective Date, by and between Cataclean Global Limited, a limited liability company organized under the laws of England and Wales with a principal place of business at Cataclean House, 30-48 Wellington Employment Park, 34 Dunes Way, Liverpool, United Kingdom ("Licensor") and Holley Performance Products Inc., 2445 Nashville Road, Suite B1, Bowling Green, Kentucky 42101 ("Licensee"), each also referred to herein individually as a "Party" or collectively as the "Parties," and supersedes all prior agreements between the parties relating to the subject matter 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RECITALS</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WHEREAS, Licensor wishes to grant an exclusive license to the Intellectual Property (as defined below) to Licensee for the purpose of development, manufacturing, marketing and sale of the product defined below; and</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WHEREAS, Licensee wishes to receive such license to the Intellectual Property in order to engage in the development, manufacture, marketing and sale of the Product.</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NOW THEREFORE, in consideration of the mutual promises, covenants, and conditions contained herein, and for other valuable consideration, the receipt and sufficiency of which are hereby acknowledged, the Parties agree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1.1. “Affiliate” means and shall include 1) any entity that directly controls a Party to this Agreement, </w:t>
      </w:r>
      <w:r>
        <w:rPr>
          <w:rFonts w:ascii="Arial" w:cs="Arial" w:eastAsia="Arial" w:hAnsi="Arial"/>
          <w:sz w:val="18"/>
          <w:szCs w:val="18"/>
          <w:i w:val="1"/>
          <w:iCs w:val="1"/>
          <w:color w:val="auto"/>
        </w:rPr>
        <w:t>e.g.</w:t>
      </w:r>
      <w:r>
        <w:rPr>
          <w:rFonts w:ascii="Arial" w:cs="Arial" w:eastAsia="Arial" w:hAnsi="Arial"/>
          <w:sz w:val="18"/>
          <w:szCs w:val="18"/>
          <w:color w:val="auto"/>
        </w:rPr>
        <w:t xml:space="preserve">, a parent company that owns a majority stake in one of the Parties; and/or 2) any entity that is indirectly controlled by a Party to the Agreement, </w:t>
      </w:r>
      <w:r>
        <w:rPr>
          <w:rFonts w:ascii="Arial" w:cs="Arial" w:eastAsia="Arial" w:hAnsi="Arial"/>
          <w:sz w:val="18"/>
          <w:szCs w:val="18"/>
          <w:i w:val="1"/>
          <w:iCs w:val="1"/>
          <w:color w:val="auto"/>
        </w:rPr>
        <w:t>e.g</w:t>
      </w:r>
      <w:r>
        <w:rPr>
          <w:rFonts w:ascii="Arial" w:cs="Arial" w:eastAsia="Arial" w:hAnsi="Arial"/>
          <w:sz w:val="18"/>
          <w:szCs w:val="18"/>
          <w:color w:val="auto"/>
        </w:rPr>
        <w:t>., a subsidiary in the corporate group of one of the Parties.</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1.2. "Confidential Information" means any information which is disclosed by one Party (the "Disclosing Party") to the other Party (the "Receiving Party"), directly or indirectly, in writing, orally, verbally, visually, graphically, via data files and software, or by inspection of tangible objects (including documents, prototypes, samples, plant, and equipment), and which is identified by the Disclosing Party and/or its Affiliates as proprietary or confidential, or which the Receiving Party and/or its Affiliates should reasonably regard as confidential. The Parties agree and acknowledge that Confidential Information shall include, without limitation, inventions, improvements, developments, derivative work, copyrighted material, trademark material, trade secret material, test protocols and test results, technical information, business information, financial information and marketing information. Confidential Information will not include information which at the time of disclosure i) was already known to the Receiving Party other than through disclosure under this Agreement, as evidenced by its written records, or ii) which is or will become published or otherwise generally available to the public (except as a result of improper disclosure by the Receiving Party), or</w:t>
      </w:r>
    </w:p>
    <w:p>
      <w:pPr>
        <w:spacing w:after="0" w:line="1" w:lineRule="exact"/>
        <w:rPr>
          <w:sz w:val="20"/>
          <w:szCs w:val="20"/>
          <w:color w:val="auto"/>
        </w:rPr>
      </w:pPr>
    </w:p>
    <w:p>
      <w:pPr>
        <w:jc w:val="both"/>
        <w:ind w:firstLine="8"/>
        <w:spacing w:after="0"/>
        <w:tabs>
          <w:tab w:leader="none" w:pos="2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which is or will be obtained by the Receiving Party from a third party provided that the third party does not have an obligation of confidentiality with respect to such information, or iv) which will be developed or obtained independently of information received from the other party. This Section will survive any cancellation or termination of this Agreement for a period of ten (10) years after such cancellation or termination.</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1.3. “Governmental Body” means any court or governmental department, commission, board, bureau, agency, or instrumentality, federal province, state, territory, county, municipality, city, town, or other political jurisdiction whether domestic or foreign and whether now or in the future constituted or existing having or purporting to have jurisdiction over the business that is the subject of this Agreement or over any Party.</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1.4. "Intellectual Property" shall mean the patent and trademarks identified in Schedule A to this Agreement (including, without limitation, originals, divisions, continuations, continuations-in-part, provisional, extensions or reissues), and all Improved Products as defined below, inventions, discoveries, improvements, designs, design rights (whether registered or not and all applications for the foregoing), copyrights, methods, techniques, formulae, diagrams, rules, simulation models, test protocols and results, applications to register any of the aforementioned rights, trade secrets, rights in unpatented know-how, and any other intellectual or industrial property rights of any nature whatsoever in any part of the world, in each case, owned or controlled by Licensor or its Affiliates now or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jc w:val="both"/>
        <w:spacing w:after="0" w:line="271" w:lineRule="auto"/>
        <w:rPr>
          <w:sz w:val="20"/>
          <w:szCs w:val="20"/>
          <w:color w:val="auto"/>
        </w:rPr>
      </w:pPr>
      <w:r>
        <w:rPr>
          <w:rFonts w:ascii="Arial" w:cs="Arial" w:eastAsia="Arial" w:hAnsi="Arial"/>
          <w:sz w:val="18"/>
          <w:szCs w:val="18"/>
          <w:color w:val="auto"/>
        </w:rPr>
        <w:t>1.5. "Product" shall mean a commercially available fuel and exhaust system cleaner based on, related to or incorporating the Intellectual Property, including Licensor's bottle, label and all packaging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1.6. "Effective Date" shall mean the date on which this Agreement is executed by both Parties.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1.7. “Representative” of a Party means any director, officer, employee, contractor, agent, consultant, accountant, auditor, attorney, or other representative of such Party.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1.8. "Territory" shall mean the United States, Canada, and Mexico.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GRANT OF LICENSE</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2.1.1. Licensor hereby grants to Licensee an exclusive license to the Intellectual Property in the Territory for the term of this Agreement, solely and exclusively for developing, manufacturing, marketing, distributing, using and selling the Product. For clarity, the foregoing license grant shall include the right to market, distribute, and sell the Product through all sales channels, including all retail outlets and vendors, in the Territory and in Licensee’s discretion.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LIMITATIONS ON GRANT OF LICENSE</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2.2.1. Licensee shall not be authorized to use and shall not use or authorize any third party to use any Intellectual Property except as expressly authorized by Section 2.1, except that Licensee may grant sub-licenses to authorized manufacturers and distributors to manufacture, distribute and sell the Product, provided Licensor takes commercially reasonable measures to ensure that sub-licensees abide by the packaging and quality requirements of this Agreement.</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2.2.2. Licensee is prohibited from using the Intellectual Property on behalf of any agent. Licensee understands and agrees that it is receiving Confidential Information solely for its own use, and except for Licensee's Affiliates, Licensee shall not disclose Confidential Information to any third party, unless mutually agreed by the Parties.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2.2.3. Licensee shall not develop, manufacture, market (except for internet websites and other marketing which, by its nature, is not limited to the Territory) or sell the Product outside the Territory, without the prior written consent of Licensor.</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2.2.4. Any and all goodwill associated with the Trademarks identified in Schedule A that is developed by Licensee in the Territory shall inure exclusively to the benefit of Licensor.</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2.2.5. Nothing herein shall be construed as an assignment of any right in the Intellectual Property from Licensor to Licensee or as conferring any ownership rights in the Intellectual Property from Licensor to Licensee.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COMMERCIAL TERMS.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3.1. MANUFACTURE BY LICENSEE. </w:t>
      </w:r>
      <w:r>
        <w:rPr>
          <w:rFonts w:ascii="Arial" w:cs="Arial" w:eastAsia="Arial" w:hAnsi="Arial"/>
          <w:sz w:val="18"/>
          <w:szCs w:val="18"/>
          <w:color w:val="auto"/>
        </w:rPr>
        <w:t>All Product shall, in the Licensee’s discretion, be manufactured directly by Licensee or under</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Licensee's sub-contract to another for such manufacture.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LICENSE FEE; ROYALTY PAYMENT AND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3.2.1. License Fee. </w:t>
      </w:r>
      <w:r>
        <w:rPr>
          <w:rFonts w:ascii="Arial" w:cs="Arial" w:eastAsia="Arial" w:hAnsi="Arial"/>
          <w:sz w:val="18"/>
          <w:szCs w:val="18"/>
          <w:color w:val="auto"/>
        </w:rPr>
        <w:t>Licensee shall pay to the Licensor a fee as set forth in Schedule B.</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3.2.2. Royalty. </w:t>
      </w:r>
      <w:r>
        <w:rPr>
          <w:rFonts w:ascii="Arial" w:cs="Arial" w:eastAsia="Arial" w:hAnsi="Arial"/>
          <w:sz w:val="18"/>
          <w:szCs w:val="18"/>
          <w:color w:val="auto"/>
        </w:rPr>
        <w:t>Within thirty (30) days after the end of each fiscal month, the Licensee will remit to the Licensor the royalty due on bottles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Products manufactured as set forth in Schedule B during the immediately preceding month, and provide the Licensor with a written report, specifying the number of bottles of the Products that Licensee has manufactured or had manufactured during the immediately prior month and the calculation of the royalties due to the Licensor in connection therewith. (For example, all products manufactured in January 2025 would be paid within 30 days after the fiscal month-end of January 2025, or no later than February 2025.)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 MINIMUM SALES. </w:t>
      </w:r>
      <w:r>
        <w:rPr>
          <w:rFonts w:ascii="Arial" w:cs="Arial" w:eastAsia="Arial" w:hAnsi="Arial"/>
          <w:sz w:val="18"/>
          <w:szCs w:val="18"/>
          <w:color w:val="auto"/>
        </w:rPr>
        <w:t>Licensee will sell 750,000 bottles of the Product each year within the Territory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spacing w:after="0" w:line="247" w:lineRule="auto"/>
        <w:rPr>
          <w:sz w:val="20"/>
          <w:szCs w:val="20"/>
          <w:color w:val="auto"/>
        </w:rPr>
      </w:pPr>
      <w:r>
        <w:rPr>
          <w:rFonts w:ascii="Arial" w:cs="Arial" w:eastAsia="Arial" w:hAnsi="Arial"/>
          <w:sz w:val="18"/>
          <w:szCs w:val="18"/>
          <w:b w:val="1"/>
          <w:bCs w:val="1"/>
          <w:color w:val="auto"/>
        </w:rPr>
        <w:t xml:space="preserve">3.4. LATE CHARGES. </w:t>
      </w:r>
      <w:r>
        <w:rPr>
          <w:rFonts w:ascii="Arial" w:cs="Arial" w:eastAsia="Arial" w:hAnsi="Arial"/>
          <w:sz w:val="18"/>
          <w:szCs w:val="18"/>
          <w:color w:val="auto"/>
        </w:rPr>
        <w:t>Regardless of manufacturer, any payment or part of a payment that is not paid when due shall bear interest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rate of 1.5 percent (1.5%) per month from its due date until paid. Failure of the Licensee to pay any sum when due for three (3) consecutive months shall constitute sufficient cause for the Licensor to immediately suspend its performance hereunder and/or to terminate this Agreement pursuant to Section 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INDEMNIFICATION.</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4.1. BY LICENSOR. </w:t>
      </w:r>
      <w:r>
        <w:rPr>
          <w:rFonts w:ascii="Arial" w:cs="Arial" w:eastAsia="Arial" w:hAnsi="Arial"/>
          <w:sz w:val="18"/>
          <w:szCs w:val="18"/>
          <w:color w:val="auto"/>
        </w:rPr>
        <w:t>The Licensor agrees to indemnify, defend, and hold the Licensee and its Affiliates and its/their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harmless from and against any and all losses, penalties, judgments, proceedings, investigations, suits, costs, claims, liabilities, assessments, awards, damages, judgments, settlements, fines, fees, and expenses (including, without limitation, interest, court costs, costs incurred in connection with any investigation or proceeding by any Governmental Body, reasonable fees of attorneys, accountants, or other experts, , mitigation expenses and expenses incurred in connection with the assessment or pursuit of rights to indemnification hereunder (collectively “Losses”), incurred by, imposed upon or asserted against the Licensee as a result of relating to or arising out of (i) the breach of any representation, undertaking, warranty, obligation, agreement or covenant of the Licensor in this Agreement, and (ii) any claims, demands, threats, proceedings or other actions taken by any other person claiming any right, title or interest in or to the Intellectual Property or Product, and (iii) any claims, demands, threats, proceedings or other actions taken by any customer or third-party against the Licensee or Affiliates or personnel that is attributable to any breach or failure on the part of the Licensor under this Agreement.</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4.2. BY LICENSEE. </w:t>
      </w:r>
      <w:r>
        <w:rPr>
          <w:rFonts w:ascii="Arial" w:cs="Arial" w:eastAsia="Arial" w:hAnsi="Arial"/>
          <w:sz w:val="18"/>
          <w:szCs w:val="18"/>
          <w:color w:val="auto"/>
        </w:rPr>
        <w:t>The Licensee agrees to indemnify, defend, and hold the Licensor harmless from and against any and all Losses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by, imposed upon or asserted against the Licensor as a result of relating to or arising out of (i) the breach of any representation, undertaking, warranty, obligation, agreement or covenant of the Licensee in this Agreement, and (ii) any claims, demands, threats, proceedings or other actions taken by any customer, sub-licensee or other third-party against the Licensor or its personnel that is attributable to any breach or failure on the part of the Licensee under this Agreement.</w:t>
      </w:r>
    </w:p>
    <w:p>
      <w:pPr>
        <w:spacing w:after="0" w:line="163" w:lineRule="exact"/>
        <w:rPr>
          <w:sz w:val="20"/>
          <w:szCs w:val="20"/>
          <w:color w:val="auto"/>
        </w:rPr>
      </w:pPr>
    </w:p>
    <w:p>
      <w:pPr>
        <w:jc w:val="both"/>
        <w:ind w:firstLine="8"/>
        <w:spacing w:after="0"/>
        <w:tabs>
          <w:tab w:leader="none" w:pos="231"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ENFORCEMENT OF INTELLECTUAL PROPERTY RIGHTS. </w:t>
      </w:r>
      <w:r>
        <w:rPr>
          <w:rFonts w:ascii="Arial" w:cs="Arial" w:eastAsia="Arial" w:hAnsi="Arial"/>
          <w:sz w:val="18"/>
          <w:szCs w:val="18"/>
          <w:color w:val="auto"/>
        </w:rPr>
        <w:t>Each party shall promptly notify the other of any suspected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infringement of the Intellectual Property. The primary right to institute a suit to enjoin such infringement shall be with Licensor, and if Licensor so elects, then all costs associated with pursuing legal recourse will be borne by the Licensor, and any recovery shall inure solely to the benefit of the Licensor. In the event that Licensor declines to institute a suit within ninety (90) days of learning of such infringement, then Licensee shall have the right, but not the obligation, to pursue legal recourse. In said circumstance, the costs incurred by Licensee in connection with such litigation shall be the sole obligation of Licensee, and any recovery shall inure solely to the benefit of the Licensee; provided that, however, any recovery obtained by Licensee for the full value of lost sales shall be subject to the royalty payment set forth herein to Licensor.</w:t>
      </w:r>
    </w:p>
    <w:p>
      <w:pPr>
        <w:spacing w:after="0" w:line="166" w:lineRule="exact"/>
        <w:rPr>
          <w:rFonts w:ascii="Arial" w:cs="Arial" w:eastAsia="Arial" w:hAnsi="Arial"/>
          <w:sz w:val="18"/>
          <w:szCs w:val="18"/>
          <w:b w:val="1"/>
          <w:bCs w:val="1"/>
          <w:color w:val="auto"/>
        </w:rPr>
      </w:pPr>
    </w:p>
    <w:p>
      <w:pPr>
        <w:jc w:val="both"/>
        <w:ind w:firstLine="8"/>
        <w:spacing w:after="0" w:line="253" w:lineRule="auto"/>
        <w:tabs>
          <w:tab w:leader="none" w:pos="2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PRODUCT RECALL. </w:t>
      </w:r>
      <w:r>
        <w:rPr>
          <w:rFonts w:ascii="Arial" w:cs="Arial" w:eastAsia="Arial" w:hAnsi="Arial"/>
          <w:sz w:val="18"/>
          <w:szCs w:val="18"/>
          <w:color w:val="auto"/>
        </w:rPr>
        <w:t>If Licensee uses a different formula and produces a revised Product, Licensee shall be responsible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and execution of any recall of a Product in the Territory. If Licensor provides the Product, or if Licensee produces the Product based on Licensor's formula, Licensor shall be responsible for the organization and execution of any recall of the Product in the Territory.</w:t>
      </w:r>
    </w:p>
    <w:p>
      <w:pPr>
        <w:spacing w:after="0" w:line="155" w:lineRule="exact"/>
        <w:rPr>
          <w:rFonts w:ascii="Arial" w:cs="Arial" w:eastAsia="Arial" w:hAnsi="Arial"/>
          <w:sz w:val="18"/>
          <w:szCs w:val="18"/>
          <w:b w:val="1"/>
          <w:bCs w:val="1"/>
          <w:color w:val="auto"/>
        </w:rPr>
      </w:pPr>
    </w:p>
    <w:p>
      <w:pPr>
        <w:ind w:left="200" w:hanging="192"/>
        <w:spacing w:after="0"/>
        <w:tabs>
          <w:tab w:leader="none" w:pos="2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BOOKS AND RECORDS</w:t>
      </w:r>
    </w:p>
    <w:p>
      <w:pPr>
        <w:spacing w:after="0" w:line="198"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7.1. Licensee will maintain adequate books and records relating to the manufacture and sale of the Products. Such books and records shall be available at their place of keeping during normal business hours for inspection by the Licensor its representative, for the purpose of determining whether the correct royalties have been paid to the Licensor in accordance with the terms of this Agreement, and whether the Licensee has otherwise complied with the terms of this Agreement. Licensor shall have the right to conduct such an audit upon thirty (30) days' advance notice twice each year. In the event that such an audit discloses an underpayment of more than five percent (5%), then the Licensee shall pay the costs of such audit.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7.2. Licensee will provide Licensor with the following reports:</w:t>
      </w:r>
    </w:p>
    <w:p>
      <w:pPr>
        <w:spacing w:after="0" w:line="198"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7.2.1. Monthly report detailing by SKU actual total monthly sales and orders by customer and a twelve (12) month rolling forecast of sales and orders, with the first thirty (30) days frozen;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7.2.2. A quarterly copy of its price list reflecting for each SKU the current trade and retail prices for the Products in the Territory.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7.2.3. Monthly report on manufacturing returns by SKU.</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QUALITY CONTROL AND PACKAGING.</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8.1. Upon reasonable notice by Licensor to Licensee, Licensee shall provide to Licensor a random sample of Product for analysis by Licensor. In the event the sample fails to conform to Licensor's specifications for the Product, Licensor shall so notify Licensee, providing sufficient detail to allow Licensee to remedy the failure to conform. In the event Licensee is not able to produce commercial qualities of a conforming Product within ninety</w:t>
      </w:r>
    </w:p>
    <w:p>
      <w:pPr>
        <w:spacing w:after="0" w:line="3" w:lineRule="exact"/>
        <w:rPr>
          <w:sz w:val="20"/>
          <w:szCs w:val="20"/>
          <w:color w:val="auto"/>
        </w:rPr>
      </w:pPr>
    </w:p>
    <w:p>
      <w:pPr>
        <w:ind w:firstLine="8"/>
        <w:spacing w:after="0" w:line="250" w:lineRule="auto"/>
        <w:tabs>
          <w:tab w:leader="none" w:pos="4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days of notification by Licensor of the non-conforming condition, Licensor shall have the right to require Licensee to discontinue distribution of Product until such rectification has occurred.</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8.2. Licensee shall market and sell the Product only in association with Product packaging and labels, including bottles, approved in advance by Licensor. Approved packaging, labels and bottles as of the Effective Date are identified in Schedule C to this Agreement. Licensor may change the approved packaging at any time upon reasonable notice to the Licensee, provided the packaging complies with all applicable laws within the Territory and conforms to commercially reasonable standards for manufacture, shipping, display and sale.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8.3. Licensee shall not develop, market or sell any "white label" version of the Product without the advance written consent of Licensor.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8.4. Licensee will mark all Products with appropriate patent markings.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ADDITIONAL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 ADDITIONAL LICENSEE OBLIGATIONS.</w:t>
      </w:r>
    </w:p>
    <w:p>
      <w:pPr>
        <w:jc w:val="both"/>
        <w:spacing w:after="0" w:line="242" w:lineRule="auto"/>
        <w:rPr>
          <w:sz w:val="20"/>
          <w:szCs w:val="20"/>
          <w:color w:val="auto"/>
        </w:rPr>
      </w:pPr>
      <w:r>
        <w:rPr>
          <w:rFonts w:ascii="Arial" w:cs="Arial" w:eastAsia="Arial" w:hAnsi="Arial"/>
          <w:sz w:val="18"/>
          <w:szCs w:val="18"/>
          <w:color w:val="auto"/>
        </w:rPr>
        <w:t>9.1.1. Licensee shall establish a sales network consisting of sales representatives and other sales partners in the Territory. Such sales partners shall possess the know-how and structures necessary to effectively sell the Product. The Licensee shall conduct its business and exploit the market according to commercially reasonable standards.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9.1.2. Licensee agrees to comply with all applicable laws and regulations and to obtain any required government approvals in the Territories pertaining to the sale, distribution and advertising of the Product.</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9.1.3. Licensee shall attempt to monitor applicable government regulations governing development and sale of the Product in the Territory and will inform Licensor of any changes to the Product that it may find through such attempts to be required to conform to such regulations. Under no circumstances does this clause remove or lessen any obligation of the Licensor to provide regulation-conforming Product to Licensee.</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9.1.4. Licensee shall maintain a four million dollar ($4,000,000) general commercial umbrella insurance policy, naming Licensor as an additional insured.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9.1.5. Licensee shall be solely responsible for payment of all taxes incurred by the Licensee in connection with its sales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ADDITIONAL LICENSOR OBLIGATIONS.</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9.2.1. The Licensor agrees to take all commercially reasonable steps to supply all Product to meet customer demand throughout the Territory.</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9.2.2. Licensor agrees to maintain the patents and trademarks identified in Exhibit A in full force and effect during their legal term by timely complying with all applicable fees, filings, laws and regulations. Licensor shall promptly provide to Licensee information and documentation concerning the status of the Intellectual Property or any new notices or requirements.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9.2.3. Licensor shall immediately disclose to Licensee all updates regarding Licensor's development of all improvements to the Products, complementary products, new products and any products that may impact the sales of the Products (collectively "Improved Products"). Licensor shall immediately disclose to Licensee any new filings related to the Intellectual Property or the Improved Products, along with all prosecution of the Intellectual Property. Licensor will also give Licensee written notice (including by email) of Improved Products not less than ninety (90) days prior to the date such Improved Products are first offered for sale. Such notice shall include such information as is reasonably necessary for Licensee to understand the new or improved features. Notice shall also include the minimum advertised price as agreed upon per Schedule B, suggested retail and wholesale prices. Licensor will provide Licensee with commercially reasonable advance notice of other changes in specifications, formulation and packaging of the Product. All such Improved Products and changes shall automatically be included in the Products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10. NON-DISCLOSURE OF CONFIDENTIAL INFORMATION</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10.1. The Receiving Party shall not, at any time during the term of this Agreement, or thereafter, communicate or disclose to any unauthorized person, without the advance written consent of the Disclosing Party, any Confidential Information of the Disclosing Party. All Confidential Information will remain the property of the Disclosing Party. Any portion of the Confidential Information which consists of documents prepared by the Receiving Party regarding the Disclosing Party's Confidential Information shall be the Confidential Information of the Disclosing Party. Nothing in this Agreement shall preclude the Receiving Party and its attorneys from complying with any applicable law regarding document preservation, or the requirement of disclosure due to a court order. Nothing in this Agreement shall preclude Licensee from disclosing Confidential Information to Licensee's Affiliates and authorized subcontractors, their authorized subcontractors and Licensee's parent company.</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10.2. To the extent the Disclosing Party grants the Receiving Party permission to disclose Confidential Information, such permission will be conditional on the Receiving Party obtaining from the third-party an executed confidentiality agreement in a form approved in advance by the Disclosing Party. However, the Receiving Party may disclose certain test protocols and test results in order to prove efficacy of the Product.</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10.3. Promptly upon termination of this Agreement, all Confidential Information will be returned to the Disclosing Party without the Receiving Party retaining any copies thereof.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10.4. The confidentiality requirements set forth herein shall survive termination of this Agreement.</w:t>
      </w:r>
    </w:p>
    <w:p>
      <w:pPr>
        <w:spacing w:after="0" w:line="198" w:lineRule="exact"/>
        <w:rPr>
          <w:sz w:val="20"/>
          <w:szCs w:val="20"/>
          <w:color w:val="auto"/>
        </w:rPr>
      </w:pPr>
    </w:p>
    <w:p>
      <w:pPr>
        <w:jc w:val="both"/>
        <w:ind w:firstLine="8"/>
        <w:spacing w:after="0" w:line="242" w:lineRule="auto"/>
        <w:tabs>
          <w:tab w:leader="none" w:pos="29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NON-COMPETITION. </w:t>
      </w:r>
      <w:r>
        <w:rPr>
          <w:rFonts w:ascii="Arial" w:cs="Arial" w:eastAsia="Arial" w:hAnsi="Arial"/>
          <w:sz w:val="18"/>
          <w:szCs w:val="18"/>
          <w:color w:val="auto"/>
        </w:rPr>
        <w:t>In order for the Licensor to reasonably protect its interests against the competitive use of any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or Confidential Information, because of the special nature of this Agreement, Licensee and its undersigned officers shall not, during the term of this Agreement and for a period of two (2) years thereafter, directly or indirectly, by ownership of securities or otherwise, engage in any business that distributes treatments specifically directed to cleaning catalytic converters or become associated with or render services to any person, business or enterprise so engaged, or engage in the development, manufacture or marketing of any other product specifically directed to cleaning catalytic converters, other than the Products.</w:t>
      </w:r>
    </w:p>
    <w:p>
      <w:pPr>
        <w:spacing w:after="0" w:line="165" w:lineRule="exact"/>
        <w:rPr>
          <w:rFonts w:ascii="Arial" w:cs="Arial" w:eastAsia="Arial" w:hAnsi="Arial"/>
          <w:sz w:val="18"/>
          <w:szCs w:val="18"/>
          <w:b w:val="1"/>
          <w:bCs w:val="1"/>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12.1. This Agreement will commence upon the Effective Date and will be perpetual, unless earlier terminated pursuant to the express termination rights specified in this Section 12 (the “Term”).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12.2. Either Party may terminate this Agreement for cause at any time as follows:</w:t>
      </w:r>
    </w:p>
    <w:p>
      <w:pPr>
        <w:spacing w:after="0" w:line="198"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color w:val="auto"/>
        </w:rPr>
        <w:t>12.2.1. In the event of a default or material breach of the terms of this Agreement by either Party, written notice thereof shall be given to the defaulting Party. Thereafter, the defaulting Party shall have sixty (60) days to cure said breach. In the event that said breach has not been cured within said sixty (60) day period, the non-defaulting Party may, in its reasonable discretion: (a) extend the cure period if the defaulting Party has commenced reasonable efforts to cure such breach, or (b) terminate this Agreement upon notice immediately after the expiration of the cure period.</w:t>
      </w:r>
    </w:p>
    <w:p>
      <w:pPr>
        <w:spacing w:after="0" w:line="163"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color w:val="auto"/>
        </w:rPr>
        <w:t>12.2.2. By either Party upon written notice to the other Party if such other Party (A) becomes insolvent or bankrupt; (B) admits in writing its inability to pay its debts; (C) has a receiver or trustee appointed for it or its property, provided that if such appointment is involuntary, it is not terminated within sixty (60) days; (D) makes an assignment for the benefit of its creditors; (E) has commenced by, for or against it any proceedings under any law related to bankruptcy, insolvency or the reorganization or the release of debtors, provided that if such proceeding is involuntary, it is not terminated within sixty (60) days after its commencement; or (F) becomes liquidated or dissolved.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13. REPRESENTATIONS AND WARRANTIES.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13.1. Each Party represents and warrants that it has the full legal right, power, authority and capacity to execute, deliver and fully perform its obligations under this Agreement. This Agreement has been duly executed and delivered by the Party and constitutes the legal, valid and binding agreement of the Party, enforceable against the Party in accordance with its terms.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13.2. Licensor represents and warrants that there are no liens, claims against or other encumbrances on any Intellectual Property rights conferred by this Agreement, nor has Licensor conveyed any rights to any other party with respect to the Intellectual Property rights outside of the Territory conferred by this Agreement.</w:t>
      </w:r>
    </w:p>
    <w:p>
      <w:pPr>
        <w:spacing w:after="0" w:line="155"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 EXCEPT IN CONNECTION WITH EACH PARTY</w:t>
      </w:r>
      <w:r>
        <w:rPr>
          <w:rFonts w:ascii="Arial" w:cs="Arial" w:eastAsia="Arial" w:hAnsi="Arial"/>
          <w:sz w:val="18"/>
          <w:szCs w:val="18"/>
          <w:color w:val="auto"/>
        </w:rPr>
        <w:t>’</w:t>
      </w:r>
      <w:r>
        <w:rPr>
          <w:rFonts w:ascii="Arial" w:cs="Arial" w:eastAsia="Arial" w:hAnsi="Arial"/>
          <w:sz w:val="18"/>
          <w:szCs w:val="18"/>
          <w:b w:val="1"/>
          <w:bCs w:val="1"/>
          <w:color w:val="auto"/>
        </w:rPr>
        <w:t>S INDEMNIFICATION OBLIGATIONS, AND BREACH</w:t>
      </w:r>
    </w:p>
    <w:p>
      <w:pPr>
        <w:spacing w:after="0" w:line="13" w:lineRule="exact"/>
        <w:rPr>
          <w:rFonts w:ascii="Arial" w:cs="Arial" w:eastAsia="Arial" w:hAnsi="Arial"/>
          <w:sz w:val="18"/>
          <w:szCs w:val="18"/>
          <w:b w:val="1"/>
          <w:bCs w:val="1"/>
          <w:color w:val="auto"/>
        </w:rPr>
      </w:pPr>
    </w:p>
    <w:p>
      <w:pPr>
        <w:jc w:val="both"/>
        <w:spacing w:after="0" w:line="241" w:lineRule="auto"/>
        <w:rPr>
          <w:rFonts w:ascii="Arial" w:cs="Arial" w:eastAsia="Arial" w:hAnsi="Arial"/>
          <w:sz w:val="18"/>
          <w:szCs w:val="18"/>
          <w:b w:val="1"/>
          <w:bCs w:val="1"/>
          <w:color w:val="auto"/>
        </w:rPr>
      </w:pPr>
      <w:r>
        <w:rPr>
          <w:rFonts w:ascii="Arial" w:cs="Arial" w:eastAsia="Arial" w:hAnsi="Arial"/>
          <w:sz w:val="18"/>
          <w:szCs w:val="18"/>
          <w:b w:val="1"/>
          <w:bCs w:val="1"/>
          <w:color w:val="auto"/>
        </w:rPr>
        <w:t>OF CONFIDENTIALITY OBLIGATIONS HEREUNDER, AND FOR INTENTIONAL, RECKLESS OR GROSSLY NEGLIGENT BREACHES OF THIS AGREEMENT, IN NO EVENT WILL EITHER PARTY BE LIABLE TO THE OTHER PARTY FOR LOST PROFITS OR FOR ANY INDIRECT, INCIDENTAL, CONSEQUENTIAL OR PUNITIVE DAMAGES ARISING FROM THE SUBJECT MATTER OF THIS AGREEMENT, REGARDLESS OF THE TYPE OF CLAIM AND EVEN IF THAT PARTY HAS BEEN ADVISED OF THE POSSIBILITY OF SUCH DAMAGES.</w:t>
      </w:r>
    </w:p>
    <w:p>
      <w:pPr>
        <w:spacing w:after="0" w:line="157" w:lineRule="exact"/>
        <w:rPr>
          <w:rFonts w:ascii="Arial" w:cs="Arial" w:eastAsia="Arial" w:hAnsi="Arial"/>
          <w:sz w:val="18"/>
          <w:szCs w:val="18"/>
          <w:b w:val="1"/>
          <w:bCs w:val="1"/>
          <w:color w:val="auto"/>
        </w:rPr>
      </w:pPr>
    </w:p>
    <w:p>
      <w:pPr>
        <w:ind w:left="300" w:hanging="292"/>
        <w:spacing w:after="0"/>
        <w:tabs>
          <w:tab w:leader="none" w:pos="3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15.1. INJUNCTION. </w:t>
      </w:r>
      <w:r>
        <w:rPr>
          <w:rFonts w:ascii="Arial" w:cs="Arial" w:eastAsia="Arial" w:hAnsi="Arial"/>
          <w:sz w:val="18"/>
          <w:szCs w:val="18"/>
          <w:color w:val="auto"/>
        </w:rPr>
        <w:t>Each Party agrees that the obligations assumed by the other Party hereunder are necessary and reasonable in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protect the other Party and its operations, and each Party expressly agrees that monetary damages will not alone be adequate to compensate the other Party for any breach. Accordingly, each Party agrees that any such violation or threatened violation will cause irreparable injury to the other Party and that, in addition to any other remedies that may be available at law, equity, or otherwise, each Party shall be entitled to injunctive relief against a threatened breach of this Agreement or the continuation of any such breach by the other Party, without the necessity of proving actual damages. In any action for a breach hereof, in addition to any damages that may be awarded to the prevailing party, the prevailing Party shall be entitled to recover its reasonable attorneys' fees and other litigation costs from the other Party.</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15.2. DISPUTE RESOLUTION. </w:t>
      </w:r>
      <w:r>
        <w:rPr>
          <w:rFonts w:ascii="Arial" w:cs="Arial" w:eastAsia="Arial" w:hAnsi="Arial"/>
          <w:sz w:val="18"/>
          <w:szCs w:val="18"/>
          <w:color w:val="auto"/>
        </w:rPr>
        <w:t>Any dispute, claim or controversy arising out of hereof, including the determination of the scope or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applicability of this agreement to arbitrate, shall be determined under by arbitration in the Commonwealth of Kentucky, in the City of Bowling Green and the County of Warren, located in the United States of America before one arbitrator. The arbitration shall be administered by JAMS or pursuant to JAMS' Streamlined Arbitration or relating to this Agreement or the breach, termination, enforcement, interpretation or validity Rules and Procedures. Judgment on the Award may be entered in any United States federal or state court having jurisdiction. This clause shall not preclude Parties from seeking provisional remedies in aid of arbitration from any United States federal or state court of appropriate jurisdiction within Bowling Green, Warren County, Commonwealth of Kentucky in the United States of America. The arbitrator shall have the authority to issue all remedies, including equitable and injunctive relief, to enforce all provisions of this Agreement. The arbitrators shall apply law of the Commonwealth of Kentucky, of the United States of America without regard to choice of law</w:t>
      </w:r>
    </w:p>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15.3. NO ASSIGNMENT BY LICENSEE. </w:t>
      </w:r>
      <w:r>
        <w:rPr>
          <w:rFonts w:ascii="Arial" w:cs="Arial" w:eastAsia="Arial" w:hAnsi="Arial"/>
          <w:sz w:val="18"/>
          <w:szCs w:val="18"/>
          <w:color w:val="auto"/>
        </w:rPr>
        <w:t>Licensee sha</w:t>
      </w:r>
      <w:r>
        <w:rPr>
          <w:rFonts w:ascii="Arial" w:cs="Arial" w:eastAsia="Arial" w:hAnsi="Arial"/>
          <w:sz w:val="18"/>
          <w:szCs w:val="18"/>
          <w:b w:val="1"/>
          <w:bCs w:val="1"/>
          <w:color w:val="auto"/>
        </w:rPr>
        <w:t xml:space="preserve">l </w:t>
      </w:r>
      <w:r>
        <w:rPr>
          <w:rFonts w:ascii="Arial" w:cs="Arial" w:eastAsia="Arial" w:hAnsi="Arial"/>
          <w:sz w:val="18"/>
          <w:szCs w:val="18"/>
          <w:color w:val="auto"/>
        </w:rPr>
        <w:t>not have the right to assign its rights or obligations under this Agreement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 written consent of Licensor.</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15.4. RIGHT OF FIRST OFFER. </w:t>
      </w:r>
      <w:r>
        <w:rPr>
          <w:rFonts w:ascii="Arial" w:cs="Arial" w:eastAsia="Arial" w:hAnsi="Arial"/>
          <w:sz w:val="18"/>
          <w:szCs w:val="18"/>
          <w:color w:val="auto"/>
        </w:rPr>
        <w:t>IfLicensordesiresto se</w:t>
      </w:r>
      <w:r>
        <w:rPr>
          <w:rFonts w:ascii="Arial" w:cs="Arial" w:eastAsia="Arial" w:hAnsi="Arial"/>
          <w:sz w:val="18"/>
          <w:szCs w:val="18"/>
          <w:b w:val="1"/>
          <w:bCs w:val="1"/>
          <w:color w:val="auto"/>
        </w:rPr>
        <w:t>l</w:t>
      </w:r>
      <w:r>
        <w:rPr>
          <w:rFonts w:ascii="Arial" w:cs="Arial" w:eastAsia="Arial" w:hAnsi="Arial"/>
          <w:sz w:val="18"/>
          <w:szCs w:val="18"/>
          <w:color w:val="auto"/>
        </w:rPr>
        <w:t>, assign, or otherwise transfer anyor a</w:t>
      </w:r>
      <w:r>
        <w:rPr>
          <w:rFonts w:ascii="Arial" w:cs="Arial" w:eastAsia="Arial" w:hAnsi="Arial"/>
          <w:sz w:val="18"/>
          <w:szCs w:val="18"/>
          <w:b w:val="1"/>
          <w:bCs w:val="1"/>
          <w:color w:val="auto"/>
        </w:rPr>
        <w:t xml:space="preserve">l </w:t>
      </w:r>
      <w:r>
        <w:rPr>
          <w:rFonts w:ascii="Arial" w:cs="Arial" w:eastAsia="Arial" w:hAnsi="Arial"/>
          <w:sz w:val="18"/>
          <w:szCs w:val="18"/>
          <w:color w:val="auto"/>
        </w:rPr>
        <w:t>ofits rights, titles, or interest in and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w:t>
      </w:r>
      <w:r>
        <w:rPr>
          <w:rFonts w:ascii="Arial" w:cs="Arial" w:eastAsia="Arial" w:hAnsi="Arial"/>
          <w:sz w:val="18"/>
          <w:szCs w:val="18"/>
          <w:b w:val="1"/>
          <w:bCs w:val="1"/>
          <w:color w:val="auto"/>
        </w:rPr>
        <w:t>l</w:t>
      </w:r>
      <w:r>
        <w:rPr>
          <w:rFonts w:ascii="Arial" w:cs="Arial" w:eastAsia="Arial" w:hAnsi="Arial"/>
          <w:sz w:val="18"/>
          <w:szCs w:val="18"/>
          <w:color w:val="auto"/>
        </w:rPr>
        <w:t>ectual Property (including my merger, change of control, sale of a</w:t>
      </w:r>
      <w:r>
        <w:rPr>
          <w:rFonts w:ascii="Arial" w:cs="Arial" w:eastAsia="Arial" w:hAnsi="Arial"/>
          <w:sz w:val="18"/>
          <w:szCs w:val="18"/>
          <w:b w:val="1"/>
          <w:bCs w:val="1"/>
          <w:color w:val="auto"/>
        </w:rPr>
        <w:t>l</w:t>
      </w:r>
      <w:r>
        <w:rPr>
          <w:rFonts w:ascii="Arial" w:cs="Arial" w:eastAsia="Arial" w:hAnsi="Arial"/>
          <w:sz w:val="18"/>
          <w:szCs w:val="18"/>
          <w:color w:val="auto"/>
        </w:rPr>
        <w:t xml:space="preserve"> or substantia</w:t>
      </w:r>
      <w:r>
        <w:rPr>
          <w:rFonts w:ascii="Arial" w:cs="Arial" w:eastAsia="Arial" w:hAnsi="Arial"/>
          <w:sz w:val="18"/>
          <w:szCs w:val="18"/>
          <w:b w:val="1"/>
          <w:bCs w:val="1"/>
          <w:color w:val="auto"/>
        </w:rPr>
        <w:t>l</w:t>
      </w:r>
      <w:r>
        <w:rPr>
          <w:rFonts w:ascii="Arial" w:cs="Arial" w:eastAsia="Arial" w:hAnsi="Arial"/>
          <w:sz w:val="18"/>
          <w:szCs w:val="18"/>
          <w:color w:val="auto"/>
        </w:rPr>
        <w:t>y a</w:t>
      </w:r>
      <w:r>
        <w:rPr>
          <w:rFonts w:ascii="Arial" w:cs="Arial" w:eastAsia="Arial" w:hAnsi="Arial"/>
          <w:sz w:val="18"/>
          <w:szCs w:val="18"/>
          <w:b w:val="1"/>
          <w:bCs w:val="1"/>
          <w:color w:val="auto"/>
        </w:rPr>
        <w:t>l</w:t>
      </w:r>
      <w:r>
        <w:rPr>
          <w:rFonts w:ascii="Arial" w:cs="Arial" w:eastAsia="Arial" w:hAnsi="Arial"/>
          <w:sz w:val="18"/>
          <w:szCs w:val="18"/>
          <w:color w:val="auto"/>
        </w:rPr>
        <w:t xml:space="preserve"> of its relevant assets, or otherwise), Licensor sha</w:t>
      </w:r>
      <w:r>
        <w:rPr>
          <w:rFonts w:ascii="Arial" w:cs="Arial" w:eastAsia="Arial" w:hAnsi="Arial"/>
          <w:sz w:val="18"/>
          <w:szCs w:val="18"/>
          <w:b w:val="1"/>
          <w:bCs w:val="1"/>
          <w:color w:val="auto"/>
        </w:rPr>
        <w:t>l</w:t>
      </w:r>
      <w:r>
        <w:rPr>
          <w:rFonts w:ascii="Arial" w:cs="Arial" w:eastAsia="Arial" w:hAnsi="Arial"/>
          <w:sz w:val="18"/>
          <w:szCs w:val="18"/>
          <w:color w:val="auto"/>
        </w:rPr>
        <w:t xml:space="preserve"> deliver to Licensee prior written notice of its intent to transfer, and Licensee sha</w:t>
      </w:r>
      <w:r>
        <w:rPr>
          <w:rFonts w:ascii="Arial" w:cs="Arial" w:eastAsia="Arial" w:hAnsi="Arial"/>
          <w:sz w:val="18"/>
          <w:szCs w:val="18"/>
          <w:b w:val="1"/>
          <w:bCs w:val="1"/>
          <w:color w:val="auto"/>
        </w:rPr>
        <w:t>l</w:t>
      </w:r>
      <w:r>
        <w:rPr>
          <w:rFonts w:ascii="Arial" w:cs="Arial" w:eastAsia="Arial" w:hAnsi="Arial"/>
          <w:sz w:val="18"/>
          <w:szCs w:val="18"/>
          <w:color w:val="auto"/>
        </w:rPr>
        <w:t xml:space="preserve"> have the right of first o </w:t>
      </w:r>
      <w:r>
        <w:rPr>
          <w:rFonts w:ascii="Arial" w:cs="Arial" w:eastAsia="Arial" w:hAnsi="Arial"/>
          <w:sz w:val="18"/>
          <w:szCs w:val="18"/>
          <w:b w:val="1"/>
          <w:bCs w:val="1"/>
          <w:color w:val="auto"/>
        </w:rPr>
        <w:t>f</w:t>
      </w:r>
      <w:r>
        <w:rPr>
          <w:rFonts w:ascii="Arial" w:cs="Arial" w:eastAsia="Arial" w:hAnsi="Arial"/>
          <w:sz w:val="18"/>
          <w:szCs w:val="18"/>
          <w:color w:val="auto"/>
        </w:rPr>
        <w:t>er to acquire a</w:t>
      </w:r>
      <w:r>
        <w:rPr>
          <w:rFonts w:ascii="Arial" w:cs="Arial" w:eastAsia="Arial" w:hAnsi="Arial"/>
          <w:sz w:val="18"/>
          <w:szCs w:val="18"/>
          <w:b w:val="1"/>
          <w:bCs w:val="1"/>
          <w:color w:val="auto"/>
        </w:rPr>
        <w:t>l</w:t>
      </w:r>
      <w:r>
        <w:rPr>
          <w:rFonts w:ascii="Arial" w:cs="Arial" w:eastAsia="Arial" w:hAnsi="Arial"/>
          <w:sz w:val="18"/>
          <w:szCs w:val="18"/>
          <w:color w:val="auto"/>
        </w:rPr>
        <w:t xml:space="preserve"> such rights, titles, and interest. Within fifteen (15) days of the date of the foregoing notice, the Parties sha</w:t>
      </w:r>
      <w:r>
        <w:rPr>
          <w:rFonts w:ascii="Arial" w:cs="Arial" w:eastAsia="Arial" w:hAnsi="Arial"/>
          <w:sz w:val="18"/>
          <w:szCs w:val="18"/>
          <w:b w:val="1"/>
          <w:bCs w:val="1"/>
          <w:color w:val="auto"/>
        </w:rPr>
        <w:t>l</w:t>
      </w:r>
      <w:r>
        <w:rPr>
          <w:rFonts w:ascii="Arial" w:cs="Arial" w:eastAsia="Arial" w:hAnsi="Arial"/>
          <w:sz w:val="18"/>
          <w:szCs w:val="18"/>
          <w:color w:val="auto"/>
        </w:rPr>
        <w:t xml:space="preserve"> begin to discuss in good faith the determination of the purchase price. If the Parties cannot so agree within ninety (90) days of the date such discussion began, the Licensor sha</w:t>
      </w:r>
      <w:r>
        <w:rPr>
          <w:rFonts w:ascii="Arial" w:cs="Arial" w:eastAsia="Arial" w:hAnsi="Arial"/>
          <w:sz w:val="18"/>
          <w:szCs w:val="18"/>
          <w:b w:val="1"/>
          <w:bCs w:val="1"/>
          <w:color w:val="auto"/>
        </w:rPr>
        <w:t>l</w:t>
      </w:r>
      <w:r>
        <w:rPr>
          <w:rFonts w:ascii="Arial" w:cs="Arial" w:eastAsia="Arial" w:hAnsi="Arial"/>
          <w:sz w:val="18"/>
          <w:szCs w:val="18"/>
          <w:color w:val="auto"/>
        </w:rPr>
        <w:t xml:space="preserve"> have the option to se</w:t>
      </w:r>
      <w:r>
        <w:rPr>
          <w:rFonts w:ascii="Arial" w:cs="Arial" w:eastAsia="Arial" w:hAnsi="Arial"/>
          <w:sz w:val="18"/>
          <w:szCs w:val="18"/>
          <w:b w:val="1"/>
          <w:bCs w:val="1"/>
          <w:color w:val="auto"/>
        </w:rPr>
        <w:t>l</w:t>
      </w:r>
      <w:r>
        <w:rPr>
          <w:rFonts w:ascii="Arial" w:cs="Arial" w:eastAsia="Arial" w:hAnsi="Arial"/>
          <w:sz w:val="18"/>
          <w:szCs w:val="18"/>
          <w:color w:val="auto"/>
        </w:rPr>
        <w:t>, assign or otherwise transfer such rights, titles, and interest to an entity other than Licensee. If any other entity’s offer is materially the same as Licensee’s best offer, Licensor will notify Licensee again before finalizing a sale to such other Person.</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 xml:space="preserve">15.5. CHANGE OF CONTROL. </w:t>
      </w:r>
      <w:r>
        <w:rPr>
          <w:rFonts w:ascii="Arial" w:cs="Arial" w:eastAsia="Arial" w:hAnsi="Arial"/>
          <w:sz w:val="18"/>
          <w:szCs w:val="18"/>
          <w:color w:val="auto"/>
        </w:rPr>
        <w:t>Notwithstanding any change of control or sale of ownership interest in either party, this Agreement sha</w:t>
      </w:r>
      <w:r>
        <w:rPr>
          <w:rFonts w:ascii="Arial" w:cs="Arial" w:eastAsia="Arial" w:hAnsi="Arial"/>
          <w:sz w:val="18"/>
          <w:szCs w:val="18"/>
          <w:b w:val="1"/>
          <w:bCs w:val="1"/>
          <w:color w:val="auto"/>
        </w:rPr>
        <w:t xml:space="preserve">l </w:t>
      </w:r>
      <w:r>
        <w:rPr>
          <w:rFonts w:ascii="Arial" w:cs="Arial" w:eastAsia="Arial" w:hAnsi="Arial"/>
          <w:sz w:val="18"/>
          <w:szCs w:val="18"/>
          <w:color w:val="auto"/>
        </w:rPr>
        <w:t>remain in fu</w:t>
      </w:r>
      <w:r>
        <w:rPr>
          <w:rFonts w:ascii="Arial" w:cs="Arial" w:eastAsia="Arial" w:hAnsi="Arial"/>
          <w:sz w:val="18"/>
          <w:szCs w:val="18"/>
          <w:b w:val="1"/>
          <w:bCs w:val="1"/>
          <w:color w:val="auto"/>
        </w:rPr>
        <w:t>l</w:t>
      </w:r>
      <w:r>
        <w:rPr>
          <w:rFonts w:ascii="Arial" w:cs="Arial" w:eastAsia="Arial" w:hAnsi="Arial"/>
          <w:sz w:val="18"/>
          <w:szCs w:val="18"/>
          <w:color w:val="auto"/>
        </w:rPr>
        <w:t xml:space="preserve"> force and e </w:t>
      </w:r>
      <w:r>
        <w:rPr>
          <w:rFonts w:ascii="Arial" w:cs="Arial" w:eastAsia="Arial" w:hAnsi="Arial"/>
          <w:sz w:val="18"/>
          <w:szCs w:val="18"/>
          <w:b w:val="1"/>
          <w:bCs w:val="1"/>
          <w:color w:val="auto"/>
        </w:rPr>
        <w:t>f</w:t>
      </w:r>
      <w:r>
        <w:rPr>
          <w:rFonts w:ascii="Arial" w:cs="Arial" w:eastAsia="Arial" w:hAnsi="Arial"/>
          <w:sz w:val="18"/>
          <w:szCs w:val="18"/>
          <w:color w:val="auto"/>
        </w:rPr>
        <w:t>ect and a</w:t>
      </w:r>
      <w:r>
        <w:rPr>
          <w:rFonts w:ascii="Arial" w:cs="Arial" w:eastAsia="Arial" w:hAnsi="Arial"/>
          <w:sz w:val="18"/>
          <w:szCs w:val="18"/>
          <w:b w:val="1"/>
          <w:bCs w:val="1"/>
          <w:color w:val="auto"/>
        </w:rPr>
        <w:t>l</w:t>
      </w:r>
      <w:r>
        <w:rPr>
          <w:rFonts w:ascii="Arial" w:cs="Arial" w:eastAsia="Arial" w:hAnsi="Arial"/>
          <w:sz w:val="18"/>
          <w:szCs w:val="18"/>
          <w:color w:val="auto"/>
        </w:rPr>
        <w:t xml:space="preserve"> obligations hereunder sha</w:t>
      </w:r>
      <w:r>
        <w:rPr>
          <w:rFonts w:ascii="Arial" w:cs="Arial" w:eastAsia="Arial" w:hAnsi="Arial"/>
          <w:sz w:val="18"/>
          <w:szCs w:val="18"/>
          <w:b w:val="1"/>
          <w:bCs w:val="1"/>
          <w:color w:val="auto"/>
        </w:rPr>
        <w:t>l</w:t>
      </w:r>
      <w:r>
        <w:rPr>
          <w:rFonts w:ascii="Arial" w:cs="Arial" w:eastAsia="Arial" w:hAnsi="Arial"/>
          <w:sz w:val="18"/>
          <w:szCs w:val="18"/>
          <w:color w:val="auto"/>
        </w:rPr>
        <w:t xml:space="preserve"> continue to be binding upon the successor entity.</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15.6. USE OF TRADEMARKS. </w:t>
      </w:r>
      <w:r>
        <w:rPr>
          <w:rFonts w:ascii="Arial" w:cs="Arial" w:eastAsia="Arial" w:hAnsi="Arial"/>
          <w:sz w:val="18"/>
          <w:szCs w:val="18"/>
          <w:color w:val="auto"/>
        </w:rPr>
        <w:t>Except as set forth herein, neither Party shall use any name, trade name or other designation of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(including any contraction, abbreviation, or simulation of the foregoing), or reference or disclose the contents this Agreement, without the prior written consent of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jc w:val="both"/>
        <w:spacing w:after="0" w:line="244" w:lineRule="auto"/>
        <w:rPr>
          <w:sz w:val="20"/>
          <w:szCs w:val="20"/>
          <w:color w:val="auto"/>
        </w:rPr>
      </w:pPr>
      <w:r>
        <w:rPr>
          <w:rFonts w:ascii="Arial" w:cs="Arial" w:eastAsia="Arial" w:hAnsi="Arial"/>
          <w:sz w:val="18"/>
          <w:szCs w:val="18"/>
          <w:b w:val="1"/>
          <w:bCs w:val="1"/>
          <w:color w:val="auto"/>
        </w:rPr>
        <w:t xml:space="preserve">15.7. SEVERABILITY. </w:t>
      </w:r>
      <w:r>
        <w:rPr>
          <w:rFonts w:ascii="Arial" w:cs="Arial" w:eastAsia="Arial" w:hAnsi="Arial"/>
          <w:sz w:val="18"/>
          <w:szCs w:val="18"/>
          <w:color w:val="auto"/>
        </w:rPr>
        <w:t>If any term or provision of this Agreement shall, in any jurisdiction and to any extent, be considered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the unenforceable term or provision shall be ineffective only to the extent of such invalidity or unenforceability, without invalidating or rendering unenforceable any other term or provision of this Agreement, so long as the remainder of this Agreement still effectuates the essential purposes of this Agreement. If such essential purposes cannot be effectuated, this Agreement shall either be renegotiated or terminated without cause by either Party.</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15.8. WAIVER. </w:t>
      </w:r>
      <w:r>
        <w:rPr>
          <w:rFonts w:ascii="Arial" w:cs="Arial" w:eastAsia="Arial" w:hAnsi="Arial"/>
          <w:sz w:val="18"/>
          <w:szCs w:val="18"/>
          <w:color w:val="auto"/>
        </w:rPr>
        <w:t>The failure of a Party to insist upon strict adherence to any term of this Agreement on any occasion shall not be considered a</w:t>
      </w:r>
      <w:r>
        <w:rPr>
          <w:rFonts w:ascii="Arial" w:cs="Arial" w:eastAsia="Arial" w:hAnsi="Arial"/>
          <w:sz w:val="18"/>
          <w:szCs w:val="18"/>
          <w:b w:val="1"/>
          <w:bCs w:val="1"/>
          <w:color w:val="auto"/>
        </w:rPr>
        <w:t xml:space="preserve"> </w:t>
      </w:r>
      <w:r>
        <w:rPr>
          <w:rFonts w:ascii="Arial" w:cs="Arial" w:eastAsia="Arial" w:hAnsi="Arial"/>
          <w:sz w:val="18"/>
          <w:szCs w:val="18"/>
          <w:color w:val="auto"/>
        </w:rPr>
        <w:t>waiver, nor shall it deprive that Party of the right to insist later on adherence thereof, or thereafter to insist upon strict adherence to that term or any other term of this Agreement. Any waiver must be in writing to be effective.</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 xml:space="preserve">15.9. HEADINGS. </w:t>
      </w:r>
      <w:r>
        <w:rPr>
          <w:rFonts w:ascii="Arial" w:cs="Arial" w:eastAsia="Arial" w:hAnsi="Arial"/>
          <w:sz w:val="18"/>
          <w:szCs w:val="18"/>
          <w:color w:val="auto"/>
        </w:rPr>
        <w:t>The headings in this Agreement are intended solely for convenience of reference and shall be given no effect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or interpretation of this Agreement.</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15.10. COMPLIANCE WITH LAW. </w:t>
      </w:r>
      <w:r>
        <w:rPr>
          <w:rFonts w:ascii="Arial" w:cs="Arial" w:eastAsia="Arial" w:hAnsi="Arial"/>
          <w:sz w:val="18"/>
          <w:szCs w:val="18"/>
          <w:color w:val="auto"/>
        </w:rPr>
        <w:t>Each Party to this Agreement agrees to comply with all applicable laws, rules, regulations, licenses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approvals of any duly constituted governmental authority having jurisdiction.</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15.11. NO AGENCY. </w:t>
      </w:r>
      <w:r>
        <w:rPr>
          <w:rFonts w:ascii="Arial" w:cs="Arial" w:eastAsia="Arial" w:hAnsi="Arial"/>
          <w:sz w:val="18"/>
          <w:szCs w:val="18"/>
          <w:color w:val="auto"/>
        </w:rPr>
        <w:t>This Agreement establishes a contractual relationship but does not create any legal structure such as a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joint venture or any agency relationship between the Parties, nor shall either Party hold itself out as such contrary to the terms hereof by advertising or otherwise, nor shall either Party be bound or become liable because of any representation, action or omission of the other Party. Each Party is an independent contractor of the other and this Agreement does not create an agency relationship between them. Neither party assumes any liability or responsibility for personnel of the other.</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15.12. NOTICE. </w:t>
      </w:r>
      <w:r>
        <w:rPr>
          <w:rFonts w:ascii="Arial" w:cs="Arial" w:eastAsia="Arial" w:hAnsi="Arial"/>
          <w:sz w:val="18"/>
          <w:szCs w:val="18"/>
          <w:color w:val="auto"/>
        </w:rPr>
        <w:t>All communications and notices between the Parties concerning this Agreement shall be in writing and delivered either in</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by mail to the person and address specified below. Such communications and notices shall be effective upon receipt.</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For Licensor:</w:t>
      </w:r>
      <w:r>
        <w:rPr>
          <w:sz w:val="20"/>
          <w:szCs w:val="20"/>
          <w:color w:val="auto"/>
        </w:rPr>
        <w:tab/>
      </w:r>
      <w:r>
        <w:rPr>
          <w:rFonts w:ascii="Arial" w:cs="Arial" w:eastAsia="Arial" w:hAnsi="Arial"/>
          <w:sz w:val="17"/>
          <w:szCs w:val="17"/>
          <w:color w:val="auto"/>
        </w:rPr>
        <w:t>Paul Reid, or the sitting Managing Director of Cataclean Global Limited</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For Licensee:</w:t>
      </w:r>
      <w:r>
        <w:rPr>
          <w:sz w:val="20"/>
          <w:szCs w:val="20"/>
          <w:color w:val="auto"/>
        </w:rPr>
        <w:tab/>
      </w:r>
      <w:r>
        <w:rPr>
          <w:rFonts w:ascii="Arial" w:cs="Arial" w:eastAsia="Arial" w:hAnsi="Arial"/>
          <w:sz w:val="17"/>
          <w:szCs w:val="17"/>
          <w:color w:val="auto"/>
        </w:rPr>
        <w:t>Jesse Weaver, or the sitting Chief Financial Officer of Holley Performance Products Inc.</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15.13. SURVIVAL. </w:t>
      </w:r>
      <w:r>
        <w:rPr>
          <w:rFonts w:ascii="Arial" w:cs="Arial" w:eastAsia="Arial" w:hAnsi="Arial"/>
          <w:sz w:val="18"/>
          <w:szCs w:val="18"/>
          <w:color w:val="auto"/>
        </w:rPr>
        <w:t>Sections 4, 10.1, 11, 14, 15.1, 15.2, and 15.12 shall survive the expiration of this Agreement and shall remain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beyond such termination or expiration until fulfilled and shall apply to each Party's successors and assigns.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15.14. ENTIRE AGREEMENT. </w:t>
      </w:r>
      <w:r>
        <w:rPr>
          <w:rFonts w:ascii="Arial" w:cs="Arial" w:eastAsia="Arial" w:hAnsi="Arial"/>
          <w:sz w:val="18"/>
          <w:szCs w:val="18"/>
          <w:color w:val="auto"/>
        </w:rPr>
        <w:t>This Agreement is the complete and exclusive statement of the agreement of the parties concerning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hereof and shall supersede all prior agreements and understandings, oral or written, between or among the Parties respecting the subject matter hereof. This Agreement may not be changed or terminated orally by or on behalf of any Party. Any amendments to this Agreement shall be in writing and signed by authorized representatives of both Parties.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15.15. FORCE MAJEURE. </w:t>
      </w:r>
      <w:r>
        <w:rPr>
          <w:rFonts w:ascii="Arial" w:cs="Arial" w:eastAsia="Arial" w:hAnsi="Arial"/>
          <w:sz w:val="18"/>
          <w:szCs w:val="18"/>
          <w:color w:val="auto"/>
        </w:rPr>
        <w:t>The obligations of either party to perform under this Agreement shall be excused during any period of delay if</w:t>
      </w:r>
      <w:r>
        <w:rPr>
          <w:rFonts w:ascii="Arial" w:cs="Arial" w:eastAsia="Arial" w:hAnsi="Arial"/>
          <w:sz w:val="18"/>
          <w:szCs w:val="18"/>
          <w:b w:val="1"/>
          <w:bCs w:val="1"/>
          <w:color w:val="auto"/>
        </w:rPr>
        <w:t xml:space="preserve"> </w:t>
      </w:r>
      <w:r>
        <w:rPr>
          <w:rFonts w:ascii="Arial" w:cs="Arial" w:eastAsia="Arial" w:hAnsi="Arial"/>
          <w:sz w:val="18"/>
          <w:szCs w:val="18"/>
          <w:color w:val="auto"/>
        </w:rPr>
        <w:t>such delay arises from any cause or causes which are beyond the reasonable control of the party obligated to perform, including, but not limited to, the following: acts of God, acts or omissions of any government, or any rules, regulations or orders of any Governmental Body or any officer, department, agency or instrumentality thereof, act of terrorism, war, fire, storm, flood, earthquake, insurrection, riot, invasion or strikes. The affected party shall use commercially reasonable efforts to remedy the effects of such force majeure. Any force majeure shall not excuse performance by the party, but shall postpone performance. If such force majeure shall continue for a period of ninety (90) days, the party seeking performance may cancel its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spacing w:after="0" w:line="271" w:lineRule="auto"/>
        <w:rPr>
          <w:sz w:val="20"/>
          <w:szCs w:val="20"/>
          <w:color w:val="auto"/>
        </w:rPr>
      </w:pPr>
      <w:r>
        <w:rPr>
          <w:rFonts w:ascii="Arial" w:cs="Arial" w:eastAsia="Arial" w:hAnsi="Arial"/>
          <w:sz w:val="18"/>
          <w:szCs w:val="18"/>
          <w:b w:val="1"/>
          <w:bCs w:val="1"/>
          <w:color w:val="auto"/>
        </w:rPr>
        <w:t xml:space="preserve">15.16. COUNTERPARTS. </w:t>
      </w:r>
      <w:r>
        <w:rPr>
          <w:rFonts w:ascii="Arial" w:cs="Arial" w:eastAsia="Arial" w:hAnsi="Arial"/>
          <w:sz w:val="18"/>
          <w:szCs w:val="18"/>
          <w:color w:val="auto"/>
        </w:rPr>
        <w:t>This Agreement may be executed in any number of counterparts, each of which shall be deemed an original and</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Parties has caused this Agreement to be executed in duplicate originals by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on the respective dates entered below.</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CATACLEAN GLOBAL LIMITED</w:t>
            </w:r>
          </w:p>
        </w:tc>
        <w:tc>
          <w:tcPr>
            <w:tcW w:w="5120" w:type="dxa"/>
            <w:vAlign w:val="bottom"/>
            <w:gridSpan w:val="3"/>
          </w:tcPr>
          <w:p>
            <w:pPr>
              <w:ind w:left="1420"/>
              <w:spacing w:after="0"/>
              <w:rPr>
                <w:sz w:val="20"/>
                <w:szCs w:val="20"/>
                <w:color w:val="auto"/>
              </w:rPr>
            </w:pPr>
            <w:r>
              <w:rPr>
                <w:rFonts w:ascii="Times New Roman" w:cs="Times New Roman" w:eastAsia="Times New Roman" w:hAnsi="Times New Roman"/>
                <w:sz w:val="18"/>
                <w:szCs w:val="18"/>
                <w:b w:val="1"/>
                <w:bCs w:val="1"/>
                <w:color w:val="auto"/>
                <w:w w:val="99"/>
              </w:rPr>
              <w:t>HOLLEY PERFORMANCE PRODUCTS INC.</w:t>
            </w:r>
          </w:p>
        </w:tc>
      </w:tr>
      <w:tr>
        <w:trPr>
          <w:trHeight w:val="391"/>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Paul Reid</w:t>
            </w:r>
          </w:p>
        </w:tc>
        <w:tc>
          <w:tcPr>
            <w:tcW w:w="512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/s/ Jesse Weaver</w:t>
            </w:r>
          </w:p>
        </w:tc>
      </w:tr>
      <w:tr>
        <w:trPr>
          <w:trHeight w:val="20"/>
        </w:trPr>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53"/>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512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Title: CFO</w:t>
            </w:r>
          </w:p>
        </w:tc>
      </w:tr>
      <w:tr>
        <w:trPr>
          <w:trHeight w:val="648"/>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1/1/2025</w:t>
            </w:r>
          </w:p>
        </w:tc>
        <w:tc>
          <w:tcPr>
            <w:tcW w:w="512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Date: 1/1/2025</w:t>
            </w:r>
          </w:p>
        </w:tc>
      </w:tr>
    </w:tbl>
    <w:p>
      <w:pPr>
        <w:sectPr>
          <w:pgSz w:w="11900" w:h="16838" w:orient="portrait"/>
          <w:cols w:equalWidth="0" w:num="1">
            <w:col w:w="11240"/>
          </w:cols>
          <w:pgMar w:left="320" w:top="58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Matthew Stevenson, certify that:</w:t>
      </w:r>
    </w:p>
    <w:p>
      <w:pPr>
        <w:spacing w:after="0" w:line="198"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198"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firstLine="8"/>
        <w:spacing w:after="0" w:line="271" w:lineRule="auto"/>
        <w:tabs>
          <w:tab w:leader="none" w:pos="2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sz w:val="20"/>
          <w:szCs w:val="20"/>
          <w:color w:val="auto"/>
        </w:rPr>
      </w:pPr>
    </w:p>
    <w:p>
      <w:pPr>
        <w:jc w:val="both"/>
        <w:ind w:right="20" w:firstLine="8"/>
        <w:spacing w:after="0" w:line="253" w:lineRule="auto"/>
        <w:tabs>
          <w:tab w:leader="none" w:pos="2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ind w:right="20" w:firstLine="8"/>
        <w:spacing w:after="0" w:line="271" w:lineRule="auto"/>
        <w:tabs>
          <w:tab w:leader="none" w:pos="2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firstLine="8"/>
        <w:spacing w:after="0" w:line="253" w:lineRule="auto"/>
        <w:tabs>
          <w:tab w:leader="none" w:pos="2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sz w:val="20"/>
          <w:szCs w:val="20"/>
          <w:color w:val="auto"/>
        </w:rPr>
      </w:pPr>
    </w:p>
    <w:p>
      <w:pPr>
        <w:jc w:val="both"/>
        <w:ind w:firstLine="8"/>
        <w:spacing w:after="0" w:line="253" w:lineRule="auto"/>
        <w:tabs>
          <w:tab w:leader="none" w:pos="23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sz w:val="20"/>
          <w:szCs w:val="20"/>
          <w:color w:val="auto"/>
        </w:rPr>
      </w:pPr>
    </w:p>
    <w:p>
      <w:pPr>
        <w:ind w:right="20" w:firstLine="8"/>
        <w:spacing w:after="0" w:line="271" w:lineRule="auto"/>
        <w:tabs>
          <w:tab w:leader="none" w:pos="2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20" w:firstLine="8"/>
        <w:spacing w:after="0" w:line="271" w:lineRule="auto"/>
        <w:tabs>
          <w:tab w:leader="none" w:pos="2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8890</wp:posOffset>
            </wp:positionV>
            <wp:extent cx="30600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Matthew Stevenson</w:t>
      </w:r>
    </w:p>
    <w:p>
      <w:pPr>
        <w:ind w:left="6420"/>
        <w:spacing w:after="0"/>
        <w:rPr>
          <w:sz w:val="20"/>
          <w:szCs w:val="20"/>
          <w:color w:val="auto"/>
        </w:rPr>
      </w:pPr>
      <w:r>
        <w:rPr>
          <w:rFonts w:ascii="Arial" w:cs="Arial" w:eastAsia="Arial" w:hAnsi="Arial"/>
          <w:sz w:val="18"/>
          <w:szCs w:val="18"/>
          <w:color w:val="auto"/>
        </w:rPr>
        <w:t>President and Chief Executive Officer</w:t>
      </w:r>
    </w:p>
    <w:p>
      <w:pPr>
        <w:spacing w:after="0" w:line="18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May 7, 2025</w:t>
      </w:r>
    </w:p>
    <w:p>
      <w:pPr>
        <w:sectPr>
          <w:pgSz w:w="11900" w:h="16838" w:orient="portrait"/>
          <w:cols w:equalWidth="0" w:num="1">
            <w:col w:w="11240"/>
          </w:cols>
          <w:pgMar w:left="320" w:top="12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Jesse Weaver, certify that:</w:t>
      </w:r>
    </w:p>
    <w:p>
      <w:pPr>
        <w:spacing w:after="0" w:line="198"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198"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firstLine="8"/>
        <w:spacing w:after="0" w:line="271" w:lineRule="auto"/>
        <w:tabs>
          <w:tab w:leader="none" w:pos="2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sz w:val="20"/>
          <w:szCs w:val="20"/>
          <w:color w:val="auto"/>
        </w:rPr>
      </w:pPr>
    </w:p>
    <w:p>
      <w:pPr>
        <w:jc w:val="both"/>
        <w:ind w:right="20" w:firstLine="8"/>
        <w:spacing w:after="0" w:line="253" w:lineRule="auto"/>
        <w:tabs>
          <w:tab w:leader="none" w:pos="2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ind w:right="20" w:firstLine="8"/>
        <w:spacing w:after="0" w:line="271" w:lineRule="auto"/>
        <w:tabs>
          <w:tab w:leader="none" w:pos="2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firstLine="8"/>
        <w:spacing w:after="0" w:line="253" w:lineRule="auto"/>
        <w:tabs>
          <w:tab w:leader="none" w:pos="2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sz w:val="20"/>
          <w:szCs w:val="20"/>
          <w:color w:val="auto"/>
        </w:rPr>
      </w:pPr>
    </w:p>
    <w:p>
      <w:pPr>
        <w:jc w:val="both"/>
        <w:ind w:firstLine="8"/>
        <w:spacing w:after="0" w:line="253" w:lineRule="auto"/>
        <w:tabs>
          <w:tab w:leader="none" w:pos="23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sz w:val="20"/>
          <w:szCs w:val="20"/>
          <w:color w:val="auto"/>
        </w:rPr>
      </w:pPr>
    </w:p>
    <w:p>
      <w:pPr>
        <w:ind w:right="20" w:firstLine="8"/>
        <w:spacing w:after="0" w:line="271" w:lineRule="auto"/>
        <w:tabs>
          <w:tab w:leader="none" w:pos="2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20" w:firstLine="8"/>
        <w:spacing w:after="0" w:line="271" w:lineRule="auto"/>
        <w:tabs>
          <w:tab w:leader="none" w:pos="2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Jesse Weaver</w:t>
      </w:r>
    </w:p>
    <w:p>
      <w:pPr>
        <w:ind w:left="6200"/>
        <w:spacing w:after="0"/>
        <w:rPr>
          <w:sz w:val="20"/>
          <w:szCs w:val="20"/>
          <w:color w:val="auto"/>
        </w:rPr>
      </w:pPr>
      <w:r>
        <w:rPr>
          <w:rFonts w:ascii="Arial" w:cs="Arial" w:eastAsia="Arial" w:hAnsi="Arial"/>
          <w:sz w:val="18"/>
          <w:szCs w:val="18"/>
          <w:color w:val="auto"/>
        </w:rPr>
        <w:t>Chief Financial Officer</w:t>
      </w:r>
    </w:p>
    <w:p>
      <w:pPr>
        <w:spacing w:after="0" w:line="18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May 7, 2025</w:t>
      </w:r>
    </w:p>
    <w:p>
      <w:pPr>
        <w:sectPr>
          <w:pgSz w:w="11900" w:h="16838" w:orient="portrait"/>
          <w:cols w:equalWidth="0" w:num="1">
            <w:col w:w="11240"/>
          </w:cols>
          <w:pgMar w:left="320" w:top="12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Holley Inc. (the "Company") on Form 10-Q for the period ended March 30, 2025, as filed with the Securities and Exchange Commission (the "Report"), I, Matthew Stevenson, President and Chief Executive Officer of the Company, certifies, pursuant to 18 U.S.C. Section 1350, as adopted pursuant to Section 906 of the Sarbanes-Oxley Act of 2002, that:</w:t>
      </w:r>
    </w:p>
    <w:p>
      <w:pPr>
        <w:spacing w:after="0" w:line="155"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8890</wp:posOffset>
            </wp:positionV>
            <wp:extent cx="30600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Matthew Stevenson</w:t>
      </w:r>
    </w:p>
    <w:p>
      <w:pPr>
        <w:ind w:left="6420"/>
        <w:spacing w:after="0"/>
        <w:rPr>
          <w:sz w:val="20"/>
          <w:szCs w:val="20"/>
          <w:color w:val="auto"/>
        </w:rPr>
      </w:pPr>
      <w:r>
        <w:rPr>
          <w:rFonts w:ascii="Arial" w:cs="Arial" w:eastAsia="Arial" w:hAnsi="Arial"/>
          <w:sz w:val="18"/>
          <w:szCs w:val="18"/>
          <w:color w:val="auto"/>
        </w:rPr>
        <w:t>President and Chief Executive Officer</w:t>
      </w:r>
    </w:p>
    <w:p>
      <w:pPr>
        <w:spacing w:after="0" w:line="18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May 7,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p>
      <w:pPr>
        <w:sectPr>
          <w:pgSz w:w="11900" w:h="16838" w:orient="portrait"/>
          <w:cols w:equalWidth="0" w:num="1">
            <w:col w:w="11240"/>
          </w:cols>
          <w:pgMar w:left="320" w:top="12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Holley Inc. (the "Company") on Form 10-Q for the period ended March 30, 2025, as filed with the Securities and Exchange Commission (the "Report"), I, Jesse Weaver, Chief Financial Officer of the Company, certifies, pursuant to 18 U.S.C. Section 1350, as adopted pursuant to Section 906 of the Sarbanes-Oxley Act of 2002, that:</w:t>
      </w:r>
    </w:p>
    <w:p>
      <w:pPr>
        <w:spacing w:after="0" w:line="155"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Jesse Weaver</w:t>
      </w:r>
    </w:p>
    <w:p>
      <w:pPr>
        <w:ind w:left="6200"/>
        <w:spacing w:after="0"/>
        <w:rPr>
          <w:sz w:val="20"/>
          <w:szCs w:val="20"/>
          <w:color w:val="auto"/>
        </w:rPr>
      </w:pPr>
      <w:r>
        <w:rPr>
          <w:rFonts w:ascii="Arial" w:cs="Arial" w:eastAsia="Arial" w:hAnsi="Arial"/>
          <w:sz w:val="18"/>
          <w:szCs w:val="18"/>
          <w:color w:val="auto"/>
        </w:rPr>
        <w:t>Chief Financial Officer</w:t>
      </w:r>
    </w:p>
    <w:p>
      <w:pPr>
        <w:spacing w:after="0" w:line="18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May 7,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2"/>
    </w:lvl>
  </w:abstractNum>
  <w:abstractNum w:abstractNumId="6">
    <w:nsid w:val="333AB105"/>
    <w:multiLevelType w:val="hybridMultilevel"/>
    <w:lvl w:ilvl="0">
      <w:lvlJc w:val="left"/>
      <w:lvlText w:val="%1."/>
      <w:numFmt w:val="decimal"/>
      <w:start w:val="3"/>
    </w:lvl>
  </w:abstractNum>
  <w:abstractNum w:abstractNumId="7">
    <w:nsid w:val="721DA317"/>
    <w:multiLevelType w:val="hybridMultilevel"/>
    <w:lvl w:ilvl="0">
      <w:lvlJc w:val="left"/>
      <w:lvlText w:val="%1."/>
      <w:numFmt w:val="decimal"/>
      <w:start w:val="4"/>
    </w:lvl>
  </w:abstractNum>
  <w:abstractNum w:abstractNumId="8">
    <w:nsid w:val="2443A858"/>
    <w:multiLevelType w:val="hybridMultilevel"/>
    <w:lvl w:ilvl="0">
      <w:lvlJc w:val="left"/>
      <w:lvlText w:val="%1."/>
      <w:numFmt w:val="decimal"/>
      <w:start w:val="5"/>
    </w:lvl>
  </w:abstractNum>
  <w:abstractNum w:abstractNumId="9">
    <w:nsid w:val="2D1D5AE9"/>
    <w:multiLevelType w:val="hybridMultilevel"/>
    <w:lvl w:ilvl="0">
      <w:lvlJc w:val="left"/>
      <w:lvlText w:val="%1."/>
      <w:numFmt w:val="decimal"/>
      <w:start w:val="6"/>
    </w:lvl>
  </w:abstractNum>
  <w:abstractNum w:abstractNumId="10">
    <w:nsid w:val="6763845E"/>
    <w:multiLevelType w:val="hybridMultilevel"/>
    <w:lvl w:ilvl="0">
      <w:lvlJc w:val="left"/>
      <w:lvlText w:val="%1."/>
      <w:numFmt w:val="decimal"/>
      <w:start w:val="7"/>
    </w:lvl>
  </w:abstractNum>
  <w:abstractNum w:abstractNumId="11">
    <w:nsid w:val="75A2A8D4"/>
    <w:multiLevelType w:val="hybridMultilevel"/>
    <w:lvl w:ilvl="0">
      <w:lvlJc w:val="left"/>
      <w:lvlText w:val="%1."/>
      <w:numFmt w:val="decimal"/>
      <w:start w:val="8"/>
    </w:lvl>
  </w:abstractNum>
  <w:abstractNum w:abstractNumId="12">
    <w:nsid w:val="8EDBDAB"/>
    <w:multiLevelType w:val="hybridMultilevel"/>
    <w:lvl w:ilvl="0">
      <w:lvlJc w:val="left"/>
      <w:lvlText w:val="%1."/>
      <w:numFmt w:val="decimal"/>
      <w:start w:val="9"/>
    </w:lvl>
  </w:abstractNum>
  <w:abstractNum w:abstractNumId="13">
    <w:nsid w:val="79838CB2"/>
    <w:multiLevelType w:val="hybridMultilevel"/>
    <w:lvl w:ilvl="0">
      <w:lvlJc w:val="left"/>
      <w:lvlText w:val="%1."/>
      <w:numFmt w:val="decimal"/>
      <w:start w:val="10"/>
    </w:lvl>
  </w:abstractNum>
  <w:abstractNum w:abstractNumId="14">
    <w:nsid w:val="4353D0CD"/>
    <w:multiLevelType w:val="hybridMultilevel"/>
    <w:lvl w:ilvl="0">
      <w:lvlJc w:val="left"/>
      <w:lvlText w:val="%1."/>
      <w:numFmt w:val="decimal"/>
      <w:start w:val="11"/>
    </w:lvl>
  </w:abstractNum>
  <w:abstractNum w:abstractNumId="15">
    <w:nsid w:val="B03E0C6"/>
    <w:multiLevelType w:val="hybridMultilevel"/>
    <w:lvl w:ilvl="0">
      <w:lvlJc w:val="left"/>
      <w:lvlText w:val="%1."/>
      <w:numFmt w:val="decimal"/>
      <w:start w:val="12"/>
    </w:lvl>
  </w:abstractNum>
  <w:abstractNum w:abstractNumId="16">
    <w:nsid w:val="189A769B"/>
    <w:multiLevelType w:val="hybridMultilevel"/>
    <w:lvl w:ilvl="0">
      <w:lvlJc w:val="left"/>
      <w:lvlText w:val="%1."/>
      <w:numFmt w:val="decimal"/>
      <w:start w:val="13"/>
    </w:lvl>
  </w:abstractNum>
  <w:abstractNum w:abstractNumId="17">
    <w:nsid w:val="54E49EB4"/>
    <w:multiLevelType w:val="hybridMultilevel"/>
    <w:lvl w:ilvl="0">
      <w:lvlJc w:val="left"/>
      <w:lvlText w:val="%1."/>
      <w:numFmt w:val="decimal"/>
      <w:start w:val="14"/>
    </w:lvl>
  </w:abstractNum>
  <w:abstractNum w:abstractNumId="18">
    <w:nsid w:val="71F32454"/>
    <w:multiLevelType w:val="hybridMultilevel"/>
    <w:lvl w:ilvl="0">
      <w:lvlJc w:val="left"/>
      <w:lvlText w:val="%1."/>
      <w:numFmt w:val="decimal"/>
      <w:start w:val="15"/>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04"/>
    </w:lvl>
  </w:abstractNum>
  <w:abstractNum w:abstractNumId="21">
    <w:nsid w:val="2901D82"/>
    <w:multiLevelType w:val="hybridMultilevel"/>
    <w:lvl w:ilvl="0">
      <w:lvlJc w:val="left"/>
      <w:lvlText w:val="%1)"/>
      <w:numFmt w:val="lowerRoman"/>
      <w:start w:val="3"/>
    </w:lvl>
  </w:abstractNum>
  <w:abstractNum w:abstractNumId="22">
    <w:nsid w:val="3A95F874"/>
    <w:multiLevelType w:val="hybridMultilevel"/>
    <w:lvl w:ilvl="0">
      <w:lvlJc w:val="left"/>
      <w:lvlText w:val="%1."/>
      <w:numFmt w:val="decimal"/>
      <w:start w:val="5"/>
    </w:lvl>
  </w:abstractNum>
  <w:abstractNum w:abstractNumId="23">
    <w:nsid w:val="8138641"/>
    <w:multiLevelType w:val="hybridMultilevel"/>
    <w:lvl w:ilvl="0">
      <w:lvlJc w:val="left"/>
      <w:lvlText w:val="(%1)"/>
      <w:numFmt w:val="decimal"/>
      <w:start w:val="90"/>
    </w:lvl>
  </w:abstractNum>
  <w:abstractNum w:abstractNumId="24">
    <w:nsid w:val="1E7FF521"/>
    <w:multiLevelType w:val="hybridMultilevel"/>
    <w:lvl w:ilvl="0">
      <w:lvlJc w:val="left"/>
      <w:lvlText w:val="%1."/>
      <w:numFmt w:val="decimal"/>
      <w:start w:val="11"/>
    </w:lvl>
  </w:abstractNum>
  <w:abstractNum w:abstractNumId="25">
    <w:nsid w:val="7C3DBD3D"/>
    <w:multiLevelType w:val="hybridMultilevel"/>
    <w:lvl w:ilvl="0">
      <w:lvlJc w:val="left"/>
      <w:lvlText w:val="%1."/>
      <w:numFmt w:val="decimal"/>
      <w:start w:val="14"/>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39" Type="http://schemas.openxmlformats.org/officeDocument/2006/relationships/hyperlink" Target="http://www.sec.gov/Archives/edgar/data/1822928/000121390021015000/ea137482ex2_1empower.htm" TargetMode="External"/><Relationship Id="rId40" Type="http://schemas.openxmlformats.org/officeDocument/2006/relationships/hyperlink" Target="http://www.sec.gov/Archives/edgar/data/1822928/000119312521220722/d185405dex31.htm" TargetMode="External"/><Relationship Id="rId41" Type="http://schemas.openxmlformats.org/officeDocument/2006/relationships/hyperlink" Target="http://www.sec.gov/Archives/edgar/data/1822928/000143774923022802/ex_5577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2025-05-07T06:50:00Z</dcterms:created>
  <dcterms:modified xsi:type="dcterms:W3CDTF">2025-05-07T06:50:00Z</dcterms:modified>
</cp:coreProperties>
</file>