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jc w:val="center"/>
        <w:rPr>
          <w:rFonts w:ascii="Times New Roman;serif" w:hAnsi="Times New Roman;serif"/>
          <w:b/>
          <w:color w:val="000000"/>
          <w:sz w:val="24"/>
        </w:rPr>
      </w:pPr>
      <w:r>
        <w:rPr>
          <w:rFonts w:ascii="Times New Roman;serif" w:hAnsi="Times New Roman;serif"/>
          <w:b/>
          <w:color w:val="000000"/>
          <w:sz w:val="24"/>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HOLLEY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001-39599</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87-1727560</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tbl>
      <w:tblPr>
        <w:tblW w:w="5396" w:type="dxa"/>
        <w:jc w:val="left"/>
        <w:tblInd w:w="0" w:type="dxa"/>
        <w:tblLayout w:type="fixed"/>
        <w:tblCellMar>
          <w:top w:w="28" w:type="dxa"/>
          <w:left w:w="28" w:type="dxa"/>
          <w:bottom w:w="28" w:type="dxa"/>
          <w:right w:w="28" w:type="dxa"/>
        </w:tblCellMar>
      </w:tblPr>
      <w:tblGrid>
        <w:gridCol w:w="1455"/>
        <w:gridCol w:w="1277"/>
        <w:gridCol w:w="1288"/>
        <w:gridCol w:w="109"/>
        <w:gridCol w:w="109"/>
        <w:gridCol w:w="109"/>
        <w:gridCol w:w="307"/>
        <w:gridCol w:w="307"/>
        <w:gridCol w:w="435"/>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1A Burton Hills Blvd, Suite 240, Nashville,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37215</w:t>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(270) 782-2900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58"/>
        <w:gridCol w:w="2037"/>
        <w:gridCol w:w="2061"/>
        <w:gridCol w:w="109"/>
        <w:gridCol w:w="109"/>
        <w:gridCol w:w="109"/>
        <w:gridCol w:w="317"/>
        <w:gridCol w:w="317"/>
        <w:gridCol w:w="319"/>
        <w:gridCol w:w="109"/>
        <w:gridCol w:w="109"/>
        <w:gridCol w:w="109"/>
        <w:gridCol w:w="595"/>
        <w:gridCol w:w="595"/>
        <w:gridCol w:w="852"/>
      </w:tblGrid>
      <w:tr>
        <w:trPr/>
        <w:tc>
          <w:tcPr>
            <w:tcW w:w="245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6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65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HLLY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6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Warrants, each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HLLY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5, 2026, Holley Inc. (the “Company”) issued a press release announcing its financial results and operational highlights for the Company’s quarter ended June 28, 2026 and providing outlook and guidance for the full year 2026. A copy of the press release is furnished herewith as Exhibit 99.1 and incorporated herein by reference.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information under Item 2.02 of this Report, including Exhibit 99.1, attached hereto, is furnished and shall not be deemed “filed” for purposes of Section 18 of the Securities Exchange Act of 1934, as amended (the “Exchange Act”), or otherwise subject to the liabilities of that section, nor shall it be deemed incorporated by reference in any filing under the Exchange Act or Securities Act of 1933, as amended, expect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 Exhibits</w:t>
      </w:r>
    </w:p>
    <w:tbl>
      <w:tblPr>
        <w:tblW w:w="6474"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673"/>
        <w:gridCol w:w="1673"/>
        <w:gridCol w:w="1678"/>
        <w:gridCol w:w="109"/>
        <w:gridCol w:w="109"/>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hlly-20260628xex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hlly-20260628xexx991.htm">
              <w:r>
                <w:rPr>
                  <w:rStyle w:val="InternetLink"/>
                  <w:rFonts w:ascii="Times New Roman;serif" w:hAnsi="Times New Roman;serif"/>
                  <w:b w:val="false"/>
                  <w:color w:val="0000FF"/>
                  <w:sz w:val="20"/>
                  <w:u w:val="single"/>
                </w:rPr>
                <w:t>Press release dated August 5, 2026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26" w:type="dxa"/>
        <w:jc w:val="left"/>
        <w:tblInd w:w="0" w:type="dxa"/>
        <w:tblLayout w:type="fixed"/>
        <w:tblCellMar>
          <w:top w:w="28" w:type="dxa"/>
          <w:left w:w="28" w:type="dxa"/>
          <w:bottom w:w="28" w:type="dxa"/>
          <w:right w:w="28" w:type="dxa"/>
        </w:tblCellMar>
      </w:tblPr>
      <w:tblGrid>
        <w:gridCol w:w="667"/>
        <w:gridCol w:w="587"/>
        <w:gridCol w:w="590"/>
        <w:gridCol w:w="221"/>
        <w:gridCol w:w="221"/>
        <w:gridCol w:w="221"/>
        <w:gridCol w:w="729"/>
        <w:gridCol w:w="729"/>
        <w:gridCol w:w="106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HOLLEY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6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Jesse Weaver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 Jesse Weaver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PRESS RELEASE </w:t>
      </w:r>
    </w:p>
    <w:tbl>
      <w:tblPr>
        <w:tblW w:w="5665" w:type="dxa"/>
        <w:jc w:val="center"/>
        <w:tblInd w:w="0" w:type="dxa"/>
        <w:tblLayout w:type="fixed"/>
        <w:tblCellMar>
          <w:top w:w="28" w:type="dxa"/>
          <w:left w:w="28" w:type="dxa"/>
          <w:bottom w:w="28" w:type="dxa"/>
          <w:right w:w="28" w:type="dxa"/>
        </w:tblCellMar>
      </w:tblPr>
      <w:tblGrid>
        <w:gridCol w:w="1053"/>
        <w:gridCol w:w="926"/>
        <w:gridCol w:w="927"/>
        <w:gridCol w:w="808"/>
        <w:gridCol w:w="808"/>
        <w:gridCol w:w="1143"/>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2906" w:type="dxa"/>
            <w:gridSpan w:val="3"/>
            <w:vMerge w:val="restart"/>
            <w:tcBorders>
              <w:top w:val="single" w:sz="8" w:space="0" w:color="000000"/>
              <w:bottom w:val="single" w:sz="6" w:space="0" w:color="000000"/>
            </w:tcBorders>
            <w:tcMar>
              <w:left w:w="0" w:type="dxa"/>
              <w:right w:w="0" w:type="dxa"/>
            </w:tcMar>
            <w:vAlign w:val="center"/>
          </w:tcPr>
          <w:p>
            <w:pPr>
              <w:pStyle w:val="TableContents"/>
              <w:bidi w:val="0"/>
              <w:spacing w:before="0" w:after="0"/>
              <w:jc w:val="left"/>
              <w:rPr/>
            </w:pPr>
            <w:r>
              <w:rPr/>
              <w:drawing>
                <wp:inline distT="0" distB="0" distL="0" distR="0">
                  <wp:extent cx="1781175" cy="1000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81175" cy="1000125"/>
                          </a:xfrm>
                          <a:prstGeom prst="rect">
                            <a:avLst/>
                          </a:prstGeom>
                        </pic:spPr>
                      </pic:pic>
                    </a:graphicData>
                  </a:graphic>
                </wp:inline>
              </w:drawing>
            </w:r>
          </w:p>
        </w:tc>
        <w:tc>
          <w:tcPr>
            <w:tcW w:w="2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vMerge w:val="continue"/>
            <w:tcBorders>
              <w:top w:val="single" w:sz="8" w:space="0" w:color="000000"/>
              <w:bottom w:val="single" w:sz="6" w:space="0" w:color="000000"/>
            </w:tcBorders>
            <w:tcMar>
              <w:left w:w="0" w:type="dxa"/>
              <w:right w:w="0" w:type="dxa"/>
            </w:tcMar>
            <w:vAlign w:val="center"/>
          </w:tcPr>
          <w:p>
            <w:pPr>
              <w:pStyle w:val="Normal"/>
              <w:bidi w:val="0"/>
              <w:jc w:val="left"/>
              <w:rPr/>
            </w:pPr>
            <w:r>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vMerge w:val="continue"/>
            <w:tcBorders>
              <w:top w:val="single" w:sz="8" w:space="0" w:color="000000"/>
              <w:bottom w:val="single" w:sz="6" w:space="0" w:color="000000"/>
            </w:tcBorders>
            <w:tcMar>
              <w:left w:w="0" w:type="dxa"/>
              <w:right w:w="0" w:type="dxa"/>
            </w:tcMar>
            <w:vAlign w:val="center"/>
          </w:tcPr>
          <w:p>
            <w:pPr>
              <w:pStyle w:val="Normal"/>
              <w:bidi w:val="0"/>
              <w:jc w:val="left"/>
              <w:rPr/>
            </w:pPr>
            <w:r>
              <w:rPr/>
            </w:r>
          </w:p>
        </w:tc>
        <w:tc>
          <w:tcPr>
            <w:tcW w:w="275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1A Burton Hills Blvd, Suite 240</w:t>
              <w:br/>
              <w:t>Nashville, TN 37215</w:t>
              <w:br/>
              <w:t>Holley.com</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HOLLEY REPORTS SECOND QUARTER 2026 RESULTS </w:t>
      </w:r>
    </w:p>
    <w:p>
      <w:pPr>
        <w:pStyle w:val="TextBody"/>
        <w:bidi w:val="0"/>
        <w:spacing w:lineRule="auto" w:line="288" w:before="0" w:after="240"/>
        <w:ind w:left="0" w:right="0" w:hanging="80"/>
        <w:jc w:val="center"/>
        <w:rPr>
          <w:rFonts w:ascii="Times New Roman;serif" w:hAnsi="Times New Roman;serif"/>
          <w:b/>
          <w:color w:val="000000"/>
          <w:sz w:val="20"/>
        </w:rPr>
      </w:pPr>
      <w:r>
        <w:rPr>
          <w:rFonts w:ascii="Times New Roman;serif" w:hAnsi="Times New Roman;serif"/>
          <w:b/>
          <w:color w:val="000000"/>
          <w:sz w:val="20"/>
        </w:rPr>
        <w:t xml:space="preserve">DOUBLE-DIGIT CORE GROWTH IN THREE OF FOUR DIVISIONS </w:t>
      </w:r>
    </w:p>
    <w:p>
      <w:pPr>
        <w:pStyle w:val="TextBody"/>
        <w:bidi w:val="0"/>
        <w:spacing w:lineRule="auto" w:line="288" w:before="0" w:after="240"/>
        <w:ind w:left="0" w:right="0" w:hanging="80"/>
        <w:jc w:val="center"/>
        <w:rPr>
          <w:rFonts w:ascii="Times New Roman;serif" w:hAnsi="Times New Roman;serif"/>
          <w:b/>
          <w:color w:val="000000"/>
          <w:sz w:val="20"/>
        </w:rPr>
      </w:pPr>
      <w:r>
        <w:rPr>
          <w:rFonts w:ascii="Times New Roman;serif" w:hAnsi="Times New Roman;serif"/>
          <w:b/>
          <w:color w:val="000000"/>
          <w:sz w:val="20"/>
        </w:rPr>
        <w:t>RETURN TO NET SALES GROWTH REFLECTS STRENGTH ACROSS THE BUSINESS</w:t>
      </w:r>
    </w:p>
    <w:p>
      <w:pPr>
        <w:pStyle w:val="TextBody"/>
        <w:bidi w:val="0"/>
        <w:spacing w:lineRule="auto" w:line="288" w:before="0" w:after="240"/>
        <w:ind w:left="0" w:right="0" w:hanging="80"/>
        <w:jc w:val="center"/>
        <w:rPr>
          <w:rFonts w:ascii="Times New Roman;serif" w:hAnsi="Times New Roman;serif"/>
          <w:b/>
          <w:color w:val="000000"/>
          <w:sz w:val="20"/>
        </w:rPr>
      </w:pPr>
      <w:r>
        <w:rPr>
          <w:rFonts w:ascii="Times New Roman;serif" w:hAnsi="Times New Roman;serif"/>
          <w:b/>
          <w:color w:val="000000"/>
          <w:sz w:val="20"/>
        </w:rPr>
        <w:t xml:space="preserve">LEVERAGE RATIO LOWEST LEVEL IN THE LAST FOUR YEARS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i/>
          <w:color w:val="000000"/>
          <w:sz w:val="20"/>
        </w:rPr>
      </w:pPr>
      <w:r>
        <w:rPr>
          <w:rFonts w:ascii="Times New Roman;serif" w:hAnsi="Times New Roman;serif"/>
          <w:b/>
          <w:i/>
          <w:color w:val="000000"/>
          <w:sz w:val="20"/>
        </w:rPr>
        <w:t>Advancing Portfolio Rebalancing Initiative to Enhance Focus, Simplify Operations, and Support Second-Half 2026 Performance</w:t>
      </w:r>
    </w:p>
    <w:p>
      <w:pPr>
        <w:pStyle w:val="TextBody"/>
        <w:bidi w:val="0"/>
        <w:spacing w:before="0" w:after="0"/>
        <w:ind w:left="0" w:right="0" w:firstLine="720"/>
        <w:jc w:val="center"/>
        <w:rPr/>
      </w:pPr>
      <w:r>
        <w:rPr/>
      </w:r>
    </w:p>
    <w:p>
      <w:pPr>
        <w:pStyle w:val="TextBody"/>
        <w:bidi w:val="0"/>
        <w:spacing w:lineRule="auto" w:line="288" w:before="0" w:after="200"/>
        <w:jc w:val="left"/>
        <w:rPr/>
      </w:pPr>
      <w:r>
        <w:rPr>
          <w:rFonts w:ascii="Times New Roman;serif" w:hAnsi="Times New Roman;serif"/>
          <w:b/>
          <w:color w:val="000000"/>
          <w:sz w:val="20"/>
        </w:rPr>
        <w:t>Nashville, TN.</w:t>
      </w:r>
      <w:r>
        <w:rPr>
          <w:color w:val="000000"/>
        </w:rPr>
        <w:t xml:space="preserve"> – </w:t>
      </w:r>
      <w:r>
        <w:rPr>
          <w:rFonts w:ascii="Times New Roman;serif" w:hAnsi="Times New Roman;serif"/>
          <w:b w:val="false"/>
          <w:color w:val="000000"/>
          <w:sz w:val="20"/>
        </w:rPr>
        <w:t>August 5, 2026 – Holley Performance Brands (NYSE: HLLY), a leader in automotive aftermarket performance solutions, today announced financial results for its second quarter ended June 28, 2026.</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Second Quarter Highlights vs.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Sales grew 3.2% to $172.0 million compared to $166.7 million last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Core business net sales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grew by 4.9% after excluding portfolio divestitures and portfolio rebalancing initiative.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was $(2.4) million, or $(0.02) per diluted share, compared to Net Income of $10.9 million, or $0.09 per diluted share, last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Includes a $28.3 million loss on the sale of non-core assets related to the Company's portfolio rebalancing initiative.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Provided by Operating Activities was $47.1 million compared to $40.5 million last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Net Income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$24.0 million compared to $10.6 million last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$33.8 million compared to $36.4 million last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EBITDA margin</w:t>
      </w:r>
      <w:r>
        <w:rPr>
          <w:rFonts w:ascii="Times New Roman;serif" w:hAnsi="Times New Roman;serif"/>
          <w:b w:val="false"/>
          <w:color w:val="000000"/>
          <w:sz w:val="13"/>
        </w:rPr>
        <w:t xml:space="preserve">1 </w:t>
      </w:r>
      <w:r>
        <w:rPr>
          <w:rFonts w:ascii="Times New Roman;serif" w:hAnsi="Times New Roman;serif"/>
          <w:b w:val="false"/>
          <w:color w:val="000000"/>
          <w:sz w:val="20"/>
        </w:rPr>
        <w:t>was 19.6% compared to 21.9% last year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Free Cash Flow</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$40.9 million compared to $35.7 million last year</w:t>
      </w:r>
    </w:p>
    <w:p>
      <w:pPr>
        <w:pStyle w:val="TextBody"/>
        <w:bidi w:val="0"/>
        <w:spacing w:lineRule="auto" w:line="288" w:before="0" w:after="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Core business net sales excludes sales of divested businesses and the portfolio rebalancing initiative.</w:t>
      </w:r>
    </w:p>
    <w:p>
      <w:pPr>
        <w:pStyle w:val="TextBody"/>
        <w:bidi w:val="0"/>
        <w:spacing w:lineRule="auto" w:line="288" w:before="0" w:after="120"/>
        <w:ind w:left="0" w:right="0" w:hanging="90"/>
        <w:jc w:val="left"/>
        <w:rPr/>
      </w:pPr>
      <w:r>
        <w:rPr>
          <w:rFonts w:ascii="Times New Roman;serif" w:hAnsi="Times New Roman;serif"/>
          <w:b w:val="false"/>
          <w:color w:val="000000"/>
          <w:sz w:val="10"/>
        </w:rPr>
        <w:t>2</w:t>
      </w:r>
      <w:r>
        <w:rPr>
          <w:rFonts w:ascii="Times New Roman;serif" w:hAnsi="Times New Roman;serif"/>
          <w:b w:val="false"/>
          <w:color w:val="000000"/>
          <w:sz w:val="16"/>
        </w:rPr>
        <w:t>See “Use and Reconciliation of Non-GAAP Financial Measures” below.</w:t>
      </w:r>
    </w:p>
    <w:p>
      <w:pPr>
        <w:pStyle w:val="TextBody"/>
        <w:bidi w:val="0"/>
        <w:spacing w:before="0" w:after="120"/>
        <w:ind w:left="0" w:right="0" w:firstLine="270"/>
        <w:jc w:val="left"/>
        <w:rPr/>
      </w:pPr>
      <w:r>
        <w:rPr/>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Our second quarter results reflect positive core growth and continued execution against the strategic priorities we outlined earlier this year, with three of our four business segments delivering year-over-year core growth,” said Matthew Stevenson, President and Chief Executive Officer of Holley.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Stevenson continued, “We believe we are entering the second half of the year with solid momentum, supported by new national retailer placements, a healthy cadence of product innovation, and several important launches slated for the coming months. At the same time, we have reinvigorated our marketing calendar with a greater focus on brand activation and enthusiast engagement, helping to strengthen awareness and demand across our portfolio.</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During the quarter we completed the sale of our non-core Restoration brands, including Scott Drake and Brothers Trucks, a step that further reduces complexity and enables us to concentrate resources on our highest-priority growth opportunities. We remain focused on disciplined execution and believe the actions we have taken position Holley for continued progress in the periods ahead.”</w:t>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Jesse Weaver, Chief Financial Officer of Holley, added, “The second quarter showcased our continued focus on cash generation, balance sheet improvement, and disciplined capital allocation. Our underlying operating performance was stronger than the year-over-year Adjusted EBITDA comparison suggests: the prior-year quarter included a one-time, non-cash benefit from the capitalization of tariff costs that did not repeat this year, and adjust for that item, we believe Adjusted EBITDA performance was approximately flat year-over-year. We generated strong free cash flow in the quarter and year-to-date, which enabled us to continue making progress on our capital priorities.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quarter, we repurchased approximately $2.0 million of our common stock, reflecting our confidence in the long-term value of the business. Following a $15.0 million voluntary debt prepayment made after quarter-end, we have now reduced debt by $115.0 million through voluntary prepayments since September 2023. Combined with our strong cash generation, these actions contributed to another quarter of leverage reduction helping us maintain progress towards finishing the year below our targeted leverage ratio of 3.5x.</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"Based on our first-half performance and the opportunities we see in the second half of the year, we are reiterating our full-year guidance and remain focused on delivering sustainable value for our shareholders."</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Strategic Business Highlights and Recent Events</w:t>
      </w:r>
    </w:p>
    <w:p>
      <w:pPr>
        <w:pStyle w:val="TextBody"/>
        <w:bidi w:val="0"/>
        <w:spacing w:lineRule="auto" w:line="288" w:before="0" w:after="0"/>
        <w:ind w:left="0" w:right="0" w:hanging="360"/>
        <w:jc w:val="left"/>
        <w:rPr/>
      </w:pPr>
      <w:bookmarkStart w:id="0" w:name="i3163bda3b6cb4800857588a18751989a_13426"/>
      <w:bookmarkEnd w:id="0"/>
      <w:r>
        <w:rPr>
          <w:color w:val="000000"/>
        </w:rPr>
        <w:t>•</w:t>
      </w:r>
      <w:r>
        <w:rPr>
          <w:rFonts w:ascii="Times New Roman;serif" w:hAnsi="Times New Roman;serif"/>
          <w:b w:val="false"/>
          <w:color w:val="000000"/>
          <w:sz w:val="20"/>
        </w:rPr>
        <w:t>27 brands delivered growth across DTC and B2B channels.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Generated $40.9 million of free cash flow and remain on track for year-end leverage below 3.5x.</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Long Term Strategic initiatives drove $13.4 million in revenue and delivered $8.3 million in cost savings.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Realigned marketing to strengthen consumer engagement and brand activation.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Repurchased ~$2.0 million of shares, reinforcing confidence in our long-term value creation.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portfolio rebalancing through the divestiture of the non-core Restoration brands.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debt by an additional $15.0 million, bringing total debt reduction to $115.0 million since September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Well positioned for H2 2026 with new retail placements and a strong product launch pipeline.</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Outlook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year ending December 31, 2026, core business revenue guidance remains unchanged:</w:t>
      </w:r>
    </w:p>
    <w:tbl>
      <w:tblPr>
        <w:tblW w:w="6974" w:type="dxa"/>
        <w:jc w:val="left"/>
        <w:tblInd w:w="0" w:type="dxa"/>
        <w:tblLayout w:type="fixed"/>
        <w:tblCellMar>
          <w:top w:w="28" w:type="dxa"/>
          <w:left w:w="28" w:type="dxa"/>
          <w:bottom w:w="28" w:type="dxa"/>
          <w:right w:w="28" w:type="dxa"/>
        </w:tblCellMar>
      </w:tblPr>
      <w:tblGrid>
        <w:gridCol w:w="1481"/>
        <w:gridCol w:w="1300"/>
        <w:gridCol w:w="1314"/>
        <w:gridCol w:w="842"/>
        <w:gridCol w:w="842"/>
        <w:gridCol w:w="1195"/>
      </w:tblGrid>
      <w:tr>
        <w:trPr/>
        <w:tc>
          <w:tcPr>
            <w:tcW w:w="148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Full Year 2026 Outlook</w:t>
            </w:r>
          </w:p>
        </w:tc>
      </w:tr>
      <w:tr>
        <w:trPr/>
        <w:tc>
          <w:tcPr>
            <w:tcW w:w="40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Net Sales </w:t>
            </w:r>
            <w:r>
              <w:rPr>
                <w:rFonts w:ascii="Times New Roman;serif" w:hAnsi="Times New Roman;serif"/>
                <w:b/>
                <w:i/>
                <w:color w:val="000000"/>
                <w:sz w:val="20"/>
              </w:rPr>
              <w:t>Core Business Growth Rate %</w:t>
            </w:r>
            <w:r>
              <w:rPr>
                <w:rFonts w:ascii="Times New Roman;serif" w:hAnsi="Times New Roman;serif"/>
                <w:b/>
                <w:i/>
                <w:color w:val="000000"/>
                <w:sz w:val="13"/>
              </w:rPr>
              <w:t>1</w:t>
            </w:r>
          </w:p>
        </w:tc>
        <w:tc>
          <w:tcPr>
            <w:tcW w:w="28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$610 - $640 million </w:t>
            </w:r>
            <w:r>
              <w:rPr>
                <w:rFonts w:ascii="Times New Roman;serif" w:hAnsi="Times New Roman;serif"/>
                <w:b w:val="false"/>
                <w:i/>
                <w:color w:val="000000"/>
                <w:sz w:val="20"/>
              </w:rPr>
              <w:t>~2% to ~7%</w:t>
            </w:r>
          </w:p>
        </w:tc>
      </w:tr>
      <w:tr>
        <w:trPr/>
        <w:tc>
          <w:tcPr>
            <w:tcW w:w="40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 EBITDA*</w:t>
            </w:r>
          </w:p>
        </w:tc>
        <w:tc>
          <w:tcPr>
            <w:tcW w:w="28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$127 - $137 million</w:t>
            </w:r>
          </w:p>
        </w:tc>
      </w:tr>
      <w:tr>
        <w:trPr/>
        <w:tc>
          <w:tcPr>
            <w:tcW w:w="40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Capital Expenditures</w:t>
            </w:r>
          </w:p>
        </w:tc>
        <w:tc>
          <w:tcPr>
            <w:tcW w:w="28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$15 - $20 million</w:t>
            </w:r>
          </w:p>
        </w:tc>
      </w:tr>
      <w:tr>
        <w:trPr/>
        <w:tc>
          <w:tcPr>
            <w:tcW w:w="40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Depreciation and Amortization Expense</w:t>
            </w:r>
          </w:p>
        </w:tc>
        <w:tc>
          <w:tcPr>
            <w:tcW w:w="28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$24 - $26 million</w:t>
            </w:r>
          </w:p>
        </w:tc>
      </w:tr>
      <w:tr>
        <w:trPr/>
        <w:tc>
          <w:tcPr>
            <w:tcW w:w="4095"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Interest Expense (excluding collar revaluation)</w:t>
            </w:r>
          </w:p>
        </w:tc>
        <w:tc>
          <w:tcPr>
            <w:tcW w:w="2879"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$42 - $47 million</w:t>
            </w:r>
          </w:p>
        </w:tc>
      </w:tr>
    </w:tbl>
    <w:p>
      <w:pPr>
        <w:pStyle w:val="TextBody"/>
        <w:bidi w:val="0"/>
        <w:spacing w:lineRule="auto" w:line="288" w:before="0" w:after="12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Core Business Growth Rate, excludes impact from Portfolio Rebalancing Initiative.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Holley is not providing reconciliations of forward-looking full year 2026 Adjusted EBITDA outlook because certain information necessary to calculate the most comparable GAAP measure, net income, is unavailable due to the uncertainty and inherent difficulty of predicting the occurrence and the future financial statement impact of certain items. Therefore, as a result of the uncertainty and variability of the nature and amount of future adjustments, which could be significant, Holley is unable to provide these forward-looking reconciliations without unreasonable effort. Accordingly, Holley is relying on the exception provided by Item 10(e)(1)(i)(B) of Regulation S-K to exclude these reconciliations.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Holley notes that its outlook for the year-ending December 31, 2026 may vary due to changes in assumptions or market conditions and other factors described below under “Forward-Looking Statements.”</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56"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conference call and audio webcast has been scheduled for 8:30 a.m. Eastern Time today to discuss these results. Investors, analysts, and members of the media interested in listening to the live presentation are encouraged to join a webcast of the call available on the investor relations portion of the Company’s website at investor.holley.com. For those </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56" w:before="0" w:after="200"/>
        <w:jc w:val="left"/>
        <w:rPr>
          <w:rFonts w:ascii="Times New Roman;serif" w:hAnsi="Times New Roman;serif"/>
          <w:b w:val="false"/>
          <w:color w:val="000000"/>
          <w:sz w:val="20"/>
        </w:rPr>
      </w:pPr>
      <w:r>
        <w:rPr>
          <w:rFonts w:ascii="Times New Roman;serif" w:hAnsi="Times New Roman;serif"/>
          <w:b w:val="false"/>
          <w:color w:val="000000"/>
          <w:sz w:val="20"/>
        </w:rPr>
        <w:t>that cannot join the webcast, you can participate by dialing 877-407-4019 (Toll Free) or 201-689-8337 (Toll) using the access code of 13761658.</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those unable to participate, a telephone replay recording will be available until Wednesday, August 12, 2026. To access the replay, please call 877-660-6853 (Toll Free) or 201-612-7415 (Toll) and enter confirmation code 13761658. A web-based archive of the conference call will also be available on the Company’s website.</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Additional Financial Information</w:t>
      </w:r>
    </w:p>
    <w:p>
      <w:pPr>
        <w:pStyle w:val="TextBody"/>
        <w:bidi w:val="0"/>
        <w:spacing w:lineRule="auto" w:line="288" w:before="0" w:after="200"/>
        <w:jc w:val="left"/>
        <w:rPr/>
      </w:pPr>
      <w:r>
        <w:rPr>
          <w:rFonts w:ascii="Times New Roman;serif" w:hAnsi="Times New Roman;serif"/>
          <w:b w:val="false"/>
          <w:color w:val="000000"/>
          <w:sz w:val="20"/>
        </w:rPr>
        <w:t xml:space="preserve">The Investor Relations page of Holley’s website, </w:t>
      </w:r>
      <w:r>
        <w:rPr>
          <w:rFonts w:ascii="Times New Roman;serif" w:hAnsi="Times New Roman;serif"/>
          <w:b w:val="false"/>
          <w:color w:val="000000"/>
          <w:sz w:val="20"/>
          <w:u w:val="single"/>
        </w:rPr>
        <w:t>investor.holley.com</w:t>
      </w:r>
      <w:r>
        <w:rPr>
          <w:color w:val="000000"/>
        </w:rPr>
        <w:t xml:space="preserve"> </w:t>
      </w:r>
      <w:r>
        <w:rPr>
          <w:rFonts w:ascii="Times New Roman;serif" w:hAnsi="Times New Roman;serif"/>
          <w:b w:val="false"/>
          <w:color w:val="000000"/>
          <w:sz w:val="20"/>
        </w:rPr>
        <w:t>contains a significant amount of financial information about Holley, including our earnings presentation, which can be found under Events &amp; Presentations. Holley encourages investors to visit this website regularly, as information is updated, and new information is posted.</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About Holley Performance Brands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Holley Performance Brands (NYSE: HLLY) leads in the design, manufacturing and marketing of high-performance products for automotive enthusiasts. The company owns and manages a portfolio of iconic brands, catering to a diverse community of enthusiasts passionate about the customization and performance of their vehicles. Holley Performance Brands distinguishes itself through a strategic focus on four consumer vertical groupings, including American Performance, Modern Truck &amp; Off-Road, Euro &amp; Import, and Safety &amp; Racing, ensuring a wide-ranging impact across the automotive aftermarket industry. Renowned for its innovative approach and strategic acquisitions, Holley Performance Brands is committed to enhancing the enthusiast experience and driving growth through innovation. For more information on Holley Performance Brands and its dedication to automotive excellence, visit https://www.holley.com.</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press release may be considered “forward-looking statements” within the meaning of the “safe harbor” provisions of the United States Private Securities Litigation Reform Act of 1995. Forward-looking statements generally relate to future events or Holley’s future financial or operating performance. For example, projections of future revenue and adjusted EBITDA and other metrics, along with statements regarding the impact of portfolio rebalancing efforts and organizational changes, are forward-looking statements. In some cases, you can identify forward-looking statements by terminology such as “may,” “should,” “expect,” “intend,” “will,” “estimate,” “anticipate,” “believe,” “predict,” “or”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Holley and its management, are inherently uncertain. Factors that may cause actual results to differ materially from current expectations include, but are not limited to: 1) Holley’s ability to execute our business strategy, including monetization of services provided and expansions in and into existing and new lines of business and successfully exiting non-core, low profit businesses; 2) Holley’s ability to compete effectively in our market; 3) Holley’s ability to successfully design, develop, and market new, effective, and safe products and platforms; 4) Holley’s ability to respond to changes in vehicle ownership and type; 5) Holley’s ability to maintain and strengthen demand for our products; 6) Holley’s ability to grow and effectively manage our growth; 7) Holley’s ability to attract new customers in a cost-effective manner and to expand into additional consumer markets; 8) Holley’s ability to successfully complete and integrate acquisitions or achieve the expected synergies from such acquisitions; 9) Holley’s ability to maintain relationships with customers and suppliers; 10) Holley’s ability to retain our management and key employees; 11) costs related to Holley being a public company; 12) disruptions to Holley’s operations, including as a result of cybersecurity incidents; 13) changes in applicable laws or regulations; 14) the outcome of any legal proceedings that have been or may be instituted against Holley; 15) general economic and political conditions, including the current macroeconomic environment, political tensions, and war (including the conflict in Ukraine, the conflict in the Middle East, and the possible expansion of such conflicts and potential geopolitical consequences); 16) the possibility that Holley may be adversely affected by other economic, business, and/or competitive factors, including recent events affecting the financial services industry (such as the closures of certain regional banks); 17) Holley’s estimates of its financial performance (e.g., the successful execution of cost saving initiatives); 18) Holley’s ability to anticipate and manage through disruptions and higher costs in manufacturing, supply chain, logistical operations, and shortages of certain company products in distribution channels; 19) Holley’s ability to anticipate, manage, and mitigate the impact of changing trade policies, including tariffs; 20) disruptions and costs associated with doing business in certain countries; 21) Holley’s ability to adopt and react to risks posed by new technology; 22) inability to predict how products will ultimately be used; 23) Holley's ability to anticipate and manage through the impact of elevated interest rate levels, which cause the cost of capital to increase, as well as respond to inflationary pressures and trade restrictions, including tariffs; and 24) other risks and uncertainties set forth in the section entitled “Risk Factors” and “Cautionary Note Regarding Forward-Looking Statements” in the Annual Report on Form 10-K for the year ended December 31, 2025 filed with the U.S. Securities and Exchange Commission (“SEC”) on March 16, 2026, and disclosed in any subsequent filings with the SEC. Although </w:t>
      </w: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Holley believes the expectations reflected in the forward-looking statements are reasonable, nothing in this press release should be regarded as a representation by any person that the forward-looking statements or projections set forth herein will be achieved or that any of the contemplated results of such forward looking statements or projections will be achieved. There may be additional risks that Holley presently does not know or that Holley currently believes are immaterial that could also cause actual results to differ from those contained in the forward-looking statements. You should not place undue reliance on forward-looking statements, which speak only as of the date they are made. Holley undertakes no duty to update these forward-looking statements, except as otherwise required by law.</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Investor Relations Contacts: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Anthony Rozmus / Jenna Kozlowski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Solebury Strategic Communications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203-428-3324</w:t>
      </w:r>
    </w:p>
    <w:p>
      <w:pPr>
        <w:pStyle w:val="TextBody"/>
        <w:bidi w:val="0"/>
        <w:spacing w:lineRule="auto" w:line="288" w:before="0" w:after="2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holley@soleburystrat.com</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Relations Contacts: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Nathan Espinosa/Michael Murray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Kahn 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818-881-5246</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Holley@KahnMedia.com</w: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[Financial Tables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HOLLEY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2195" w:type="dxa"/>
        <w:jc w:val="left"/>
        <w:tblInd w:w="0" w:type="dxa"/>
        <w:tblLayout w:type="fixed"/>
        <w:tblCellMar>
          <w:top w:w="28" w:type="dxa"/>
          <w:left w:w="28" w:type="dxa"/>
          <w:bottom w:w="28" w:type="dxa"/>
          <w:right w:w="28" w:type="dxa"/>
        </w:tblCellMar>
      </w:tblPr>
      <w:tblGrid>
        <w:gridCol w:w="616"/>
        <w:gridCol w:w="445"/>
        <w:gridCol w:w="140"/>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308"/>
        <w:gridCol w:w="308"/>
        <w:gridCol w:w="404"/>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308"/>
        <w:gridCol w:w="308"/>
        <w:gridCol w:w="646"/>
      </w:tblGrid>
      <w:tr>
        <w:trPr/>
        <w:tc>
          <w:tcPr>
            <w:tcW w:w="61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twenty-six weeks ended</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28,</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166,661 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319,337 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319,705 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70,544 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69,558 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131,280 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133,646 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4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136.7 </w:t>
            </w:r>
          </w:p>
        </w:tc>
        <w:tc>
          <w:tcPr>
            <w:tcW w:w="4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nm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67,779 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42,044 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25,735 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4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111,007 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86,789 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24,218 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27,514 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(24,749)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4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46,857 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(26,584)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nm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nm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13,148 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(6,753)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4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(13,830)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(3,630)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(17,996)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4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(12,754)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nm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10,863 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-122.4 </w:t>
            </w:r>
          </w:p>
        </w:tc>
        <w:tc>
          <w:tcPr>
            <w:tcW w:w="4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4,826 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6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-250.9 </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-396.2 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12,102 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(16,401)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4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Common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-122.2 </w:t>
            </w:r>
          </w:p>
        </w:tc>
        <w:tc>
          <w:tcPr>
            <w:tcW w:w="4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-122.3 </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4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HOLLEY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47"/>
        <w:gridCol w:w="2173"/>
        <w:gridCol w:w="2192"/>
        <w:gridCol w:w="109"/>
        <w:gridCol w:w="109"/>
        <w:gridCol w:w="109"/>
        <w:gridCol w:w="211"/>
        <w:gridCol w:w="976"/>
        <w:gridCol w:w="109"/>
        <w:gridCol w:w="109"/>
        <w:gridCol w:w="109"/>
        <w:gridCol w:w="109"/>
        <w:gridCol w:w="211"/>
        <w:gridCol w:w="976"/>
        <w:gridCol w:w="156"/>
      </w:tblGrid>
      <w:tr>
        <w:trPr/>
        <w:tc>
          <w:tcPr>
            <w:tcW w:w="2547"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$2,086 and $1,856,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316,161 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1,162,368 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1,163,953 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108,133 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115,123 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712,630 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715,028 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707,113 and zero shares held as of June 28,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448,925</w:t>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1,163,953 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HOLLEY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112" w:type="dxa"/>
        <w:jc w:val="left"/>
        <w:tblInd w:w="0" w:type="dxa"/>
        <w:tblLayout w:type="fixed"/>
        <w:tblCellMar>
          <w:top w:w="28" w:type="dxa"/>
          <w:left w:w="28" w:type="dxa"/>
          <w:bottom w:w="28" w:type="dxa"/>
          <w:right w:w="28" w:type="dxa"/>
        </w:tblCellMar>
      </w:tblPr>
      <w:tblGrid>
        <w:gridCol w:w="1526"/>
        <w:gridCol w:w="1341"/>
        <w:gridCol w:w="1348"/>
        <w:gridCol w:w="109"/>
        <w:gridCol w:w="109"/>
        <w:gridCol w:w="109"/>
        <w:gridCol w:w="219"/>
        <w:gridCol w:w="750"/>
        <w:gridCol w:w="113"/>
        <w:gridCol w:w="113"/>
        <w:gridCol w:w="113"/>
        <w:gridCol w:w="113"/>
        <w:gridCol w:w="219"/>
        <w:gridCol w:w="750"/>
        <w:gridCol w:w="113"/>
        <w:gridCol w:w="109"/>
        <w:gridCol w:w="109"/>
        <w:gridCol w:w="109"/>
        <w:gridCol w:w="236"/>
        <w:gridCol w:w="806"/>
        <w:gridCol w:w="121"/>
        <w:gridCol w:w="121"/>
        <w:gridCol w:w="121"/>
        <w:gridCol w:w="121"/>
        <w:gridCol w:w="236"/>
        <w:gridCol w:w="806"/>
        <w:gridCol w:w="172"/>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twenty-six weeks ended</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6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net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47,111 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40,487 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44,254 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32,637 </w:t>
            </w:r>
          </w:p>
        </w:tc>
        <w:tc>
          <w:tcPr>
            <w:tcW w:w="1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license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(13,158)</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(6,029)</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(20,898)</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from stock-based award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purchase,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(15,133)</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rate fluctuations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69,020 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63,842 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69,020 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63,842 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We present certain information with respect to EBITDA, Adjusted EBITDA, Adjusted EBITDA Margin, Credit Agreement Total Leverage Ratio (the "Leverage Ratio"), Adjusted Net Income, Adjusted Diluted EPS and Free Cash Flow as supplemental measures of our operating performance and believe that such non-GAAP financial measures are useful to investors in evaluating our financial performance and in comparing our financial results between periods because they exclude the impact of certain items that we do not consider indicative of our ongoing operating performance. We believe that the presentation of these non-GAAP financial measures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EBITDA, Adjusted EBITDA, Adjusted EBITDA Margin, the Leverage Ratio, Adjusted Net Income, Adjusted Diluted EPS and Free Cash Flow are not prepared in accordance with generally accepted accounting principles (“GAAP”) and may be different from non-GAAP and other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define EBITDA as earnings before depreciation, amortization of intangible assets, interest expense, and income tax expense. We define Adjusted EBITDA as EBITDA adjusted to exclude, to the extent applicable,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gain or loss on the early extinguishment of debt; notable items that we do not believe are reflective of our underlying operating performance, including litigation settlements and certain costs incurred for advisory services related to identifying performance initiatives; and other expenses or gains, which includes gains or losses from disposal of fixed assets, franchise taxes, and gains or losses from foreign currency transactions. In addition, beginning with the quarter ended June 28, 2026, we have excluded from Adjusted EBITDA as a notable item any tariff refund income received in the quarter, as the refunds are non-recurring in nature for tariff costs incurred in the past and are not reflective of our ongoing performance. We define Adjusted EBITDA Margin as Adjusted EBITDA divided by net sales.</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HOLLEY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AND RECONCILIATION OF 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13"/>
        <w:gridCol w:w="1056"/>
        <w:gridCol w:w="1057"/>
        <w:gridCol w:w="109"/>
        <w:gridCol w:w="109"/>
        <w:gridCol w:w="109"/>
        <w:gridCol w:w="211"/>
        <w:gridCol w:w="841"/>
        <w:gridCol w:w="328"/>
        <w:gridCol w:w="109"/>
        <w:gridCol w:w="109"/>
        <w:gridCol w:w="109"/>
        <w:gridCol w:w="211"/>
        <w:gridCol w:w="841"/>
        <w:gridCol w:w="271"/>
        <w:gridCol w:w="109"/>
        <w:gridCol w:w="109"/>
        <w:gridCol w:w="109"/>
        <w:gridCol w:w="211"/>
        <w:gridCol w:w="841"/>
        <w:gridCol w:w="271"/>
        <w:gridCol w:w="109"/>
        <w:gridCol w:w="109"/>
        <w:gridCol w:w="109"/>
        <w:gridCol w:w="211"/>
        <w:gridCol w:w="841"/>
        <w:gridCol w:w="493"/>
      </w:tblGrid>
      <w:tr>
        <w:trPr/>
        <w:tc>
          <w:tcPr>
            <w:tcW w:w="121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twenty-six weeks ended</w:t>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(2,430)</w:t>
            </w:r>
          </w:p>
        </w:tc>
        <w:tc>
          <w:tcPr>
            <w:tcW w:w="3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10,863</w:t>
            </w:r>
            <w:r>
              <w:rPr>
                <w:color w:val="000000"/>
              </w:rPr>
              <w:t>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4,826</w:t>
            </w:r>
            <w:r>
              <w:rPr>
                <w:color w:val="000000"/>
              </w:rPr>
              <w:t>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13,680</w:t>
            </w:r>
            <w:r>
              <w:rPr>
                <w:color w:val="000000"/>
              </w:rPr>
              <w:t> </w:t>
            </w:r>
          </w:p>
        </w:tc>
        <w:tc>
          <w:tcPr>
            <w:tcW w:w="49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4,514 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10,638</w:t>
            </w:r>
            <w:r>
              <w:rPr>
                <w:color w:val="000000"/>
              </w:rPr>
              <w:t> </w:t>
            </w:r>
          </w:p>
        </w:tc>
        <w:tc>
          <w:tcPr>
            <w:tcW w:w="3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33,305</w:t>
            </w:r>
            <w:r>
              <w:rPr>
                <w:color w:val="000000"/>
              </w:rPr>
              <w:t>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35,642</w:t>
            </w:r>
            <w:r>
              <w:rPr>
                <w:color w:val="000000"/>
              </w:rPr>
              <w:t> </w:t>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58,737</w:t>
            </w:r>
            <w:r>
              <w:rPr>
                <w:color w:val="000000"/>
              </w:rPr>
              <w:t> </w:t>
            </w:r>
          </w:p>
        </w:tc>
        <w:tc>
          <w:tcPr>
            <w:tcW w:w="49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Notable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(8,903)</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33,754</w:t>
            </w:r>
            <w:r>
              <w:rPr>
                <w:color w:val="000000"/>
              </w:rPr>
              <w:t>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36,428</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61,074</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63,715</w:t>
            </w:r>
            <w:r>
              <w:rPr>
                <w:color w:val="000000"/>
              </w:rPr>
              <w:t>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172,007</w:t>
            </w:r>
            <w:r>
              <w:rPr>
                <w:color w:val="000000"/>
              </w:rPr>
              <w:t> </w:t>
            </w:r>
          </w:p>
        </w:tc>
        <w:tc>
          <w:tcPr>
            <w:tcW w:w="3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166,661</w:t>
            </w: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319,337</w:t>
            </w:r>
            <w:r>
              <w:rPr>
                <w:color w:val="000000"/>
              </w:rPr>
              <w:t>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319,705</w:t>
            </w:r>
            <w:r>
              <w:rPr>
                <w:color w:val="000000"/>
              </w:rPr>
              <w:t> </w:t>
            </w:r>
          </w:p>
        </w:tc>
        <w:tc>
          <w:tcPr>
            <w:tcW w:w="49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define the Leverage Ratio as Net Debt divided by our Credit Agreement EBITDA for the trailing twelve-month ("TTM") period, as defined under our Credit Agreement entered into in November 2021, as amended, which is used in calculating covenant compliance.</w:t>
      </w:r>
    </w:p>
    <w:tbl>
      <w:tblPr>
        <w:tblW w:w="7733" w:type="dxa"/>
        <w:jc w:val="left"/>
        <w:tblInd w:w="0" w:type="dxa"/>
        <w:tblLayout w:type="fixed"/>
        <w:tblCellMar>
          <w:top w:w="28" w:type="dxa"/>
          <w:left w:w="28" w:type="dxa"/>
          <w:bottom w:w="28" w:type="dxa"/>
          <w:right w:w="28" w:type="dxa"/>
        </w:tblCellMar>
      </w:tblPr>
      <w:tblGrid>
        <w:gridCol w:w="1279"/>
        <w:gridCol w:w="1125"/>
        <w:gridCol w:w="1136"/>
        <w:gridCol w:w="109"/>
        <w:gridCol w:w="109"/>
        <w:gridCol w:w="109"/>
        <w:gridCol w:w="321"/>
        <w:gridCol w:w="1282"/>
        <w:gridCol w:w="166"/>
        <w:gridCol w:w="109"/>
        <w:gridCol w:w="109"/>
        <w:gridCol w:w="109"/>
        <w:gridCol w:w="242"/>
        <w:gridCol w:w="965"/>
        <w:gridCol w:w="563"/>
      </w:tblGrid>
      <w:tr>
        <w:trPr/>
        <w:tc>
          <w:tcPr>
            <w:tcW w:w="127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TTM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10,322</w:t>
            </w:r>
            <w:r>
              <w:rPr>
                <w:color w:val="000000"/>
              </w:rPr>
              <w:t>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19,175</w:t>
            </w:r>
            <w:r>
              <w:rPr>
                <w:color w:val="000000"/>
              </w:rPr>
              <w:t> </w:t>
            </w:r>
          </w:p>
        </w:tc>
        <w:tc>
          <w:tcPr>
            <w:tcW w:w="5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51,833 </w:t>
            </w:r>
          </w:p>
        </w:tc>
        <w:tc>
          <w:tcPr>
            <w:tcW w:w="56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9,458 </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56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80,854</w:t>
            </w:r>
            <w:r>
              <w:rPr>
                <w:color w:val="000000"/>
              </w:rPr>
              <w:t>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103,948</w:t>
            </w:r>
            <w:r>
              <w:rPr>
                <w:color w:val="000000"/>
              </w:rPr>
              <w:t> </w:t>
            </w:r>
          </w:p>
        </w:tc>
        <w:tc>
          <w:tcPr>
            <w:tcW w:w="56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56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8,163 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56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Notable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4,882 </w:t>
            </w:r>
          </w:p>
        </w:tc>
        <w:tc>
          <w:tcPr>
            <w:tcW w:w="56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121,376</w:t>
            </w: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124,021</w:t>
            </w:r>
            <w:r>
              <w:rPr>
                <w:color w:val="000000"/>
              </w:rPr>
              <w:t> </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permitted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per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129,009</w:t>
            </w:r>
            <w:r>
              <w:rPr>
                <w:color w:val="000000"/>
              </w:rPr>
              <w:t> </w:t>
            </w:r>
          </w:p>
        </w:tc>
        <w:tc>
          <w:tcPr>
            <w:tcW w:w="16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131,286</w:t>
            </w:r>
            <w:r>
              <w:rPr>
                <w:color w:val="000000"/>
              </w:rPr>
              <w:t> </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532,830</w:t>
            </w:r>
            <w:r>
              <w:rPr>
                <w:color w:val="000000"/>
              </w:rPr>
              <w:t>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529,557</w:t>
            </w:r>
            <w:r>
              <w:rPr>
                <w:color w:val="000000"/>
              </w:rPr>
              <w:t> </w:t>
            </w:r>
          </w:p>
        </w:tc>
        <w:tc>
          <w:tcPr>
            <w:tcW w:w="5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permitted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indebtedness per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482,830</w:t>
            </w:r>
            <w:r>
              <w:rPr>
                <w:color w:val="000000"/>
              </w:rPr>
              <w:t>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492,326</w:t>
            </w:r>
            <w:r>
              <w:rPr>
                <w:color w:val="000000"/>
              </w:rPr>
              <w:t> </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Total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3.74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3.75 x</w:t>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Net Income as earnings excluding the effect of changes in the fair value of the warrant liability, changes in the fair value of the earn-out liability, loss on sale of assets,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 </w:t>
      </w:r>
    </w:p>
    <w:tbl>
      <w:tblPr>
        <w:tblW w:w="10171" w:type="dxa"/>
        <w:jc w:val="left"/>
        <w:tblInd w:w="0" w:type="dxa"/>
        <w:tblLayout w:type="fixed"/>
        <w:tblCellMar>
          <w:top w:w="28" w:type="dxa"/>
          <w:left w:w="28" w:type="dxa"/>
          <w:bottom w:w="28" w:type="dxa"/>
          <w:right w:w="28" w:type="dxa"/>
        </w:tblCellMar>
      </w:tblPr>
      <w:tblGrid>
        <w:gridCol w:w="1549"/>
        <w:gridCol w:w="1360"/>
        <w:gridCol w:w="1366"/>
        <w:gridCol w:w="109"/>
        <w:gridCol w:w="109"/>
        <w:gridCol w:w="109"/>
        <w:gridCol w:w="216"/>
        <w:gridCol w:w="756"/>
        <w:gridCol w:w="111"/>
        <w:gridCol w:w="111"/>
        <w:gridCol w:w="111"/>
        <w:gridCol w:w="111"/>
        <w:gridCol w:w="216"/>
        <w:gridCol w:w="756"/>
        <w:gridCol w:w="111"/>
        <w:gridCol w:w="109"/>
        <w:gridCol w:w="109"/>
        <w:gridCol w:w="109"/>
        <w:gridCol w:w="219"/>
        <w:gridCol w:w="765"/>
        <w:gridCol w:w="113"/>
        <w:gridCol w:w="113"/>
        <w:gridCol w:w="113"/>
        <w:gridCol w:w="113"/>
        <w:gridCol w:w="219"/>
        <w:gridCol w:w="765"/>
        <w:gridCol w:w="323"/>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twenty-six weeks ended</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(2,430)</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10,863</w:t>
            </w:r>
            <w:r>
              <w:rPr>
                <w:color w:val="000000"/>
              </w:rPr>
              <w:t>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4,826</w:t>
            </w:r>
            <w:r>
              <w:rPr>
                <w:color w:val="000000"/>
              </w:rPr>
              <w:t>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13,680</w:t>
            </w:r>
            <w:r>
              <w:rPr>
                <w:color w:val="000000"/>
              </w:rPr>
              <w:t> </w:t>
            </w:r>
          </w:p>
        </w:tc>
        <w:tc>
          <w:tcPr>
            <w:tcW w:w="3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 for: 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 for: change in fair value of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 for: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24,023</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10,637</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29,699</w:t>
            </w: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13,196</w:t>
            </w:r>
            <w:r>
              <w:rPr>
                <w:color w:val="000000"/>
              </w:rPr>
              <w:t> </w:t>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72" w:type="dxa"/>
        <w:jc w:val="left"/>
        <w:tblInd w:w="0" w:type="dxa"/>
        <w:tblLayout w:type="fixed"/>
        <w:tblCellMar>
          <w:top w:w="28" w:type="dxa"/>
          <w:left w:w="28" w:type="dxa"/>
          <w:bottom w:w="28" w:type="dxa"/>
          <w:right w:w="28" w:type="dxa"/>
        </w:tblCellMar>
      </w:tblPr>
      <w:tblGrid>
        <w:gridCol w:w="1545"/>
        <w:gridCol w:w="1359"/>
        <w:gridCol w:w="1371"/>
        <w:gridCol w:w="109"/>
        <w:gridCol w:w="109"/>
        <w:gridCol w:w="109"/>
        <w:gridCol w:w="254"/>
        <w:gridCol w:w="706"/>
        <w:gridCol w:w="131"/>
        <w:gridCol w:w="131"/>
        <w:gridCol w:w="131"/>
        <w:gridCol w:w="131"/>
        <w:gridCol w:w="254"/>
        <w:gridCol w:w="634"/>
        <w:gridCol w:w="131"/>
        <w:gridCol w:w="109"/>
        <w:gridCol w:w="109"/>
        <w:gridCol w:w="109"/>
        <w:gridCol w:w="260"/>
        <w:gridCol w:w="650"/>
        <w:gridCol w:w="134"/>
        <w:gridCol w:w="134"/>
        <w:gridCol w:w="134"/>
        <w:gridCol w:w="134"/>
        <w:gridCol w:w="260"/>
        <w:gridCol w:w="650"/>
        <w:gridCol w:w="384"/>
      </w:tblGrid>
      <w:tr>
        <w:trPr/>
        <w:tc>
          <w:tcPr>
            <w:tcW w:w="154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twenty-six weeks ended</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9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40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(0.02)</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0.09</w:t>
            </w:r>
            <w:r>
              <w:rPr>
                <w:color w:val="000000"/>
              </w:rPr>
              <w:t>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0.04</w:t>
            </w:r>
            <w:r>
              <w:rPr>
                <w:color w:val="000000"/>
              </w:rPr>
              <w:t> </w:t>
            </w:r>
          </w:p>
        </w:tc>
        <w:tc>
          <w:tcPr>
            <w:tcW w:w="13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0.11</w:t>
            </w:r>
            <w:r>
              <w:rPr>
                <w:color w:val="000000"/>
              </w:rPr>
              <w:t> </w:t>
            </w:r>
          </w:p>
        </w:tc>
        <w:tc>
          <w:tcPr>
            <w:tcW w:w="38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 for: 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 for: change in fair value of 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 for: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0.20</w:t>
            </w:r>
            <w:r>
              <w:rPr>
                <w:color w:val="000000"/>
              </w:rPr>
              <w:t>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0.09</w:t>
            </w:r>
            <w:r>
              <w:rPr>
                <w:color w:val="000000"/>
              </w:rPr>
              <w:t>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0.25</w:t>
            </w: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0.11</w:t>
            </w:r>
            <w:r>
              <w:rPr>
                <w:color w:val="000000"/>
              </w:rPr>
              <w:t> </w:t>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Free Cash Flow as net cash provided by operating activities minus cash payments for capital expenditures, net of fixed asset dispositions not related to brand divestitures. Management believes providing Free Cash Flow is useful for investors to understand our performance and results of cash generation after making capital investments required to support ongoing business operations. </w:t>
      </w:r>
    </w:p>
    <w:tbl>
      <w:tblPr>
        <w:tblW w:w="9599" w:type="dxa"/>
        <w:jc w:val="left"/>
        <w:tblInd w:w="0" w:type="dxa"/>
        <w:tblLayout w:type="fixed"/>
        <w:tblCellMar>
          <w:top w:w="28" w:type="dxa"/>
          <w:left w:w="28" w:type="dxa"/>
          <w:bottom w:w="28" w:type="dxa"/>
          <w:right w:w="28" w:type="dxa"/>
        </w:tblCellMar>
      </w:tblPr>
      <w:tblGrid>
        <w:gridCol w:w="1342"/>
        <w:gridCol w:w="1177"/>
        <w:gridCol w:w="1185"/>
        <w:gridCol w:w="109"/>
        <w:gridCol w:w="109"/>
        <w:gridCol w:w="109"/>
        <w:gridCol w:w="216"/>
        <w:gridCol w:w="756"/>
        <w:gridCol w:w="111"/>
        <w:gridCol w:w="111"/>
        <w:gridCol w:w="111"/>
        <w:gridCol w:w="111"/>
        <w:gridCol w:w="216"/>
        <w:gridCol w:w="756"/>
        <w:gridCol w:w="111"/>
        <w:gridCol w:w="109"/>
        <w:gridCol w:w="109"/>
        <w:gridCol w:w="109"/>
        <w:gridCol w:w="233"/>
        <w:gridCol w:w="813"/>
        <w:gridCol w:w="120"/>
        <w:gridCol w:w="120"/>
        <w:gridCol w:w="120"/>
        <w:gridCol w:w="120"/>
        <w:gridCol w:w="233"/>
        <w:gridCol w:w="813"/>
        <w:gridCol w:w="170"/>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twenty-six weeks ended</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28,</w:t>
              <w:br/>
              <w:t>2026</w:t>
            </w:r>
          </w:p>
        </w:tc>
        <w:tc>
          <w:tcPr>
            <w:tcW w:w="36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29,</w:t>
              <w:b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47,111</w:t>
            </w:r>
            <w:r>
              <w:rPr>
                <w:color w:val="000000"/>
              </w:rPr>
              <w:t>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40,487</w:t>
            </w:r>
            <w:r>
              <w:rPr>
                <w:color w:val="000000"/>
              </w:rPr>
              <w:t>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44,254</w:t>
            </w:r>
            <w:r>
              <w:rPr>
                <w:color w:val="000000"/>
              </w:rPr>
              <w:t> </w:t>
            </w:r>
          </w:p>
        </w:tc>
        <w:tc>
          <w:tcPr>
            <w:tcW w:w="12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32,637</w:t>
            </w:r>
            <w:r>
              <w:rPr>
                <w:color w:val="000000"/>
              </w:rPr>
              <w:t> </w:t>
            </w:r>
          </w:p>
        </w:tc>
        <w:tc>
          <w:tcPr>
            <w:tcW w:w="17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40,942</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35,659</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34,614</w:t>
            </w: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24,829</w:t>
            </w: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4544</Words>
  <Characters>25709</Characters>
  <CharactersWithSpaces>29663</CharactersWithSpaces>
  <Paragraphs>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