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712966.xml.htm"/>
      <w:bookmarkStart w:id="1" w:name="kswkform4_178671296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Stevenson Matthew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1A BURTON HILLS BLVD, SUITE 240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NASHVILLE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37215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Holley Inc.</w:t>
              </w:r>
            </w:hyperlink>
            <w:r>
              <w:rPr/>
              <w:t xml:space="preserve"> [ </w:t>
            </w:r>
            <w:r>
              <w:rPr>
                <w:rFonts w:ascii="Times;serif" w:hAnsi="Times;serif"/>
                <w:color w:val="0000FF"/>
                <w:sz w:val="24"/>
                <w:shd w:fill="FFFFFF" w:val="clear"/>
              </w:rPr>
              <w:t>HLLY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4"/>
        <w:gridCol w:w="900"/>
        <w:gridCol w:w="771"/>
        <w:gridCol w:w="598"/>
        <w:gridCol w:w="345"/>
        <w:gridCol w:w="965"/>
        <w:gridCol w:w="447"/>
        <w:gridCol w:w="706"/>
        <w:gridCol w:w="1267"/>
        <w:gridCol w:w="987"/>
        <w:gridCol w:w="91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1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56,800</w:t>
            </w:r>
            <w:r>
              <w:rPr>
                <w:rFonts w:ascii="Times;serif" w:hAnsi="Times;serif"/>
                <w:color w:val="008000"/>
                <w:position w:val="7"/>
                <w:sz w:val="16"/>
                <w:sz w:val="20"/>
                <w:shd w:fill="FFFFFF" w:val="clear"/>
              </w:rPr>
              <w:t>(1)</w:t>
            </w:r>
          </w:p>
        </w:tc>
        <w:tc>
          <w:tcPr>
            <w:tcW w:w="4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3.17</w:t>
            </w:r>
            <w:r>
              <w:rPr>
                <w:rFonts w:ascii="Times;serif" w:hAnsi="Times;serif"/>
                <w:color w:val="008000"/>
                <w:position w:val="7"/>
                <w:sz w:val="16"/>
                <w:sz w:val="20"/>
                <w:shd w:fill="FFFFFF" w:val="clear"/>
              </w:rPr>
              <w:t>(2)</w:t>
            </w:r>
          </w:p>
        </w:tc>
        <w:tc>
          <w:tcPr>
            <w:tcW w:w="12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3,124,324</w:t>
            </w:r>
          </w:p>
        </w:tc>
        <w:tc>
          <w:tcPr>
            <w:tcW w:w="9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amount represents shares automatically withheld upon the vesting of 144,344 restricted shares of common stock on August 12, 2026 to cover required tax withholding.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fair market value of HLLY common stock used for purposes of calculating the number of shares to be withheld was the closing price of HLLY common stock as reported on August 12,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Sarah Apple, Attorney-In-Fact for Matthew J. Stevenson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r>
        <w:rPr/>
      </w:r>
      <w:r>
        <w:br w:type="page"/>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POWER OF ATTORNEY</w:t>
      </w:r>
    </w:p>
    <w:p>
      <w:pPr>
        <w:pStyle w:val="TextBody"/>
        <w:bidi w:val="0"/>
        <w:spacing w:lineRule="auto" w:line="288" w:before="0" w:after="240"/>
        <w:ind w:left="0" w:right="0" w:firstLine="360"/>
        <w:jc w:val="both"/>
        <w:rPr>
          <w:rFonts w:ascii="Times New Roman;serif" w:hAnsi="Times New Roman;serif"/>
          <w:b w:val="false"/>
          <w:color w:val="000000"/>
          <w:sz w:val="24"/>
        </w:rPr>
      </w:pPr>
      <w:r>
        <w:rPr>
          <w:rFonts w:ascii="Times New Roman;serif" w:hAnsi="Times New Roman;serif"/>
          <w:b w:val="false"/>
          <w:color w:val="000000"/>
          <w:sz w:val="24"/>
        </w:rPr>
        <w:t>Know all by these presents, that the undersigned hereby makes, constitutes and appoints each of Jesse Weaver and Sarah Apple, or either of them acting singly, and with full power of substitution and resubstitution, the undersigned’s true and lawful attorney-in-fact (each of such persons and their substitutes being referred to herein as the "Attorney-in-Fact"), with full power to act for the undersigned and in the undersigned's name, place and stead, in any and all capacities, to:</w:t>
      </w:r>
    </w:p>
    <w:p>
      <w:pPr>
        <w:pStyle w:val="TextBody"/>
        <w:bidi w:val="0"/>
        <w:spacing w:lineRule="auto" w:line="288"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1.Prepare, execute and submit to the SEC, Holley Inc. (the “Company”), and/or any national securities exchange on which the Company’s securities are listed any and all reports (including any amendments thereto) the undersigned is required to file with the SEC, or which the Attorney- in-Fact considers it advisable to file with the SEC, under Section 13 or Section 16 of the Exchange Act or any rule or regulation thereunder, or under Rule 144 under the Securities Act of 1933 (“Rule 144”), with respect to the any security of the Company, including Forms 3, 4 and 5, Schedules 13D and 13G, and Forms 144; and</w:t>
      </w:r>
    </w:p>
    <w:p>
      <w:pPr>
        <w:pStyle w:val="TextBody"/>
        <w:bidi w:val="0"/>
        <w:spacing w:lineRule="auto" w:line="288"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2.Obtain,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undersigned acknowledges that:</w:t>
      </w:r>
    </w:p>
    <w:p>
      <w:pPr>
        <w:pStyle w:val="TextBody"/>
        <w:bidi w:val="0"/>
        <w:spacing w:lineRule="auto" w:line="288"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1.This Power of Attorney authorizes, but does not require, the Attorney-in-Fact to act in his or her discretion on information provided to such Attorney-in-Fact without independent verification of such information. </w:t>
      </w:r>
    </w:p>
    <w:p>
      <w:pPr>
        <w:pStyle w:val="TextBody"/>
        <w:bidi w:val="0"/>
        <w:spacing w:lineRule="auto" w:line="288"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2.Any documents prepared or executed by the Attorney-in-Fact on behalf of the undersigned pursuant to this Power of Attorney will be in such form and will contain such information as the Attorney-in-Fact, in his or her discretion, deems necessary or desirable.</w:t>
      </w:r>
    </w:p>
    <w:p>
      <w:pPr>
        <w:pStyle w:val="TextBody"/>
        <w:bidi w:val="0"/>
        <w:spacing w:lineRule="auto" w:line="288"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3.Neither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w:t>
      </w:r>
    </w:p>
    <w:p>
      <w:pPr>
        <w:pStyle w:val="TextBody"/>
        <w:bidi w:val="0"/>
        <w:spacing w:lineRule="auto" w:line="288"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4.This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pStyle w:val="TextBody"/>
        <w:bidi w:val="0"/>
        <w:spacing w:before="0" w:after="0"/>
        <w:jc w:val="both"/>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629920"/>
                <wp:effectExtent l="0" t="0" r="0" b="0"/>
                <wp:wrapNone/>
                <wp:docPr id="6" name="Frame1"/>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ind w:left="0" w:right="0" w:firstLine="360"/>
        <w:jc w:val="both"/>
        <w:rPr>
          <w:rFonts w:ascii="Times New Roman;serif" w:hAnsi="Times New Roman;serif"/>
          <w:b w:val="false"/>
          <w:color w:val="000000"/>
          <w:sz w:val="24"/>
        </w:rPr>
      </w:pPr>
      <w:r>
        <w:rPr>
          <w:rFonts w:ascii="Times New Roman;serif" w:hAnsi="Times New Roman;serif"/>
          <w:b w:val="false"/>
          <w:color w:val="000000"/>
          <w:sz w:val="24"/>
        </w:rPr>
        <w:t xml:space="preserve">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 </w:t>
      </w:r>
    </w:p>
    <w:p>
      <w:pPr>
        <w:pStyle w:val="TextBody"/>
        <w:bidi w:val="0"/>
        <w:spacing w:lineRule="auto" w:line="288" w:before="0" w:after="240"/>
        <w:ind w:left="0" w:right="0" w:firstLine="360"/>
        <w:jc w:val="both"/>
        <w:rPr>
          <w:rFonts w:ascii="Times New Roman;serif" w:hAnsi="Times New Roman;serif"/>
          <w:b w:val="false"/>
          <w:color w:val="000000"/>
          <w:sz w:val="24"/>
        </w:rPr>
      </w:pPr>
      <w:r>
        <w:rPr>
          <w:rFonts w:ascii="Times New Roman;serif" w:hAnsi="Times New Roman;serif"/>
          <w:b w:val="false"/>
          <w:color w:val="000000"/>
          <w:sz w:val="24"/>
        </w:rPr>
        <w:t xml:space="preserve">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 </w:t>
      </w:r>
    </w:p>
    <w:p>
      <w:pPr>
        <w:pStyle w:val="TextBody"/>
        <w:bidi w:val="0"/>
        <w:spacing w:lineRule="auto" w:line="288" w:before="0" w:after="240"/>
        <w:ind w:left="0" w:right="0" w:firstLine="360"/>
        <w:jc w:val="both"/>
        <w:rPr>
          <w:rFonts w:ascii="Times New Roman;serif" w:hAnsi="Times New Roman;serif"/>
          <w:b w:val="false"/>
          <w:color w:val="000000"/>
          <w:sz w:val="24"/>
        </w:rPr>
      </w:pPr>
      <w:r>
        <w:rPr>
          <w:rFonts w:ascii="Times New Roman;serif" w:hAnsi="Times New Roman;serif"/>
          <w:b w:val="false"/>
          <w:color w:val="000000"/>
          <w:sz w:val="24"/>
        </w:rPr>
        <w:t>IN WITNESS WHEREOF, the undersigned has executed this Power of Attorney as of May 11, 2026.</w:t>
      </w:r>
    </w:p>
    <w:p>
      <w:pPr>
        <w:pStyle w:val="TextBody"/>
        <w:bidi w:val="0"/>
        <w:spacing w:before="0" w:after="240"/>
        <w:ind w:left="0" w:right="0" w:firstLine="360"/>
        <w:jc w:val="both"/>
        <w:rPr/>
      </w:pPr>
      <w:r>
        <w:rPr/>
      </w:r>
    </w:p>
    <w:p>
      <w:pPr>
        <w:pStyle w:val="TextBody"/>
        <w:bidi w:val="0"/>
        <w:spacing w:lineRule="auto" w:line="288" w:before="0" w:after="240"/>
        <w:jc w:val="both"/>
        <w:rPr/>
      </w:pPr>
      <w:r>
        <w:rPr>
          <w:rFonts w:ascii="Times New Roman;serif" w:hAnsi="Times New Roman;serif"/>
          <w:b w:val="false"/>
          <w:color w:val="000000"/>
          <w:sz w:val="24"/>
          <w:u w:val="single"/>
        </w:rPr>
        <w:t>/s/    Matthew Stevenson                </w:t>
      </w:r>
      <w:r>
        <w:rPr>
          <w:rFonts w:ascii="Times New Roman;serif" w:hAnsi="Times New Roman;serif"/>
          <w:b w:val="false"/>
          <w:color w:val="000000"/>
          <w:sz w:val="24"/>
        </w:rPr>
        <w:br/>
        <w:t>Signature</w:t>
      </w:r>
    </w:p>
    <w:p>
      <w:pPr>
        <w:pStyle w:val="TextBody"/>
        <w:bidi w:val="0"/>
        <w:spacing w:before="0" w:after="240"/>
        <w:jc w:val="both"/>
        <w:rPr/>
      </w:pPr>
      <w:r>
        <w:rPr/>
      </w:r>
    </w:p>
    <w:p>
      <w:pPr>
        <w:pStyle w:val="TextBody"/>
        <w:bidi w:val="0"/>
        <w:spacing w:lineRule="auto" w:line="288" w:before="0" w:after="240"/>
        <w:jc w:val="both"/>
        <w:rPr/>
      </w:pPr>
      <w:r>
        <w:rPr>
          <w:rFonts w:ascii="Times New Roman;serif" w:hAnsi="Times New Roman;serif"/>
          <w:b w:val="false"/>
          <w:color w:val="000000"/>
          <w:sz w:val="24"/>
          <w:u w:val="single"/>
        </w:rPr>
        <w:t>Matthew Stevenson                    </w:t>
        <w:br/>
      </w:r>
      <w:r>
        <w:rPr>
          <w:rFonts w:ascii="Times New Roman;serif" w:hAnsi="Times New Roman;serif"/>
          <w:b w:val="false"/>
          <w:color w:val="000000"/>
          <w:sz w:val="24"/>
        </w:rPr>
        <w:t>Print Name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629920"/>
                <wp:effectExtent l="0" t="0" r="0" b="0"/>
                <wp:wrapNone/>
                <wp:docPr id="7" name="Frame2"/>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both"/>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38710" TargetMode="External"/><Relationship Id="rId5" Type="http://schemas.openxmlformats.org/officeDocument/2006/relationships/hyperlink" Target="http://www.sec.gov/cgi-bin/browse-edgar?action=getcompany&amp;CIK=000182292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1234</Words>
  <Characters>6625</Characters>
  <CharactersWithSpaces>7823</CharactersWithSpaces>
  <Paragraphs>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